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535"/>
        <w:gridCol w:w="4535"/>
      </w:tblGrid>
      <w:tr w:rsidR="00766B4D" w:rsidRPr="003603CE" w14:paraId="665B260A" w14:textId="77777777" w:rsidTr="00766B4D">
        <w:tc>
          <w:tcPr>
            <w:tcW w:w="2500" w:type="pct"/>
            <w:shd w:val="clear" w:color="auto" w:fill="auto"/>
            <w:hideMark/>
          </w:tcPr>
          <w:p w14:paraId="5112AE0A" w14:textId="77777777" w:rsidR="00766B4D" w:rsidRDefault="00766B4D" w:rsidP="003603CE">
            <w:pPr>
              <w:spacing w:after="0" w:line="240" w:lineRule="auto"/>
              <w:rPr>
                <w:rFonts w:ascii="Times New Roman" w:hAnsi="Times New Roman" w:cs="Times New Roman"/>
                <w:sz w:val="20"/>
                <w:szCs w:val="20"/>
              </w:rPr>
            </w:pPr>
            <w:r w:rsidRPr="003603CE">
              <w:rPr>
                <w:rFonts w:ascii="Times New Roman" w:hAnsi="Times New Roman" w:cs="Times New Roman"/>
                <w:sz w:val="20"/>
                <w:szCs w:val="20"/>
              </w:rPr>
              <w:t xml:space="preserve">УДК </w:t>
            </w:r>
            <w:r w:rsidR="002606BC" w:rsidRPr="003603CE">
              <w:rPr>
                <w:rFonts w:ascii="Times New Roman" w:hAnsi="Times New Roman" w:cs="Times New Roman"/>
                <w:sz w:val="20"/>
                <w:szCs w:val="20"/>
              </w:rPr>
              <w:t>62-405.6</w:t>
            </w:r>
          </w:p>
          <w:p w14:paraId="643F05A0" w14:textId="08A8DC28" w:rsidR="003603CE" w:rsidRPr="003603CE" w:rsidRDefault="003603CE" w:rsidP="003603CE">
            <w:pPr>
              <w:spacing w:after="0" w:line="240" w:lineRule="auto"/>
              <w:rPr>
                <w:rFonts w:ascii="Times New Roman" w:hAnsi="Times New Roman" w:cs="Times New Roman"/>
                <w:sz w:val="20"/>
                <w:szCs w:val="20"/>
              </w:rPr>
            </w:pPr>
          </w:p>
        </w:tc>
        <w:tc>
          <w:tcPr>
            <w:tcW w:w="2500" w:type="pct"/>
            <w:shd w:val="clear" w:color="auto" w:fill="auto"/>
            <w:hideMark/>
          </w:tcPr>
          <w:p w14:paraId="60C7A6E9" w14:textId="7F61EABB" w:rsidR="00766B4D" w:rsidRPr="003603CE" w:rsidRDefault="00766B4D" w:rsidP="003603CE">
            <w:pPr>
              <w:spacing w:after="0" w:line="240" w:lineRule="auto"/>
              <w:rPr>
                <w:rFonts w:ascii="Times New Roman" w:eastAsia="Times New Roman" w:hAnsi="Times New Roman" w:cs="Times New Roman"/>
                <w:color w:val="000000"/>
                <w:sz w:val="20"/>
                <w:szCs w:val="20"/>
              </w:rPr>
            </w:pPr>
            <w:r w:rsidRPr="003603CE">
              <w:rPr>
                <w:rFonts w:ascii="Times New Roman" w:eastAsia="Times New Roman" w:hAnsi="Times New Roman" w:cs="Times New Roman"/>
                <w:color w:val="000000"/>
                <w:sz w:val="20"/>
                <w:szCs w:val="20"/>
                <w:lang w:val="en-US"/>
              </w:rPr>
              <w:t>UD</w:t>
            </w:r>
            <w:r w:rsidR="003603CE">
              <w:rPr>
                <w:rFonts w:ascii="Times New Roman" w:eastAsia="Times New Roman" w:hAnsi="Times New Roman" w:cs="Times New Roman"/>
                <w:color w:val="000000"/>
                <w:sz w:val="20"/>
                <w:szCs w:val="20"/>
                <w:lang w:val="en-US"/>
              </w:rPr>
              <w:t>C</w:t>
            </w:r>
            <w:r w:rsidRPr="003603CE">
              <w:rPr>
                <w:rFonts w:ascii="Times New Roman" w:eastAsia="Times New Roman" w:hAnsi="Times New Roman" w:cs="Times New Roman"/>
                <w:color w:val="000000"/>
                <w:sz w:val="20"/>
                <w:szCs w:val="20"/>
                <w:lang w:val="en-US"/>
              </w:rPr>
              <w:t xml:space="preserve"> </w:t>
            </w:r>
            <w:r w:rsidR="002606BC" w:rsidRPr="003603CE">
              <w:rPr>
                <w:rFonts w:ascii="Times New Roman" w:hAnsi="Times New Roman" w:cs="Times New Roman"/>
                <w:sz w:val="20"/>
                <w:szCs w:val="20"/>
              </w:rPr>
              <w:t>62-405.6</w:t>
            </w:r>
          </w:p>
        </w:tc>
      </w:tr>
      <w:tr w:rsidR="00766B4D" w:rsidRPr="003603CE" w14:paraId="65673CF1" w14:textId="77777777" w:rsidTr="00766B4D">
        <w:tc>
          <w:tcPr>
            <w:tcW w:w="2500" w:type="pct"/>
            <w:shd w:val="clear" w:color="auto" w:fill="auto"/>
            <w:hideMark/>
          </w:tcPr>
          <w:p w14:paraId="51CF2EF7" w14:textId="77777777" w:rsidR="00766B4D" w:rsidRPr="003603CE" w:rsidRDefault="00766B4D" w:rsidP="003603C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3603CE" w:rsidRDefault="00766B4D" w:rsidP="003603CE">
            <w:pPr>
              <w:spacing w:after="0" w:line="240" w:lineRule="auto"/>
              <w:rPr>
                <w:rFonts w:ascii="Times New Roman" w:eastAsia="Times New Roman" w:hAnsi="Times New Roman" w:cs="Times New Roman"/>
                <w:color w:val="000000"/>
                <w:sz w:val="20"/>
                <w:szCs w:val="20"/>
                <w:lang w:val="en-US"/>
              </w:rPr>
            </w:pPr>
          </w:p>
        </w:tc>
      </w:tr>
      <w:tr w:rsidR="00766B4D" w:rsidRPr="00367B6C" w14:paraId="10507EAC" w14:textId="77777777" w:rsidTr="00766B4D">
        <w:tc>
          <w:tcPr>
            <w:tcW w:w="2500" w:type="pct"/>
            <w:shd w:val="clear" w:color="auto" w:fill="auto"/>
            <w:hideMark/>
          </w:tcPr>
          <w:p w14:paraId="595ED76A" w14:textId="77777777" w:rsidR="00367B6C" w:rsidRDefault="00367B6C" w:rsidP="003603CE">
            <w:pPr>
              <w:spacing w:after="0" w:line="240" w:lineRule="auto"/>
              <w:rPr>
                <w:rFonts w:ascii="Times New Roman" w:eastAsia="Times New Roman" w:hAnsi="Times New Roman" w:cs="Times New Roman"/>
                <w:color w:val="000000"/>
                <w:sz w:val="20"/>
                <w:szCs w:val="20"/>
              </w:rPr>
            </w:pPr>
          </w:p>
          <w:p w14:paraId="58749B0B" w14:textId="3549556C" w:rsidR="00766B4D" w:rsidRDefault="008F4824" w:rsidP="003603CE">
            <w:pPr>
              <w:spacing w:after="0" w:line="240" w:lineRule="auto"/>
              <w:rPr>
                <w:rFonts w:ascii="Times New Roman" w:eastAsia="Times New Roman" w:hAnsi="Times New Roman" w:cs="Times New Roman"/>
                <w:color w:val="000000"/>
                <w:sz w:val="20"/>
                <w:szCs w:val="20"/>
              </w:rPr>
            </w:pPr>
            <w:r w:rsidRPr="003603CE">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4499DD3D" w14:textId="54ABA8B9" w:rsidR="003603CE" w:rsidRPr="003603CE" w:rsidRDefault="003603CE" w:rsidP="003603CE">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0CF76DA5" w14:textId="77777777" w:rsidR="00367B6C" w:rsidRDefault="00367B6C" w:rsidP="003603CE">
            <w:pPr>
              <w:spacing w:after="0" w:line="240" w:lineRule="auto"/>
              <w:rPr>
                <w:rFonts w:ascii="Times New Roman" w:eastAsia="Times New Roman" w:hAnsi="Times New Roman" w:cs="Times New Roman"/>
                <w:color w:val="000000"/>
                <w:sz w:val="20"/>
                <w:szCs w:val="20"/>
                <w:lang w:val="en-US"/>
              </w:rPr>
            </w:pPr>
          </w:p>
          <w:p w14:paraId="45C848DB" w14:textId="4E9388E4" w:rsidR="008F4824" w:rsidRPr="003603CE" w:rsidRDefault="008F4824" w:rsidP="003603CE">
            <w:pPr>
              <w:spacing w:after="0" w:line="240" w:lineRule="auto"/>
              <w:rPr>
                <w:rFonts w:ascii="Times New Roman" w:eastAsia="Times New Roman" w:hAnsi="Times New Roman" w:cs="Times New Roman"/>
                <w:color w:val="000000"/>
                <w:sz w:val="20"/>
                <w:szCs w:val="20"/>
                <w:lang w:val="en-US"/>
              </w:rPr>
            </w:pPr>
            <w:r w:rsidRPr="003603CE">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3603CE" w:rsidRDefault="008F4824" w:rsidP="003603CE">
            <w:pPr>
              <w:spacing w:after="0" w:line="240" w:lineRule="auto"/>
              <w:rPr>
                <w:rFonts w:ascii="Times New Roman" w:eastAsia="Times New Roman" w:hAnsi="Times New Roman" w:cs="Times New Roman"/>
                <w:color w:val="000000"/>
                <w:sz w:val="20"/>
                <w:szCs w:val="20"/>
                <w:lang w:val="en-US"/>
              </w:rPr>
            </w:pPr>
            <w:r w:rsidRPr="003603CE">
              <w:rPr>
                <w:rFonts w:ascii="Times New Roman" w:eastAsia="Times New Roman" w:hAnsi="Times New Roman" w:cs="Times New Roman"/>
                <w:color w:val="000000"/>
                <w:sz w:val="20"/>
                <w:szCs w:val="20"/>
                <w:lang w:val="en-US"/>
              </w:rPr>
              <w:t>the agro-industrial complex (technical sciences)</w:t>
            </w:r>
          </w:p>
        </w:tc>
      </w:tr>
      <w:tr w:rsidR="00766B4D" w:rsidRPr="00367B6C" w14:paraId="0EFB734F" w14:textId="77777777" w:rsidTr="00766B4D">
        <w:tc>
          <w:tcPr>
            <w:tcW w:w="2500" w:type="pct"/>
            <w:shd w:val="clear" w:color="auto" w:fill="auto"/>
            <w:hideMark/>
          </w:tcPr>
          <w:p w14:paraId="7B184281" w14:textId="77777777" w:rsidR="00766B4D" w:rsidRPr="003603CE" w:rsidRDefault="00766B4D" w:rsidP="003603C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3603CE" w:rsidRDefault="00766B4D" w:rsidP="003603CE">
            <w:pPr>
              <w:spacing w:after="0" w:line="240" w:lineRule="auto"/>
              <w:rPr>
                <w:rFonts w:ascii="Times New Roman" w:eastAsia="Times New Roman" w:hAnsi="Times New Roman" w:cs="Times New Roman"/>
                <w:color w:val="000000"/>
                <w:sz w:val="20"/>
                <w:szCs w:val="20"/>
                <w:lang w:val="en-US"/>
              </w:rPr>
            </w:pPr>
          </w:p>
        </w:tc>
      </w:tr>
      <w:tr w:rsidR="00766B4D" w:rsidRPr="00367B6C" w14:paraId="1CD72075" w14:textId="77777777" w:rsidTr="00766B4D">
        <w:tc>
          <w:tcPr>
            <w:tcW w:w="2500" w:type="pct"/>
            <w:shd w:val="clear" w:color="auto" w:fill="auto"/>
            <w:hideMark/>
          </w:tcPr>
          <w:p w14:paraId="54DA5E04" w14:textId="77777777" w:rsidR="00367B6C" w:rsidRPr="00367B6C" w:rsidRDefault="00367B6C" w:rsidP="003603CE">
            <w:pPr>
              <w:spacing w:after="0" w:line="240" w:lineRule="auto"/>
              <w:rPr>
                <w:rFonts w:ascii="Times New Roman" w:eastAsia="Times New Roman" w:hAnsi="Times New Roman" w:cs="Times New Roman"/>
                <w:b/>
                <w:bCs/>
                <w:color w:val="000000"/>
                <w:sz w:val="20"/>
                <w:szCs w:val="20"/>
                <w:lang w:val="en-US"/>
              </w:rPr>
            </w:pPr>
          </w:p>
          <w:p w14:paraId="49CE254C" w14:textId="267AECC7" w:rsidR="00766B4D" w:rsidRDefault="0096105F" w:rsidP="003603CE">
            <w:pPr>
              <w:spacing w:after="0" w:line="240" w:lineRule="auto"/>
              <w:rPr>
                <w:rFonts w:ascii="Times New Roman" w:eastAsia="Times New Roman" w:hAnsi="Times New Roman" w:cs="Times New Roman"/>
                <w:b/>
                <w:bCs/>
                <w:color w:val="000000"/>
                <w:sz w:val="20"/>
                <w:szCs w:val="20"/>
              </w:rPr>
            </w:pPr>
            <w:r w:rsidRPr="003603CE">
              <w:rPr>
                <w:rFonts w:ascii="Times New Roman" w:eastAsia="Times New Roman" w:hAnsi="Times New Roman" w:cs="Times New Roman"/>
                <w:b/>
                <w:bCs/>
                <w:color w:val="000000"/>
                <w:sz w:val="20"/>
                <w:szCs w:val="20"/>
              </w:rPr>
              <w:t xml:space="preserve">ОЦЕНКА ТЕПЛОФИЗИЧЕСКИХ ПАРАМЕТРОВ ТЕПЛОАККУМУЛЯТОРА ИЗ ГРАФИТА ДЛЯ АГРОПРОМЫШЛЕННОГО КОМПЛЕКСА </w:t>
            </w:r>
          </w:p>
          <w:p w14:paraId="5F83525F" w14:textId="0C6CED09" w:rsidR="003603CE" w:rsidRPr="003603CE" w:rsidRDefault="003603CE" w:rsidP="003603CE">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337B7EB7" w14:textId="77777777" w:rsidR="00367B6C" w:rsidRDefault="00367B6C" w:rsidP="003603CE">
            <w:pPr>
              <w:spacing w:after="0" w:line="240" w:lineRule="auto"/>
              <w:rPr>
                <w:rFonts w:ascii="Times New Roman" w:eastAsia="Times New Roman" w:hAnsi="Times New Roman" w:cs="Times New Roman"/>
                <w:b/>
                <w:bCs/>
                <w:color w:val="000000"/>
                <w:sz w:val="20"/>
                <w:szCs w:val="20"/>
                <w:lang w:val="en-US"/>
              </w:rPr>
            </w:pPr>
          </w:p>
          <w:p w14:paraId="4BFBFAF3" w14:textId="0B360C1E" w:rsidR="00766B4D" w:rsidRPr="003603CE" w:rsidRDefault="002606BC" w:rsidP="003603CE">
            <w:pPr>
              <w:spacing w:after="0" w:line="240" w:lineRule="auto"/>
              <w:rPr>
                <w:rFonts w:ascii="Times New Roman" w:eastAsia="Times New Roman" w:hAnsi="Times New Roman" w:cs="Times New Roman"/>
                <w:b/>
                <w:bCs/>
                <w:color w:val="000000"/>
                <w:sz w:val="20"/>
                <w:szCs w:val="20"/>
                <w:lang w:val="en-US"/>
              </w:rPr>
            </w:pPr>
            <w:r w:rsidRPr="003603CE">
              <w:rPr>
                <w:rFonts w:ascii="Times New Roman" w:eastAsia="Times New Roman" w:hAnsi="Times New Roman" w:cs="Times New Roman"/>
                <w:b/>
                <w:bCs/>
                <w:color w:val="000000"/>
                <w:sz w:val="20"/>
                <w:szCs w:val="20"/>
                <w:lang w:val="en-US"/>
              </w:rPr>
              <w:t>EVALUATION OF THERMOPHYSICAL PARAMETERS OF A GRAPHITE THERMAL ENERGY STORAGE SYSTEM FOR THE AGRO-INDUSTRIAL COMPLEX</w:t>
            </w:r>
          </w:p>
        </w:tc>
      </w:tr>
      <w:tr w:rsidR="00766B4D" w:rsidRPr="00367B6C" w14:paraId="5985562B" w14:textId="77777777" w:rsidTr="00766B4D">
        <w:tc>
          <w:tcPr>
            <w:tcW w:w="2500" w:type="pct"/>
            <w:shd w:val="clear" w:color="auto" w:fill="auto"/>
            <w:hideMark/>
          </w:tcPr>
          <w:p w14:paraId="0404FCBA" w14:textId="77777777" w:rsidR="00766B4D" w:rsidRPr="003603CE" w:rsidRDefault="00766B4D" w:rsidP="003603C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3603CE" w:rsidRDefault="00766B4D" w:rsidP="003603CE">
            <w:pPr>
              <w:spacing w:after="0" w:line="240" w:lineRule="auto"/>
              <w:rPr>
                <w:rFonts w:ascii="Times New Roman" w:eastAsia="Times New Roman" w:hAnsi="Times New Roman" w:cs="Times New Roman"/>
                <w:color w:val="000000"/>
                <w:sz w:val="20"/>
                <w:szCs w:val="20"/>
                <w:highlight w:val="yellow"/>
                <w:lang w:val="en-US"/>
              </w:rPr>
            </w:pPr>
          </w:p>
        </w:tc>
      </w:tr>
      <w:tr w:rsidR="003A7D31" w:rsidRPr="003603CE" w14:paraId="78BA3515" w14:textId="77777777" w:rsidTr="00766B4D">
        <w:tc>
          <w:tcPr>
            <w:tcW w:w="2500" w:type="pct"/>
            <w:shd w:val="clear" w:color="auto" w:fill="auto"/>
          </w:tcPr>
          <w:p w14:paraId="686D9254" w14:textId="77777777" w:rsidR="00367B6C" w:rsidRDefault="00367B6C" w:rsidP="003603CE">
            <w:pPr>
              <w:spacing w:after="0" w:line="240" w:lineRule="auto"/>
              <w:rPr>
                <w:rFonts w:ascii="Times New Roman" w:hAnsi="Times New Roman" w:cs="Times New Roman"/>
                <w:sz w:val="20"/>
                <w:szCs w:val="20"/>
                <w:lang w:val="en-US"/>
              </w:rPr>
            </w:pPr>
          </w:p>
          <w:p w14:paraId="78E2C5A9" w14:textId="5855A37B" w:rsidR="003A7D31" w:rsidRPr="003603CE" w:rsidRDefault="003A7D31" w:rsidP="003603CE">
            <w:pPr>
              <w:spacing w:after="0" w:line="240" w:lineRule="auto"/>
              <w:rPr>
                <w:rFonts w:ascii="Times New Roman" w:eastAsia="Times New Roman" w:hAnsi="Times New Roman" w:cs="Times New Roman"/>
                <w:color w:val="000000"/>
                <w:sz w:val="20"/>
                <w:szCs w:val="20"/>
              </w:rPr>
            </w:pPr>
            <w:r w:rsidRPr="003603CE">
              <w:rPr>
                <w:rFonts w:ascii="Times New Roman" w:hAnsi="Times New Roman" w:cs="Times New Roman"/>
                <w:sz w:val="20"/>
                <w:szCs w:val="20"/>
              </w:rPr>
              <w:t>Шарипов Ильнар Ильдарович</w:t>
            </w:r>
          </w:p>
        </w:tc>
        <w:tc>
          <w:tcPr>
            <w:tcW w:w="2500" w:type="pct"/>
            <w:shd w:val="clear" w:color="auto" w:fill="auto"/>
          </w:tcPr>
          <w:p w14:paraId="0C17C31B" w14:textId="77777777" w:rsidR="00367B6C" w:rsidRDefault="00367B6C" w:rsidP="003603CE">
            <w:pPr>
              <w:spacing w:after="0" w:line="240" w:lineRule="auto"/>
              <w:rPr>
                <w:rFonts w:ascii="Times New Roman" w:hAnsi="Times New Roman" w:cs="Times New Roman"/>
                <w:sz w:val="20"/>
                <w:szCs w:val="20"/>
                <w:lang w:val="en-US"/>
              </w:rPr>
            </w:pPr>
          </w:p>
          <w:p w14:paraId="2EC5E3A0" w14:textId="23B90594" w:rsidR="003A7D31" w:rsidRPr="003603CE" w:rsidRDefault="003A7D31" w:rsidP="003603CE">
            <w:pPr>
              <w:spacing w:after="0" w:line="240" w:lineRule="auto"/>
              <w:rPr>
                <w:rFonts w:ascii="Times New Roman" w:eastAsia="Times New Roman" w:hAnsi="Times New Roman" w:cs="Times New Roman"/>
                <w:color w:val="000000"/>
                <w:sz w:val="20"/>
                <w:szCs w:val="20"/>
                <w:lang w:val="en-US"/>
              </w:rPr>
            </w:pPr>
            <w:r w:rsidRPr="003603CE">
              <w:rPr>
                <w:rFonts w:ascii="Times New Roman" w:hAnsi="Times New Roman" w:cs="Times New Roman"/>
                <w:sz w:val="20"/>
                <w:szCs w:val="20"/>
                <w:lang w:val="en-US"/>
              </w:rPr>
              <w:t>Sharipov Ilnar Ildarovich</w:t>
            </w:r>
          </w:p>
        </w:tc>
      </w:tr>
      <w:tr w:rsidR="003A7D31" w:rsidRPr="003603CE" w14:paraId="2CEC4994" w14:textId="77777777" w:rsidTr="00766B4D">
        <w:tc>
          <w:tcPr>
            <w:tcW w:w="2500" w:type="pct"/>
            <w:shd w:val="clear" w:color="auto" w:fill="auto"/>
          </w:tcPr>
          <w:p w14:paraId="022FB13D" w14:textId="58EBC5DE" w:rsidR="003A7D31" w:rsidRPr="003603CE" w:rsidRDefault="003A7D31" w:rsidP="003603CE">
            <w:pPr>
              <w:spacing w:after="0" w:line="240" w:lineRule="auto"/>
              <w:rPr>
                <w:rFonts w:ascii="Times New Roman" w:eastAsia="Times New Roman" w:hAnsi="Times New Roman" w:cs="Times New Roman"/>
                <w:color w:val="000000"/>
                <w:sz w:val="20"/>
                <w:szCs w:val="20"/>
              </w:rPr>
            </w:pPr>
            <w:r w:rsidRPr="003603CE">
              <w:rPr>
                <w:rFonts w:ascii="Times New Roman" w:hAnsi="Times New Roman" w:cs="Times New Roman"/>
                <w:sz w:val="20"/>
                <w:szCs w:val="20"/>
              </w:rPr>
              <w:t>Канд. техн. наук</w:t>
            </w:r>
          </w:p>
        </w:tc>
        <w:tc>
          <w:tcPr>
            <w:tcW w:w="2500" w:type="pct"/>
            <w:shd w:val="clear" w:color="auto" w:fill="auto"/>
          </w:tcPr>
          <w:p w14:paraId="7AAF2A07" w14:textId="10CDC16F" w:rsidR="003A7D31" w:rsidRPr="003603CE" w:rsidRDefault="003A7D31" w:rsidP="003603CE">
            <w:pPr>
              <w:spacing w:after="0" w:line="240" w:lineRule="auto"/>
              <w:rPr>
                <w:rFonts w:ascii="Times New Roman" w:eastAsia="Times New Roman" w:hAnsi="Times New Roman" w:cs="Times New Roman"/>
                <w:color w:val="000000"/>
                <w:sz w:val="20"/>
                <w:szCs w:val="20"/>
              </w:rPr>
            </w:pPr>
            <w:r w:rsidRPr="003603CE">
              <w:rPr>
                <w:rFonts w:ascii="Times New Roman" w:hAnsi="Times New Roman" w:cs="Times New Roman"/>
                <w:sz w:val="20"/>
                <w:szCs w:val="20"/>
                <w:lang w:val="en-US"/>
              </w:rPr>
              <w:t>Cand.Tech.Sci.</w:t>
            </w:r>
          </w:p>
        </w:tc>
      </w:tr>
      <w:tr w:rsidR="003A7D31" w:rsidRPr="003603CE" w14:paraId="0637965F" w14:textId="77777777" w:rsidTr="00766B4D">
        <w:tc>
          <w:tcPr>
            <w:tcW w:w="2500" w:type="pct"/>
            <w:shd w:val="clear" w:color="auto" w:fill="auto"/>
          </w:tcPr>
          <w:p w14:paraId="0EF7D2AA" w14:textId="6812CD3B" w:rsidR="003A7D31" w:rsidRPr="003603CE" w:rsidRDefault="003A7D31" w:rsidP="003603CE">
            <w:pPr>
              <w:spacing w:after="0" w:line="240" w:lineRule="auto"/>
              <w:rPr>
                <w:rFonts w:ascii="Times New Roman" w:eastAsia="Times New Roman" w:hAnsi="Times New Roman" w:cs="Times New Roman"/>
                <w:color w:val="000000"/>
                <w:sz w:val="20"/>
                <w:szCs w:val="20"/>
              </w:rPr>
            </w:pPr>
            <w:r w:rsidRPr="003603CE">
              <w:rPr>
                <w:rFonts w:ascii="Times New Roman" w:hAnsi="Times New Roman" w:cs="Times New Roman"/>
                <w:sz w:val="20"/>
                <w:szCs w:val="20"/>
              </w:rPr>
              <w:t>SPIN – код автора: 8046-8265</w:t>
            </w:r>
          </w:p>
        </w:tc>
        <w:tc>
          <w:tcPr>
            <w:tcW w:w="2500" w:type="pct"/>
            <w:shd w:val="clear" w:color="auto" w:fill="auto"/>
          </w:tcPr>
          <w:p w14:paraId="54597057" w14:textId="51EEEBBD" w:rsidR="003A7D31" w:rsidRPr="003603CE" w:rsidRDefault="003A7D31" w:rsidP="003603CE">
            <w:pPr>
              <w:spacing w:after="0" w:line="240" w:lineRule="auto"/>
              <w:rPr>
                <w:rFonts w:ascii="Times New Roman" w:eastAsia="Times New Roman" w:hAnsi="Times New Roman" w:cs="Times New Roman"/>
                <w:color w:val="000000"/>
                <w:sz w:val="20"/>
                <w:szCs w:val="20"/>
                <w:lang w:val="en-US"/>
              </w:rPr>
            </w:pPr>
            <w:r w:rsidRPr="003603CE">
              <w:rPr>
                <w:rFonts w:ascii="Times New Roman" w:hAnsi="Times New Roman" w:cs="Times New Roman"/>
                <w:sz w:val="20"/>
                <w:szCs w:val="20"/>
                <w:lang w:val="en-US"/>
              </w:rPr>
              <w:t>RSCI SPIN-code: 8046-8265</w:t>
            </w:r>
          </w:p>
        </w:tc>
      </w:tr>
      <w:tr w:rsidR="003A7D31" w:rsidRPr="00367B6C" w14:paraId="0DFDC7EA" w14:textId="77777777" w:rsidTr="00766B4D">
        <w:tc>
          <w:tcPr>
            <w:tcW w:w="2500" w:type="pct"/>
            <w:shd w:val="clear" w:color="auto" w:fill="auto"/>
          </w:tcPr>
          <w:p w14:paraId="7E7E8416" w14:textId="34584CBE"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rPr>
            </w:pPr>
            <w:r w:rsidRPr="003603CE">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569E3255" w14:textId="55D68F8B"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lang w:val="en-US"/>
              </w:rPr>
            </w:pPr>
            <w:r w:rsidRPr="003603CE">
              <w:rPr>
                <w:rFonts w:ascii="Times New Roman" w:hAnsi="Times New Roman" w:cs="Times New Roman"/>
                <w:i/>
                <w:sz w:val="20"/>
                <w:szCs w:val="20"/>
                <w:lang w:val="en-US"/>
              </w:rPr>
              <w:t>Kazan State Power Engineering University, Kazan, Russia</w:t>
            </w:r>
          </w:p>
        </w:tc>
      </w:tr>
      <w:tr w:rsidR="002606BC" w:rsidRPr="00367B6C" w14:paraId="7D92267D" w14:textId="77777777" w:rsidTr="003A7D31">
        <w:tc>
          <w:tcPr>
            <w:tcW w:w="2500" w:type="pct"/>
            <w:shd w:val="clear" w:color="auto" w:fill="auto"/>
          </w:tcPr>
          <w:p w14:paraId="6B47881C" w14:textId="30659231" w:rsidR="002606BC" w:rsidRPr="003603CE" w:rsidRDefault="002606BC" w:rsidP="003603CE">
            <w:pPr>
              <w:spacing w:after="0" w:line="240" w:lineRule="auto"/>
              <w:rPr>
                <w:rFonts w:ascii="Times New Roman" w:eastAsia="Times New Roman" w:hAnsi="Times New Roman" w:cs="Times New Roman"/>
                <w:color w:val="000000"/>
                <w:sz w:val="20"/>
                <w:szCs w:val="20"/>
                <w:highlight w:val="yellow"/>
                <w:lang w:val="en-US"/>
              </w:rPr>
            </w:pPr>
          </w:p>
        </w:tc>
        <w:tc>
          <w:tcPr>
            <w:tcW w:w="2500" w:type="pct"/>
            <w:shd w:val="clear" w:color="auto" w:fill="auto"/>
          </w:tcPr>
          <w:p w14:paraId="323D87DE" w14:textId="0D5DB991" w:rsidR="002606BC" w:rsidRPr="003603CE" w:rsidRDefault="002606BC" w:rsidP="003603CE">
            <w:pPr>
              <w:spacing w:after="0" w:line="240" w:lineRule="auto"/>
              <w:rPr>
                <w:rFonts w:ascii="Times New Roman" w:eastAsia="Times New Roman" w:hAnsi="Times New Roman" w:cs="Times New Roman"/>
                <w:bCs/>
                <w:color w:val="000000"/>
                <w:sz w:val="20"/>
                <w:szCs w:val="20"/>
                <w:highlight w:val="yellow"/>
                <w:lang w:val="en-US"/>
              </w:rPr>
            </w:pPr>
          </w:p>
        </w:tc>
      </w:tr>
      <w:tr w:rsidR="003A7D31" w:rsidRPr="003603CE" w14:paraId="0491EAC0" w14:textId="77777777" w:rsidTr="003A7D31">
        <w:tc>
          <w:tcPr>
            <w:tcW w:w="2500" w:type="pct"/>
            <w:shd w:val="clear" w:color="auto" w:fill="auto"/>
          </w:tcPr>
          <w:p w14:paraId="6ADB7741" w14:textId="6C034469"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lang w:val="en-US"/>
              </w:rPr>
            </w:pPr>
            <w:r w:rsidRPr="003603CE">
              <w:rPr>
                <w:rFonts w:ascii="Times New Roman" w:eastAsia="Times New Roman" w:hAnsi="Times New Roman" w:cs="Times New Roman"/>
                <w:color w:val="000000"/>
                <w:sz w:val="20"/>
                <w:szCs w:val="20"/>
              </w:rPr>
              <w:t>Шамсутдинова Камилла Эдуардовна</w:t>
            </w:r>
          </w:p>
        </w:tc>
        <w:tc>
          <w:tcPr>
            <w:tcW w:w="2500" w:type="pct"/>
            <w:shd w:val="clear" w:color="auto" w:fill="auto"/>
          </w:tcPr>
          <w:p w14:paraId="007ADD8C" w14:textId="4B51DD18"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lang w:val="en-US"/>
              </w:rPr>
            </w:pPr>
            <w:r w:rsidRPr="003603CE">
              <w:rPr>
                <w:rFonts w:ascii="Times New Roman" w:eastAsia="Times New Roman" w:hAnsi="Times New Roman" w:cs="Times New Roman"/>
                <w:color w:val="000000"/>
                <w:sz w:val="20"/>
                <w:szCs w:val="20"/>
                <w:lang w:val="en-US"/>
              </w:rPr>
              <w:t>Shamsutdinova Kamilla Eduardovna</w:t>
            </w:r>
          </w:p>
        </w:tc>
      </w:tr>
      <w:tr w:rsidR="003A7D31" w:rsidRPr="003603CE" w14:paraId="31C8AC79" w14:textId="77777777" w:rsidTr="003A7D31">
        <w:tc>
          <w:tcPr>
            <w:tcW w:w="2500" w:type="pct"/>
            <w:shd w:val="clear" w:color="auto" w:fill="auto"/>
          </w:tcPr>
          <w:p w14:paraId="6CE785A4" w14:textId="54646748"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lang w:val="en-US"/>
              </w:rPr>
            </w:pPr>
            <w:r w:rsidRPr="003603CE">
              <w:rPr>
                <w:rFonts w:ascii="Times New Roman" w:eastAsia="Times New Roman" w:hAnsi="Times New Roman" w:cs="Times New Roman"/>
                <w:color w:val="000000"/>
                <w:sz w:val="20"/>
                <w:szCs w:val="20"/>
              </w:rPr>
              <w:t>Студент</w:t>
            </w:r>
          </w:p>
        </w:tc>
        <w:tc>
          <w:tcPr>
            <w:tcW w:w="2500" w:type="pct"/>
            <w:shd w:val="clear" w:color="auto" w:fill="auto"/>
          </w:tcPr>
          <w:p w14:paraId="08FECB44" w14:textId="1E9BC3BA"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lang w:val="en-US"/>
              </w:rPr>
            </w:pPr>
            <w:r w:rsidRPr="003603CE">
              <w:rPr>
                <w:rFonts w:ascii="Times New Roman" w:hAnsi="Times New Roman" w:cs="Times New Roman"/>
                <w:sz w:val="20"/>
                <w:szCs w:val="20"/>
                <w:lang w:val="en-US"/>
              </w:rPr>
              <w:t>Student</w:t>
            </w:r>
          </w:p>
        </w:tc>
      </w:tr>
      <w:tr w:rsidR="003A7D31" w:rsidRPr="00367B6C" w14:paraId="4E7534B7" w14:textId="77777777" w:rsidTr="003A7D31">
        <w:tc>
          <w:tcPr>
            <w:tcW w:w="2500" w:type="pct"/>
            <w:shd w:val="clear" w:color="auto" w:fill="auto"/>
          </w:tcPr>
          <w:p w14:paraId="7A8D5D58" w14:textId="2ADB07CE" w:rsidR="003A7D31" w:rsidRPr="003603CE" w:rsidRDefault="003A7D31" w:rsidP="003603CE">
            <w:pPr>
              <w:spacing w:after="0" w:line="240" w:lineRule="auto"/>
              <w:rPr>
                <w:rFonts w:ascii="Times New Roman" w:eastAsia="Times New Roman" w:hAnsi="Times New Roman" w:cs="Times New Roman"/>
                <w:i/>
                <w:iCs/>
                <w:color w:val="000000"/>
                <w:sz w:val="20"/>
                <w:szCs w:val="20"/>
                <w:highlight w:val="yellow"/>
              </w:rPr>
            </w:pPr>
            <w:r w:rsidRPr="003603CE">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1C42EC70" w14:textId="58B08086" w:rsidR="003A7D31" w:rsidRPr="003603CE" w:rsidRDefault="003A7D31" w:rsidP="003603CE">
            <w:pPr>
              <w:spacing w:after="0" w:line="240" w:lineRule="auto"/>
              <w:rPr>
                <w:rFonts w:ascii="Times New Roman" w:eastAsia="Times New Roman" w:hAnsi="Times New Roman" w:cs="Times New Roman"/>
                <w:color w:val="000000"/>
                <w:sz w:val="20"/>
                <w:szCs w:val="20"/>
                <w:highlight w:val="yellow"/>
                <w:lang w:val="en-US"/>
              </w:rPr>
            </w:pPr>
            <w:r w:rsidRPr="003603CE">
              <w:rPr>
                <w:rFonts w:ascii="Times New Roman" w:hAnsi="Times New Roman" w:cs="Times New Roman"/>
                <w:i/>
                <w:sz w:val="20"/>
                <w:szCs w:val="20"/>
                <w:lang w:val="en-US"/>
              </w:rPr>
              <w:t>Kazan State Power Engineering University, Kazan, Russia</w:t>
            </w:r>
          </w:p>
        </w:tc>
      </w:tr>
      <w:tr w:rsidR="003A7D31" w:rsidRPr="00367B6C" w14:paraId="7DD5E53E" w14:textId="77777777" w:rsidTr="00766B4D">
        <w:tc>
          <w:tcPr>
            <w:tcW w:w="2500" w:type="pct"/>
            <w:shd w:val="clear" w:color="auto" w:fill="auto"/>
          </w:tcPr>
          <w:p w14:paraId="7A410982" w14:textId="77777777" w:rsidR="003A7D31" w:rsidRPr="003603CE" w:rsidRDefault="003A7D31" w:rsidP="003603CE">
            <w:pPr>
              <w:spacing w:after="0" w:line="240" w:lineRule="auto"/>
              <w:rPr>
                <w:rFonts w:ascii="Times New Roman" w:hAnsi="Times New Roman" w:cs="Times New Roman"/>
                <w:i/>
                <w:sz w:val="20"/>
                <w:szCs w:val="20"/>
                <w:highlight w:val="yellow"/>
                <w:lang w:val="en-US"/>
              </w:rPr>
            </w:pPr>
          </w:p>
        </w:tc>
        <w:tc>
          <w:tcPr>
            <w:tcW w:w="2500" w:type="pct"/>
            <w:shd w:val="clear" w:color="auto" w:fill="auto"/>
          </w:tcPr>
          <w:p w14:paraId="2C16B2CB" w14:textId="77777777" w:rsidR="003A7D31" w:rsidRPr="003603CE" w:rsidRDefault="003A7D31" w:rsidP="003603CE">
            <w:pPr>
              <w:spacing w:after="0" w:line="240" w:lineRule="auto"/>
              <w:rPr>
                <w:rFonts w:ascii="Times New Roman" w:hAnsi="Times New Roman" w:cs="Times New Roman"/>
                <w:i/>
                <w:sz w:val="20"/>
                <w:szCs w:val="20"/>
                <w:highlight w:val="yellow"/>
                <w:lang w:val="en-US"/>
              </w:rPr>
            </w:pPr>
          </w:p>
        </w:tc>
      </w:tr>
      <w:tr w:rsidR="009344BC" w:rsidRPr="00367B6C" w14:paraId="4BE67854" w14:textId="77777777" w:rsidTr="009344BC">
        <w:tc>
          <w:tcPr>
            <w:tcW w:w="2500" w:type="pct"/>
            <w:shd w:val="clear" w:color="auto" w:fill="auto"/>
          </w:tcPr>
          <w:p w14:paraId="5395578D" w14:textId="4968B77F" w:rsidR="009344BC" w:rsidRPr="003603CE" w:rsidRDefault="004D7076" w:rsidP="003603CE">
            <w:pPr>
              <w:spacing w:after="0" w:line="240" w:lineRule="auto"/>
              <w:rPr>
                <w:rFonts w:ascii="Times New Roman" w:eastAsia="Times New Roman" w:hAnsi="Times New Roman" w:cs="Times New Roman"/>
                <w:color w:val="000000"/>
                <w:sz w:val="20"/>
                <w:szCs w:val="20"/>
              </w:rPr>
            </w:pPr>
            <w:r w:rsidRPr="003603CE">
              <w:rPr>
                <w:rFonts w:ascii="Times New Roman" w:eastAsia="Times New Roman" w:hAnsi="Times New Roman" w:cs="Times New Roman"/>
                <w:color w:val="000000"/>
                <w:sz w:val="20"/>
                <w:szCs w:val="20"/>
              </w:rPr>
              <w:t>Эффективное накопление и сохранение тепловой энергии становится всё более актуальной задачей в условиях развития энергоэффективных технологий и растущей потребности в устойчивых решениях для агропромышленного комплекса. Высокотемпературные тепловые накопители предоставляют значительные преимущества, снижая потери энергии и зависимость от внешних источников, что способствует повышению эффективности и экономичности сельскохозяйственных процессов. В данном исследовании рассматривается тепловой накопитель, использующий смесь порошкообразного графита и инертного газа аргона в качестве теплоаккумулирующей среды. Цель работы заключается в изучении те</w:t>
            </w:r>
            <w:r w:rsidR="002606BC" w:rsidRPr="003603CE">
              <w:rPr>
                <w:rFonts w:ascii="Times New Roman" w:eastAsia="Times New Roman" w:hAnsi="Times New Roman" w:cs="Times New Roman"/>
                <w:color w:val="000000"/>
                <w:sz w:val="20"/>
                <w:szCs w:val="20"/>
              </w:rPr>
              <w:t>пло</w:t>
            </w:r>
            <w:r w:rsidRPr="003603CE">
              <w:rPr>
                <w:rFonts w:ascii="Times New Roman" w:eastAsia="Times New Roman" w:hAnsi="Times New Roman" w:cs="Times New Roman"/>
                <w:color w:val="000000"/>
                <w:sz w:val="20"/>
                <w:szCs w:val="20"/>
              </w:rPr>
              <w:t>физических свойств этой смеси, включая теплопроводность, теплоёмкость и коэффициент теплового расширения, при различных температурах и соотношениях графита.</w:t>
            </w:r>
            <w:r w:rsidR="002606BC" w:rsidRPr="003603CE">
              <w:rPr>
                <w:rFonts w:ascii="Times New Roman" w:eastAsia="Times New Roman" w:hAnsi="Times New Roman" w:cs="Times New Roman"/>
                <w:color w:val="000000"/>
                <w:sz w:val="20"/>
                <w:szCs w:val="20"/>
              </w:rPr>
              <w:t xml:space="preserve"> </w:t>
            </w:r>
            <w:r w:rsidRPr="003603CE">
              <w:rPr>
                <w:rFonts w:ascii="Times New Roman" w:eastAsia="Times New Roman" w:hAnsi="Times New Roman" w:cs="Times New Roman"/>
                <w:color w:val="000000"/>
                <w:sz w:val="20"/>
                <w:szCs w:val="20"/>
              </w:rPr>
              <w:t>Для аппроксимации температурной зависимости теплопроводности графита применялся метод линейной интерполяции, что позволило учесть её плавное снижение с ростом температуры. Коэффициент теплового расширения смеси определялся как взвешенная сумма коэффициентов её компонентов, принимая во внимание температурные зависимости каждого из них.</w:t>
            </w:r>
            <w:r w:rsidR="002606BC" w:rsidRPr="003603CE">
              <w:rPr>
                <w:rFonts w:ascii="Times New Roman" w:eastAsia="Times New Roman" w:hAnsi="Times New Roman" w:cs="Times New Roman"/>
                <w:color w:val="000000"/>
                <w:sz w:val="20"/>
                <w:szCs w:val="20"/>
              </w:rPr>
              <w:t xml:space="preserve"> </w:t>
            </w:r>
            <w:r w:rsidRPr="003603CE">
              <w:rPr>
                <w:rFonts w:ascii="Times New Roman" w:eastAsia="Times New Roman" w:hAnsi="Times New Roman" w:cs="Times New Roman"/>
                <w:color w:val="000000"/>
                <w:sz w:val="20"/>
                <w:szCs w:val="20"/>
              </w:rPr>
              <w:t>Результаты исследования показали, что увеличение доли графита в смеси существенно повышает её теплопроводность. Например, при 20 °C теплопроводность варьируется от 108,65</w:t>
            </w:r>
            <w:r w:rsidR="002606BC" w:rsidRPr="003603CE">
              <w:rPr>
                <w:rFonts w:ascii="Times New Roman" w:eastAsia="Times New Roman" w:hAnsi="Times New Roman" w:cs="Times New Roman"/>
                <w:color w:val="000000"/>
                <w:sz w:val="20"/>
                <w:szCs w:val="20"/>
              </w:rPr>
              <w:t> </w:t>
            </w:r>
            <w:r w:rsidRPr="003603CE">
              <w:rPr>
                <w:rFonts w:ascii="Times New Roman" w:eastAsia="Times New Roman" w:hAnsi="Times New Roman" w:cs="Times New Roman"/>
                <w:color w:val="000000"/>
                <w:sz w:val="20"/>
                <w:szCs w:val="20"/>
              </w:rPr>
              <w:t xml:space="preserve">Вт/(м·°C) для смеси с содержанием графита 50% до 189,24 Вт/(м·°C) при содержании графита 95%. Теплоёмкость и коэффициент теплового расширения демонстрируют температурную зависимость, причём повышение </w:t>
            </w:r>
            <w:r w:rsidRPr="003603CE">
              <w:rPr>
                <w:rFonts w:ascii="Times New Roman" w:eastAsia="Times New Roman" w:hAnsi="Times New Roman" w:cs="Times New Roman"/>
                <w:color w:val="000000"/>
                <w:sz w:val="20"/>
                <w:szCs w:val="20"/>
              </w:rPr>
              <w:lastRenderedPageBreak/>
              <w:t>доли графита способствует улучшению тепловых характеристик смеси</w:t>
            </w:r>
          </w:p>
        </w:tc>
        <w:tc>
          <w:tcPr>
            <w:tcW w:w="2500" w:type="pct"/>
            <w:shd w:val="clear" w:color="auto" w:fill="auto"/>
          </w:tcPr>
          <w:p w14:paraId="234C946A" w14:textId="40826D8E" w:rsidR="009344BC" w:rsidRPr="003603CE" w:rsidRDefault="002606BC" w:rsidP="003603CE">
            <w:pPr>
              <w:spacing w:after="0" w:line="240" w:lineRule="auto"/>
              <w:rPr>
                <w:rFonts w:ascii="Times New Roman" w:eastAsia="Times New Roman" w:hAnsi="Times New Roman" w:cs="Times New Roman"/>
                <w:color w:val="000000"/>
                <w:sz w:val="20"/>
                <w:szCs w:val="20"/>
                <w:lang w:val="en-US"/>
              </w:rPr>
            </w:pPr>
            <w:r w:rsidRPr="003603CE">
              <w:rPr>
                <w:rFonts w:ascii="Times New Roman" w:eastAsia="Times New Roman" w:hAnsi="Times New Roman" w:cs="Times New Roman"/>
                <w:color w:val="000000"/>
                <w:sz w:val="20"/>
                <w:szCs w:val="20"/>
                <w:lang w:val="en-US"/>
              </w:rPr>
              <w:lastRenderedPageBreak/>
              <w:t>The effective accumulation and storage of thermal energy are becoming increasingly relevant due to the rapid development of energy-efficient technologies and the rising demand for sustainable solutions in the agro-industrial sector. High-temperature thermal energy storage systems offer significant advantages by reducing energy losses and dependency on external sources, thus enhancing the efficiency and cost-effectiveness of agricultural processes. This study focuses on a thermal energy storage system utilizing a graphite powder mixture as the primary heat-accumulating medium. The research aims to investigate the thermophysical properties of this mixture, including thermal conductivity, specific heat capacity, and thermal expansion coefficient, across varying temperatures and graphite proportions. A linear interpolation method was employed to approximate the temperature dependence of graphite’s thermal conductivity, ensuring accurate representation of its gradual decrease with increasing temperature. Similarly, the mixture's thermal expansion coefficient was derived as a weighted sum of the individual components' coefficients, considering their respective temperature dependencies. Results demonstrated that increasing the graphite content significantly enhances the mixture's thermal conductivity. For instance, at 20°C, the thermal conductivity ranged from 108.65 W/(m·°C) for a 50% graphite mixture to 189.24 W/(m·°C) for a 95% graphite mixture. The specific heat capacity and thermal expansion coefficient showed temperature-dependent behavior, with higher graphite proportions leading to improved thermal properties. These findings provide a scientific basis for designing high-efficiency thermal energy storage systems for agricultural applications, particularly in high-temperature environments such as greenhouse heating systems powered by solar panels</w:t>
            </w:r>
          </w:p>
        </w:tc>
      </w:tr>
      <w:tr w:rsidR="009344BC" w:rsidRPr="00367B6C" w14:paraId="7A68BFA4" w14:textId="77777777" w:rsidTr="00766B4D">
        <w:tc>
          <w:tcPr>
            <w:tcW w:w="2500" w:type="pct"/>
            <w:shd w:val="clear" w:color="auto" w:fill="auto"/>
            <w:hideMark/>
          </w:tcPr>
          <w:p w14:paraId="63A315D7" w14:textId="77777777" w:rsidR="009344BC" w:rsidRPr="003603CE" w:rsidRDefault="009344BC" w:rsidP="003603C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3603CE" w:rsidRDefault="009344BC" w:rsidP="003603CE">
            <w:pPr>
              <w:spacing w:after="0" w:line="240" w:lineRule="auto"/>
              <w:rPr>
                <w:rFonts w:ascii="Times New Roman" w:eastAsia="Times New Roman" w:hAnsi="Times New Roman" w:cs="Times New Roman"/>
                <w:color w:val="000000"/>
                <w:sz w:val="20"/>
                <w:szCs w:val="20"/>
                <w:lang w:val="en-US"/>
              </w:rPr>
            </w:pPr>
          </w:p>
        </w:tc>
      </w:tr>
      <w:tr w:rsidR="009344BC" w:rsidRPr="00367B6C" w14:paraId="09A3E895" w14:textId="77777777" w:rsidTr="00766B4D">
        <w:tc>
          <w:tcPr>
            <w:tcW w:w="2500" w:type="pct"/>
            <w:shd w:val="clear" w:color="auto" w:fill="auto"/>
            <w:hideMark/>
          </w:tcPr>
          <w:p w14:paraId="09599965" w14:textId="77777777" w:rsidR="009344BC" w:rsidRDefault="009344BC" w:rsidP="003603CE">
            <w:pPr>
              <w:spacing w:after="0" w:line="240" w:lineRule="auto"/>
              <w:rPr>
                <w:rFonts w:ascii="Times New Roman" w:eastAsia="Times New Roman" w:hAnsi="Times New Roman" w:cs="Times New Roman"/>
                <w:color w:val="000000"/>
                <w:sz w:val="20"/>
                <w:szCs w:val="20"/>
              </w:rPr>
            </w:pPr>
            <w:r w:rsidRPr="003603CE">
              <w:rPr>
                <w:rFonts w:ascii="Times New Roman" w:eastAsia="Times New Roman" w:hAnsi="Times New Roman" w:cs="Times New Roman"/>
                <w:color w:val="000000"/>
                <w:sz w:val="20"/>
                <w:szCs w:val="20"/>
              </w:rPr>
              <w:t xml:space="preserve">Ключевые слова: </w:t>
            </w:r>
            <w:r w:rsidR="002606BC" w:rsidRPr="003603CE">
              <w:rPr>
                <w:rFonts w:ascii="Times New Roman" w:eastAsia="Times New Roman" w:hAnsi="Times New Roman" w:cs="Times New Roman"/>
                <w:color w:val="000000"/>
                <w:sz w:val="20"/>
                <w:szCs w:val="20"/>
              </w:rPr>
              <w:t>ТЕПЛОВОЙ НАКОПИТЕЛЬ, ПОРОШОК ГРАФИТА, ТЕРМОФИЗИЧЕСКИЕ СВОЙСТВА, ТЕПЛОПРОВОДНОСТЬ, ТЕПЛОЁМКОСТЬ, ТЕПЛОВОЕ РАСШИРЕНИЕ, АГРОПРОМЫШЛЕННОСТЬ, ЭНЕРГОЭФФЕКТИВНОСТЬ</w:t>
            </w:r>
          </w:p>
          <w:p w14:paraId="39A12989" w14:textId="77777777" w:rsidR="003603CE" w:rsidRDefault="003603CE" w:rsidP="003603CE">
            <w:pPr>
              <w:spacing w:after="0" w:line="240" w:lineRule="auto"/>
              <w:rPr>
                <w:rFonts w:ascii="Times New Roman" w:eastAsia="Times New Roman" w:hAnsi="Times New Roman" w:cs="Times New Roman"/>
                <w:color w:val="000000"/>
                <w:sz w:val="20"/>
                <w:szCs w:val="20"/>
              </w:rPr>
            </w:pPr>
          </w:p>
          <w:p w14:paraId="1F8CE1E1" w14:textId="5E302624" w:rsidR="003603CE" w:rsidRPr="003603CE" w:rsidRDefault="00341C3C" w:rsidP="003603CE">
            <w:pPr>
              <w:spacing w:after="0" w:line="240" w:lineRule="auto"/>
              <w:rPr>
                <w:rFonts w:ascii="Times New Roman" w:eastAsia="Times New Roman" w:hAnsi="Times New Roman" w:cs="Times New Roman"/>
                <w:color w:val="000000"/>
                <w:sz w:val="20"/>
                <w:szCs w:val="20"/>
                <w:lang w:val="en-US"/>
              </w:rPr>
            </w:pPr>
            <w:hyperlink r:id="rId7" w:history="1">
              <w:r w:rsidR="003603CE" w:rsidRPr="003E6C9A">
                <w:rPr>
                  <w:rStyle w:val="Hyperlink"/>
                  <w:rFonts w:ascii="Times New Roman" w:eastAsia="Times New Roman" w:hAnsi="Times New Roman" w:cs="Times New Roman"/>
                  <w:sz w:val="20"/>
                  <w:szCs w:val="20"/>
                </w:rPr>
                <w:t>http://dx.doi.org/10.21515/1990-4665-205-0</w:t>
              </w:r>
              <w:r w:rsidR="003603CE" w:rsidRPr="003E6C9A">
                <w:rPr>
                  <w:rStyle w:val="Hyperlink"/>
                  <w:rFonts w:ascii="Times New Roman" w:eastAsia="Times New Roman" w:hAnsi="Times New Roman" w:cs="Times New Roman"/>
                  <w:sz w:val="20"/>
                  <w:szCs w:val="20"/>
                  <w:lang w:val="en-US"/>
                </w:rPr>
                <w:t>29</w:t>
              </w:r>
            </w:hyperlink>
            <w:r w:rsidR="003603CE">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7AC2437C" w14:textId="66B1BD32" w:rsidR="009344BC" w:rsidRPr="003603CE" w:rsidRDefault="009344BC" w:rsidP="003603CE">
            <w:pPr>
              <w:spacing w:after="0" w:line="240" w:lineRule="auto"/>
              <w:rPr>
                <w:rFonts w:ascii="Times New Roman" w:eastAsia="Times New Roman" w:hAnsi="Times New Roman" w:cs="Times New Roman"/>
                <w:i/>
                <w:iCs/>
                <w:color w:val="000000"/>
                <w:sz w:val="20"/>
                <w:szCs w:val="20"/>
                <w:lang w:val="en-US"/>
              </w:rPr>
            </w:pPr>
            <w:r w:rsidRPr="003603CE">
              <w:rPr>
                <w:rFonts w:ascii="Times New Roman" w:eastAsia="Times New Roman" w:hAnsi="Times New Roman" w:cs="Times New Roman"/>
                <w:color w:val="000000"/>
                <w:sz w:val="20"/>
                <w:szCs w:val="20"/>
                <w:lang w:val="en-US"/>
              </w:rPr>
              <w:t xml:space="preserve">Keywords: </w:t>
            </w:r>
            <w:r w:rsidR="002606BC" w:rsidRPr="003603CE">
              <w:rPr>
                <w:rFonts w:ascii="Times New Roman" w:eastAsia="Times New Roman" w:hAnsi="Times New Roman" w:cs="Times New Roman"/>
                <w:color w:val="000000"/>
                <w:sz w:val="20"/>
                <w:szCs w:val="20"/>
                <w:lang w:val="en-US"/>
              </w:rPr>
              <w:t>THERMAL ENERGY STORAGE, GRAPHITE POWDER, THERMOPHYSICAL PROPERTIES, THERMAL CONDUCTIVITY, SPECIFIC HEAT CAPACITY, THERMAL EXPANSION, AGRO-INDUSTRIAL APPLICATIONS, ENERGY EFFICIENCY</w:t>
            </w:r>
          </w:p>
        </w:tc>
      </w:tr>
    </w:tbl>
    <w:p w14:paraId="052F2DB8" w14:textId="7DF998F2" w:rsidR="00766B4D" w:rsidRPr="002606BC" w:rsidRDefault="00766B4D" w:rsidP="00C169CC">
      <w:pPr>
        <w:spacing w:after="0" w:line="360" w:lineRule="auto"/>
        <w:ind w:firstLine="709"/>
        <w:jc w:val="center"/>
        <w:rPr>
          <w:rFonts w:ascii="Times New Roman" w:hAnsi="Times New Roman" w:cs="Times New Roman"/>
          <w:b/>
          <w:sz w:val="28"/>
          <w:szCs w:val="28"/>
          <w:lang w:val="en-US"/>
        </w:rPr>
      </w:pPr>
    </w:p>
    <w:p w14:paraId="61AC2581" w14:textId="77777777" w:rsidR="00E8062B" w:rsidRPr="002606BC" w:rsidRDefault="00561350" w:rsidP="00E8062B">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b/>
          <w:sz w:val="28"/>
          <w:szCs w:val="28"/>
        </w:rPr>
        <w:t>Введение.</w:t>
      </w:r>
      <w:r w:rsidRPr="002606BC">
        <w:rPr>
          <w:rFonts w:ascii="Times New Roman" w:hAnsi="Times New Roman" w:cs="Times New Roman"/>
          <w:sz w:val="28"/>
          <w:szCs w:val="28"/>
        </w:rPr>
        <w:t xml:space="preserve"> </w:t>
      </w:r>
      <w:r w:rsidR="00E8062B" w:rsidRPr="002606BC">
        <w:rPr>
          <w:rFonts w:ascii="Times New Roman" w:hAnsi="Times New Roman" w:cs="Times New Roman"/>
          <w:sz w:val="28"/>
          <w:szCs w:val="28"/>
        </w:rPr>
        <w:t>Проблемы эффективного накопления и сохранения тепловой энергии приобретают всё большую актуальность в связи с развитием энергоэффективных технологий и увеличением потребности в устойчивых решениях для агропромышленного комплекса. В современных условиях важно разрабатывать системы, которые способны обеспечивать стабильное функционирование сельскохозяйственных объектов, снижая зависимость от внешних источников энергии и минимизируя потери тепла. Использование высокотемпературных рабочих тел открывает новые перспективы в области создания инновационных тепловых накопителей, позволяя увеличить эффективность процессов и снизить эксплуатационные издержки.</w:t>
      </w:r>
    </w:p>
    <w:p w14:paraId="6F1C8CDF" w14:textId="3B13DDD8" w:rsidR="006666D6" w:rsidRDefault="00E8062B" w:rsidP="00E8062B">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sz w:val="28"/>
          <w:szCs w:val="28"/>
        </w:rPr>
        <w:t xml:space="preserve">Одной из ключевых задач является изучение тепловых свойств материалов, используемых в таких накопителях. Особый интерес представляет графит, обладающий уникальными </w:t>
      </w:r>
      <w:r w:rsidR="002606BC" w:rsidRPr="002606BC">
        <w:rPr>
          <w:rFonts w:ascii="Times New Roman" w:hAnsi="Times New Roman" w:cs="Times New Roman"/>
          <w:sz w:val="28"/>
          <w:szCs w:val="28"/>
        </w:rPr>
        <w:t>теплофизическими</w:t>
      </w:r>
      <w:r w:rsidRPr="002606BC">
        <w:rPr>
          <w:rFonts w:ascii="Times New Roman" w:hAnsi="Times New Roman" w:cs="Times New Roman"/>
          <w:sz w:val="28"/>
          <w:szCs w:val="28"/>
        </w:rPr>
        <w:t xml:space="preserve"> характеристиками, такими как высокая теплопроводность и устойчивость к экстремальным температурам. Исследование его поведения в смеси с инертными газами позволяет не только оптимизировать процессы теплопередачи, но и рассчитать параметры, влияющие на долговечность и надёжность системы. Таким образом, вопросы анализа и математического моделирования характеристик тепловых накопителей с использованием графита становятся центральными в поиске эффективных решений для агропромышленного комплекса.</w:t>
      </w:r>
    </w:p>
    <w:p w14:paraId="0675707B" w14:textId="77777777" w:rsidR="00375DB3" w:rsidRPr="00375DB3" w:rsidRDefault="00375DB3" w:rsidP="00375DB3">
      <w:pPr>
        <w:spacing w:after="0" w:line="360" w:lineRule="auto"/>
        <w:ind w:firstLine="709"/>
        <w:jc w:val="both"/>
        <w:rPr>
          <w:rFonts w:ascii="Times New Roman" w:hAnsi="Times New Roman" w:cs="Times New Roman"/>
          <w:sz w:val="28"/>
          <w:szCs w:val="28"/>
        </w:rPr>
      </w:pPr>
      <w:r w:rsidRPr="00375DB3">
        <w:rPr>
          <w:rFonts w:ascii="Times New Roman" w:hAnsi="Times New Roman" w:cs="Times New Roman"/>
          <w:sz w:val="28"/>
          <w:szCs w:val="28"/>
        </w:rPr>
        <w:lastRenderedPageBreak/>
        <w:t>Особую роль в создании эффективных тепловых накопителей играют материалы, которые используются в их конструкции. Графит благодаря своим уникальным термофизическим свойствам, таким как высокая теплопроводность, химическая инертность и устойчивость к высоким температурам, становится перспективным материалом для таких систем. Исследование его поведения в смеси с инертными газами, например аргоном, позволяет улучшить характеристики теплового накопителя и обеспечить его надёжность при эксплуатации.</w:t>
      </w:r>
    </w:p>
    <w:p w14:paraId="0432837C" w14:textId="2186BA71" w:rsidR="00375DB3" w:rsidRPr="002606BC" w:rsidRDefault="00375DB3" w:rsidP="00375DB3">
      <w:pPr>
        <w:spacing w:after="0" w:line="360" w:lineRule="auto"/>
        <w:ind w:firstLine="709"/>
        <w:jc w:val="both"/>
        <w:rPr>
          <w:rFonts w:ascii="Times New Roman" w:hAnsi="Times New Roman" w:cs="Times New Roman"/>
          <w:sz w:val="28"/>
          <w:szCs w:val="28"/>
        </w:rPr>
      </w:pPr>
      <w:r w:rsidRPr="00375DB3">
        <w:rPr>
          <w:rFonts w:ascii="Times New Roman" w:hAnsi="Times New Roman" w:cs="Times New Roman"/>
          <w:sz w:val="28"/>
          <w:szCs w:val="28"/>
        </w:rPr>
        <w:t xml:space="preserve">Таким образом, актуальность исследования тепловых свойств графита и его смесей с инертными газами продиктована необходимостью создания современных, экологически безопасных и экономически эффективных систем накопления энергии. </w:t>
      </w:r>
    </w:p>
    <w:p w14:paraId="68C10221" w14:textId="66190EB1" w:rsidR="00E8062B" w:rsidRPr="002606BC" w:rsidRDefault="00561350" w:rsidP="00E8062B">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b/>
          <w:sz w:val="28"/>
          <w:szCs w:val="28"/>
        </w:rPr>
        <w:t xml:space="preserve">Состояние исследований и актуальность проблемы. </w:t>
      </w:r>
      <w:r w:rsidR="00E8062B" w:rsidRPr="002606BC">
        <w:rPr>
          <w:rFonts w:ascii="Times New Roman" w:hAnsi="Times New Roman" w:cs="Times New Roman"/>
          <w:sz w:val="28"/>
          <w:szCs w:val="28"/>
        </w:rPr>
        <w:t xml:space="preserve">Научные исследования в области тепловой энергии направлены на поиск эффективных решений для её аккумулирования и последующего использования. В последние годы ведётся активная работа над разработкой материалов, способных выдерживать высокие температуры и сохранять стабильность своих физических характеристик. </w:t>
      </w:r>
    </w:p>
    <w:p w14:paraId="52FD4E57" w14:textId="77777777" w:rsidR="00E8062B" w:rsidRPr="002606BC" w:rsidRDefault="00E8062B" w:rsidP="00E8062B">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sz w:val="28"/>
          <w:szCs w:val="28"/>
        </w:rPr>
        <w:t>Ряд исследований демонстрирует, что комбинирование графита с инертными газами, такими как аргон, позволяет существенно повысить теплофизические свойства смесей. Такие системы обеспечивают не только высокий коэффициент теплопередачи, но и стабильность при значительных температурных перепадах, что особенно важно для условий агропромышленного производства. Однако остаются нерешённые вопросы, связанные с влиянием доли графита в смеси на её теплофизические параметры, такие как теплопроводность, теплоёмкость и коэффициент теплового расширения. Также требует уточнения влияние температуры на данные характеристики, что имеет решающее значение для моделирования и оптимизации процессов аккумулирования тепла.</w:t>
      </w:r>
    </w:p>
    <w:p w14:paraId="47E9872B" w14:textId="75048604" w:rsidR="00561350" w:rsidRDefault="00E8062B" w:rsidP="00E8062B">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sz w:val="28"/>
          <w:szCs w:val="28"/>
        </w:rPr>
        <w:lastRenderedPageBreak/>
        <w:t>Создание тепловых накопителей, работающих при высоких температурах, способствует снижению потребления традиционных энергоносителей и повышению автономности агропромышленных объектов</w:t>
      </w:r>
      <w:r w:rsidR="0038726C">
        <w:rPr>
          <w:rFonts w:ascii="Times New Roman" w:hAnsi="Times New Roman" w:cs="Times New Roman"/>
          <w:sz w:val="28"/>
          <w:szCs w:val="28"/>
        </w:rPr>
        <w:t>.</w:t>
      </w:r>
    </w:p>
    <w:p w14:paraId="1B8CF577" w14:textId="77777777" w:rsidR="00375DB3" w:rsidRPr="00375DB3" w:rsidRDefault="00375DB3" w:rsidP="00375DB3">
      <w:pPr>
        <w:spacing w:after="0" w:line="360" w:lineRule="auto"/>
        <w:ind w:firstLine="709"/>
        <w:jc w:val="both"/>
        <w:rPr>
          <w:rFonts w:ascii="Times New Roman" w:hAnsi="Times New Roman" w:cs="Times New Roman"/>
          <w:bCs/>
          <w:sz w:val="28"/>
          <w:szCs w:val="28"/>
        </w:rPr>
      </w:pPr>
      <w:r w:rsidRPr="00375DB3">
        <w:rPr>
          <w:rFonts w:ascii="Times New Roman" w:hAnsi="Times New Roman" w:cs="Times New Roman"/>
          <w:bCs/>
          <w:sz w:val="28"/>
          <w:szCs w:val="28"/>
        </w:rPr>
        <w:t>Разработка высокотемпературных тепловых накопителей особенно важна в контексте перехода к энергоэффективным технологиям в агропромышленном комплексе. Использование таких систем позволяет не только сократить энергозатраты, но и снизить углеродный след, что отвечает современным требованиям устойчивого развития. Кроме того, это создаёт возможности для внедрения автономных систем, способных функционировать в удалённых регионах с ограниченными ресурсами.</w:t>
      </w:r>
    </w:p>
    <w:p w14:paraId="340F538E" w14:textId="355553E7" w:rsidR="006666D6" w:rsidRPr="002606BC" w:rsidRDefault="00E8062B" w:rsidP="006666D6">
      <w:pPr>
        <w:spacing w:after="0" w:line="360" w:lineRule="auto"/>
        <w:ind w:firstLine="709"/>
        <w:jc w:val="both"/>
        <w:rPr>
          <w:rFonts w:ascii="Times New Roman" w:hAnsi="Times New Roman" w:cs="Times New Roman"/>
          <w:bCs/>
          <w:sz w:val="28"/>
          <w:szCs w:val="28"/>
        </w:rPr>
      </w:pPr>
      <w:r w:rsidRPr="002606BC">
        <w:rPr>
          <w:rFonts w:ascii="Times New Roman" w:hAnsi="Times New Roman" w:cs="Times New Roman"/>
          <w:bCs/>
          <w:sz w:val="28"/>
          <w:szCs w:val="28"/>
        </w:rPr>
        <w:t>В работе [1] представлена модель теплового накопителя энергии, который может быть использован для обогрева тепличного хозяйства. В качестве теплоаккумулирующей среды выступает графитовый порошок. Актуальной задачей является поиск зависимостей коэффициента теплопроводности, теплоемкости и коэффициента теплового расширения графитовой смеси.</w:t>
      </w:r>
    </w:p>
    <w:p w14:paraId="65FE01E6" w14:textId="7118122A" w:rsidR="00561350" w:rsidRPr="002606BC" w:rsidRDefault="00561350" w:rsidP="00561350">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b/>
          <w:sz w:val="28"/>
          <w:szCs w:val="28"/>
        </w:rPr>
        <w:t>Цель исследований.</w:t>
      </w:r>
      <w:r w:rsidRPr="002606BC">
        <w:rPr>
          <w:rFonts w:ascii="Times New Roman" w:hAnsi="Times New Roman" w:cs="Times New Roman"/>
          <w:sz w:val="28"/>
          <w:szCs w:val="28"/>
        </w:rPr>
        <w:t xml:space="preserve"> </w:t>
      </w:r>
      <w:r w:rsidR="00E8062B" w:rsidRPr="002606BC">
        <w:rPr>
          <w:rFonts w:ascii="Times New Roman" w:hAnsi="Times New Roman" w:cs="Times New Roman"/>
          <w:sz w:val="28"/>
          <w:szCs w:val="28"/>
        </w:rPr>
        <w:t>Целью данного исследования является изучение теплофизических параметров теплового накопителя на основе графита и аргона, включая теплопроводность, теплоёмкость и коэффициент теплового расширения, при различных температурах и долях графита в смеси.</w:t>
      </w:r>
    </w:p>
    <w:p w14:paraId="48A4929F" w14:textId="07204920" w:rsidR="00E30C78" w:rsidRPr="002606BC" w:rsidRDefault="00561350" w:rsidP="00E30C78">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b/>
          <w:sz w:val="28"/>
          <w:szCs w:val="28"/>
        </w:rPr>
        <w:t>Материалы и методы исследований.</w:t>
      </w:r>
      <w:r w:rsidRPr="002606BC">
        <w:rPr>
          <w:rFonts w:ascii="Times New Roman" w:hAnsi="Times New Roman" w:cs="Times New Roman"/>
          <w:sz w:val="28"/>
          <w:szCs w:val="28"/>
        </w:rPr>
        <w:t xml:space="preserve"> </w:t>
      </w:r>
      <w:r w:rsidR="00E30C78" w:rsidRPr="002606BC">
        <w:rPr>
          <w:rFonts w:ascii="Times New Roman" w:hAnsi="Times New Roman" w:cs="Times New Roman"/>
          <w:sz w:val="28"/>
          <w:szCs w:val="28"/>
        </w:rPr>
        <w:t>Для оценки теплофизических характеристик смеси использовались аналитические методы расчёта, основанные на известных теплофизических свойствах её компонентов</w:t>
      </w:r>
      <w:r w:rsidR="00F21A64" w:rsidRPr="002606BC">
        <w:rPr>
          <w:rFonts w:ascii="Times New Roman" w:hAnsi="Times New Roman" w:cs="Times New Roman"/>
          <w:sz w:val="28"/>
          <w:szCs w:val="28"/>
          <w:lang w:val="en-US"/>
        </w:rPr>
        <w:t> </w:t>
      </w:r>
      <w:r w:rsidR="00F21A64" w:rsidRPr="002606BC">
        <w:rPr>
          <w:rFonts w:ascii="Times New Roman" w:hAnsi="Times New Roman" w:cs="Times New Roman"/>
          <w:sz w:val="28"/>
          <w:szCs w:val="28"/>
        </w:rPr>
        <w:t>–</w:t>
      </w:r>
      <w:r w:rsidR="00F21A64" w:rsidRPr="002606BC">
        <w:rPr>
          <w:rFonts w:ascii="Times New Roman" w:hAnsi="Times New Roman" w:cs="Times New Roman"/>
          <w:sz w:val="28"/>
          <w:szCs w:val="28"/>
          <w:lang w:val="en-US"/>
        </w:rPr>
        <w:t> </w:t>
      </w:r>
      <w:r w:rsidR="00E30C78" w:rsidRPr="002606BC">
        <w:rPr>
          <w:rFonts w:ascii="Times New Roman" w:hAnsi="Times New Roman" w:cs="Times New Roman"/>
          <w:sz w:val="28"/>
          <w:szCs w:val="28"/>
        </w:rPr>
        <w:t>порошкообразного графита и инертного газа аргона. Смесь рассматривалась как модельная система, где каждый компонент вносит свой вклад в общие параметры.</w:t>
      </w:r>
    </w:p>
    <w:p w14:paraId="65F2DCAD" w14:textId="6A986F13" w:rsidR="00561350" w:rsidRPr="002606BC" w:rsidRDefault="00E30C78" w:rsidP="00F21A64">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sz w:val="28"/>
          <w:szCs w:val="28"/>
        </w:rPr>
        <w:t xml:space="preserve">Температурная зависимость теплопроводности графита была аппроксимирована методом линейной интерполяции, что позволило </w:t>
      </w:r>
      <w:r w:rsidRPr="002606BC">
        <w:rPr>
          <w:rFonts w:ascii="Times New Roman" w:hAnsi="Times New Roman" w:cs="Times New Roman"/>
          <w:sz w:val="28"/>
          <w:szCs w:val="28"/>
        </w:rPr>
        <w:lastRenderedPageBreak/>
        <w:t>учитывать плавное снижение теплопроводности материала при увеличении температуры. Этот подход был выбран благодаря его простоте и возможности точного описания экспериментально наблюдаемых изменений.</w:t>
      </w:r>
      <w:r w:rsidR="00F21A64" w:rsidRPr="002606BC">
        <w:rPr>
          <w:rFonts w:ascii="Times New Roman" w:hAnsi="Times New Roman" w:cs="Times New Roman"/>
          <w:sz w:val="28"/>
          <w:szCs w:val="28"/>
        </w:rPr>
        <w:t xml:space="preserve"> </w:t>
      </w:r>
      <w:r w:rsidRPr="002606BC">
        <w:rPr>
          <w:rFonts w:ascii="Times New Roman" w:hAnsi="Times New Roman" w:cs="Times New Roman"/>
          <w:sz w:val="28"/>
          <w:szCs w:val="28"/>
        </w:rPr>
        <w:t>Общий коэффициент теплового расширения смеси рассчитывался на основе взвешенной суммы коэффициентов теплового расширения графита и аргона.</w:t>
      </w:r>
    </w:p>
    <w:p w14:paraId="52762D7B" w14:textId="26514A3D" w:rsidR="006666D6" w:rsidRPr="002606BC" w:rsidRDefault="00561350" w:rsidP="001810FC">
      <w:pPr>
        <w:spacing w:after="0" w:line="360" w:lineRule="auto"/>
        <w:ind w:firstLine="709"/>
        <w:jc w:val="both"/>
        <w:rPr>
          <w:rFonts w:ascii="Times New Roman" w:hAnsi="Times New Roman" w:cs="Times New Roman"/>
          <w:b/>
          <w:sz w:val="28"/>
          <w:szCs w:val="28"/>
        </w:rPr>
      </w:pPr>
      <w:r w:rsidRPr="002606BC">
        <w:rPr>
          <w:rFonts w:ascii="Times New Roman" w:hAnsi="Times New Roman" w:cs="Times New Roman"/>
          <w:b/>
          <w:sz w:val="28"/>
          <w:szCs w:val="28"/>
        </w:rPr>
        <w:t xml:space="preserve">Результаты исследований. </w:t>
      </w:r>
      <w:r w:rsidR="006666D6" w:rsidRPr="002606BC">
        <w:rPr>
          <w:rFonts w:ascii="Times New Roman" w:hAnsi="Times New Roman" w:cs="Times New Roman"/>
          <w:color w:val="000000" w:themeColor="text1"/>
          <w:sz w:val="28"/>
          <w:szCs w:val="28"/>
        </w:rPr>
        <w:t>Теплопроводность смеси рассчитывалась на основе модели эффективной среды:</w:t>
      </w:r>
    </w:p>
    <w:p w14:paraId="1ABBAD84" w14:textId="70D2E701"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6"/>
        </w:rPr>
        <w:object w:dxaOrig="3480" w:dyaOrig="440" w14:anchorId="52768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73.9pt;height:21.95pt;mso-width-percent:0;mso-height-percent:0;mso-width-percent:0;mso-height-percent:0" o:ole="">
            <v:imagedata r:id="rId8" o:title=""/>
          </v:shape>
          <o:OLEObject Type="Embed" ProgID="Equation.DSMT4" ShapeID="_x0000_i1040" DrawAspect="Content" ObjectID="_1799509469" r:id="rId9"/>
        </w:object>
      </w:r>
      <w:r w:rsidRPr="002606BC">
        <w:rPr>
          <w:color w:val="000000" w:themeColor="text1"/>
          <w:lang w:val="ru-RU"/>
        </w:rPr>
        <w:t xml:space="preserve"> </w:t>
      </w:r>
      <w:r w:rsidRPr="002606BC">
        <w:rPr>
          <w:color w:val="000000" w:themeColor="text1"/>
          <w:lang w:val="ru-RU"/>
        </w:rPr>
        <w:tab/>
        <w:t>(1)</w:t>
      </w:r>
    </w:p>
    <w:p w14:paraId="6B2C33A8" w14:textId="31CE355E" w:rsidR="006666D6" w:rsidRPr="002606BC" w:rsidRDefault="006666D6" w:rsidP="006666D6">
      <w:pPr>
        <w:spacing w:after="0" w:line="360" w:lineRule="auto"/>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где φ – объемная доля графита; λ</w:t>
      </w:r>
      <w:r w:rsidRPr="002606BC">
        <w:rPr>
          <w:rFonts w:ascii="Times New Roman" w:hAnsi="Times New Roman" w:cs="Times New Roman"/>
          <w:color w:val="000000" w:themeColor="text1"/>
          <w:sz w:val="28"/>
          <w:szCs w:val="28"/>
          <w:vertAlign w:val="subscript"/>
        </w:rPr>
        <w:t>г</w:t>
      </w:r>
      <w:r w:rsidRPr="002606BC">
        <w:rPr>
          <w:rFonts w:ascii="Times New Roman" w:hAnsi="Times New Roman" w:cs="Times New Roman"/>
          <w:color w:val="000000" w:themeColor="text1"/>
          <w:sz w:val="28"/>
          <w:szCs w:val="28"/>
        </w:rPr>
        <w:t>(</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 теплопроводность графита от температуры, Вт/(м⸱К); λ</w:t>
      </w:r>
      <w:r w:rsidRPr="002606BC">
        <w:rPr>
          <w:rFonts w:ascii="Times New Roman" w:hAnsi="Times New Roman" w:cs="Times New Roman"/>
          <w:color w:val="000000" w:themeColor="text1"/>
          <w:sz w:val="28"/>
          <w:szCs w:val="28"/>
          <w:vertAlign w:val="subscript"/>
        </w:rPr>
        <w:t>аргон</w:t>
      </w:r>
      <w:r w:rsidRPr="002606BC">
        <w:rPr>
          <w:rFonts w:ascii="Times New Roman" w:hAnsi="Times New Roman" w:cs="Times New Roman"/>
          <w:color w:val="000000" w:themeColor="text1"/>
          <w:sz w:val="28"/>
          <w:szCs w:val="28"/>
        </w:rPr>
        <w:t xml:space="preserve"> – теплопроводность аргона (принималась 0,0177 Вт//(м⸱К) при температуре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w:t>
      </w:r>
    </w:p>
    <w:p w14:paraId="19C6B223"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Стоит отметить, что теплопроводность аргона принималась равной постоянному значению, т. к. это значение практически не изменяется в диапазоне температур от 20 до 2500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w:t>
      </w:r>
    </w:p>
    <w:p w14:paraId="76ACB729"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В ходе расчетов рассматривались различные объемные доли графита φ = 0,5, 0,75, 0,85 и 0,95 и температура от 20 до 2500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w:t>
      </w:r>
    </w:p>
    <w:p w14:paraId="5AFBA6EA"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Температурная зависимость теплопроводности графита аппроксимировалась линейной интерполяцией</w:t>
      </w:r>
    </w:p>
    <w:p w14:paraId="033F4524" w14:textId="574482A8"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2860" w:dyaOrig="420" w14:anchorId="28A2B449">
          <v:shape id="_x0000_i1039" type="#_x0000_t75" alt="" style="width:142.8pt;height:20.75pt;mso-width-percent:0;mso-height-percent:0;mso-width-percent:0;mso-height-percent:0" o:ole="">
            <v:imagedata r:id="rId10" o:title=""/>
          </v:shape>
          <o:OLEObject Type="Embed" ProgID="Equation.DSMT4" ShapeID="_x0000_i1039" DrawAspect="Content" ObjectID="_1799509470" r:id="rId11"/>
        </w:object>
      </w:r>
      <w:r w:rsidRPr="002606BC">
        <w:rPr>
          <w:color w:val="000000" w:themeColor="text1"/>
          <w:lang w:val="ru-RU"/>
        </w:rPr>
        <w:t xml:space="preserve"> </w:t>
      </w:r>
      <w:r w:rsidRPr="002606BC">
        <w:rPr>
          <w:color w:val="000000" w:themeColor="text1"/>
          <w:lang w:val="ru-RU"/>
        </w:rPr>
        <w:tab/>
        <w:t>(2)</w:t>
      </w:r>
    </w:p>
    <w:p w14:paraId="2D4C194C"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Как видно, для различных значений объемной доли графита φ теплопроводность смеси уменьшается с ростом температуры, однако скорость снижения зависит от объёмной доли графита.</w:t>
      </w:r>
    </w:p>
    <w:p w14:paraId="5B733A53"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Для φ = 0,5:</w:t>
      </w:r>
    </w:p>
    <w:p w14:paraId="6E915818" w14:textId="36F67689"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4140" w:dyaOrig="420" w14:anchorId="04EB11BD">
          <v:shape id="_x0000_i1038" type="#_x0000_t75" alt="" style="width:206.85pt;height:20.75pt;mso-width-percent:0;mso-height-percent:0;mso-width-percent:0;mso-height-percent:0" o:ole="">
            <v:imagedata r:id="rId12" o:title=""/>
          </v:shape>
          <o:OLEObject Type="Embed" ProgID="Equation.DSMT4" ShapeID="_x0000_i1038" DrawAspect="Content" ObjectID="_1799509471" r:id="rId13"/>
        </w:object>
      </w:r>
      <w:r w:rsidRPr="002606BC">
        <w:rPr>
          <w:color w:val="000000" w:themeColor="text1"/>
          <w:lang w:val="ru-RU"/>
        </w:rPr>
        <w:t xml:space="preserve"> </w:t>
      </w:r>
      <w:r w:rsidRPr="002606BC">
        <w:rPr>
          <w:color w:val="000000" w:themeColor="text1"/>
          <w:lang w:val="ru-RU"/>
        </w:rPr>
        <w:tab/>
        <w:t>(3)</w:t>
      </w:r>
    </w:p>
    <w:p w14:paraId="58ED77AB"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Для φ = 0,75:º</w:t>
      </w:r>
    </w:p>
    <w:p w14:paraId="2914CB24" w14:textId="0D4603A5"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4280" w:dyaOrig="420" w14:anchorId="4914427F">
          <v:shape id="_x0000_i1037" type="#_x0000_t75" alt="" style="width:214.15pt;height:20.75pt;mso-width-percent:0;mso-height-percent:0;mso-width-percent:0;mso-height-percent:0" o:ole="">
            <v:imagedata r:id="rId14" o:title=""/>
          </v:shape>
          <o:OLEObject Type="Embed" ProgID="Equation.DSMT4" ShapeID="_x0000_i1037" DrawAspect="Content" ObjectID="_1799509472" r:id="rId15"/>
        </w:object>
      </w:r>
      <w:r w:rsidRPr="002606BC">
        <w:rPr>
          <w:color w:val="000000" w:themeColor="text1"/>
          <w:lang w:val="ru-RU"/>
        </w:rPr>
        <w:t xml:space="preserve"> </w:t>
      </w:r>
      <w:r w:rsidRPr="002606BC">
        <w:rPr>
          <w:color w:val="000000" w:themeColor="text1"/>
          <w:lang w:val="ru-RU"/>
        </w:rPr>
        <w:tab/>
        <w:t>(4)</w:t>
      </w:r>
    </w:p>
    <w:p w14:paraId="1DC1ECC3"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Для φ = 0,85:</w:t>
      </w:r>
    </w:p>
    <w:p w14:paraId="33A4AFA9" w14:textId="61A2310E" w:rsidR="006666D6" w:rsidRPr="002606BC" w:rsidRDefault="006666D6" w:rsidP="006666D6">
      <w:pPr>
        <w:pStyle w:val="MTDisplayEquation"/>
        <w:rPr>
          <w:color w:val="000000" w:themeColor="text1"/>
          <w:lang w:val="ru-RU"/>
        </w:rPr>
      </w:pPr>
      <w:r w:rsidRPr="002606BC">
        <w:rPr>
          <w:color w:val="000000" w:themeColor="text1"/>
          <w:lang w:val="ru-RU"/>
        </w:rPr>
        <w:lastRenderedPageBreak/>
        <w:tab/>
      </w:r>
      <w:r w:rsidR="00341C3C" w:rsidRPr="002606BC">
        <w:rPr>
          <w:noProof/>
          <w:color w:val="000000" w:themeColor="text1"/>
          <w:position w:val="-14"/>
        </w:rPr>
        <w:object w:dxaOrig="4280" w:dyaOrig="420" w14:anchorId="2947DCE0">
          <v:shape id="_x0000_i1036" type="#_x0000_t75" alt="" style="width:214.15pt;height:20.75pt;mso-width-percent:0;mso-height-percent:0;mso-width-percent:0;mso-height-percent:0" o:ole="">
            <v:imagedata r:id="rId16" o:title=""/>
          </v:shape>
          <o:OLEObject Type="Embed" ProgID="Equation.DSMT4" ShapeID="_x0000_i1036" DrawAspect="Content" ObjectID="_1799509473" r:id="rId17"/>
        </w:object>
      </w:r>
      <w:r w:rsidRPr="002606BC">
        <w:rPr>
          <w:color w:val="000000" w:themeColor="text1"/>
          <w:lang w:val="ru-RU"/>
        </w:rPr>
        <w:t xml:space="preserve"> </w:t>
      </w:r>
      <w:r w:rsidRPr="002606BC">
        <w:rPr>
          <w:color w:val="000000" w:themeColor="text1"/>
          <w:lang w:val="ru-RU"/>
        </w:rPr>
        <w:tab/>
        <w:t>(5)</w:t>
      </w:r>
    </w:p>
    <w:p w14:paraId="4FF3B06C"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Для φ = 0,95:</w:t>
      </w:r>
    </w:p>
    <w:p w14:paraId="52C40AC1" w14:textId="1FE9D7EC"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4420" w:dyaOrig="420" w14:anchorId="44F155F1">
          <v:shape id="_x0000_i1035" type="#_x0000_t75" alt="" style="width:220.9pt;height:20.75pt;mso-width-percent:0;mso-height-percent:0;mso-width-percent:0;mso-height-percent:0" o:ole="">
            <v:imagedata r:id="rId18" o:title=""/>
          </v:shape>
          <o:OLEObject Type="Embed" ProgID="Equation.DSMT4" ShapeID="_x0000_i1035" DrawAspect="Content" ObjectID="_1799509474" r:id="rId19"/>
        </w:object>
      </w:r>
      <w:r w:rsidRPr="002606BC">
        <w:rPr>
          <w:color w:val="000000" w:themeColor="text1"/>
          <w:lang w:val="ru-RU"/>
        </w:rPr>
        <w:t xml:space="preserve"> </w:t>
      </w:r>
      <w:r w:rsidRPr="002606BC">
        <w:rPr>
          <w:color w:val="000000" w:themeColor="text1"/>
          <w:lang w:val="ru-RU"/>
        </w:rPr>
        <w:tab/>
        <w:t>(6)</w:t>
      </w:r>
    </w:p>
    <w:p w14:paraId="45DD810E" w14:textId="128F4315"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С увеличением температуры теплопроводность смеси снижается, что связано с уменьшением теплопроводности графита из-за рассеяния фононов.</w:t>
      </w:r>
    </w:p>
    <w:p w14:paraId="5DACC1FD"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Увеличение объемной доли графита φ существенно повышает теплопроводность смеси. При φ = 0,5 теплопроводность смеси изменяется от 108,65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до 63,37 Вт/(м⸱º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2500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xml:space="preserve">). При φ = 0,95 теплопроводность смеси варьируется от 189,24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до 95,28 Вт/(м⸱º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xml:space="preserve">)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2500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w:t>
      </w:r>
    </w:p>
    <w:p w14:paraId="479AE0D3"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 xml:space="preserve">Массовая теплоемкость смеси </w:t>
      </w:r>
      <w:r w:rsidRPr="002606BC">
        <w:rPr>
          <w:rFonts w:ascii="Times New Roman" w:hAnsi="Times New Roman" w:cs="Times New Roman"/>
          <w:i/>
          <w:color w:val="000000" w:themeColor="text1"/>
          <w:sz w:val="28"/>
          <w:szCs w:val="28"/>
          <w:lang w:val="en-US"/>
        </w:rPr>
        <w:t>C</w:t>
      </w:r>
      <w:r w:rsidRPr="002606BC">
        <w:rPr>
          <w:rFonts w:ascii="Times New Roman" w:hAnsi="Times New Roman" w:cs="Times New Roman"/>
          <w:color w:val="000000" w:themeColor="text1"/>
          <w:sz w:val="28"/>
          <w:szCs w:val="28"/>
          <w:vertAlign w:val="subscript"/>
        </w:rPr>
        <w:t>см</w:t>
      </w:r>
      <w:r w:rsidRPr="002606BC">
        <w:rPr>
          <w:rFonts w:ascii="Times New Roman" w:hAnsi="Times New Roman" w:cs="Times New Roman"/>
          <w:color w:val="000000" w:themeColor="text1"/>
          <w:sz w:val="28"/>
          <w:szCs w:val="28"/>
        </w:rPr>
        <w:t>(</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определялась по выражению:</w:t>
      </w:r>
    </w:p>
    <w:p w14:paraId="1BAFD74C" w14:textId="3D70B6BB"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38"/>
        </w:rPr>
        <w:object w:dxaOrig="3900" w:dyaOrig="859" w14:anchorId="797ACCD9">
          <v:shape id="_x0000_i1034" type="#_x0000_t75" alt="" style="width:195.25pt;height:42.7pt;mso-width-percent:0;mso-height-percent:0;mso-width-percent:0;mso-height-percent:0" o:ole="">
            <v:imagedata r:id="rId20" o:title=""/>
          </v:shape>
          <o:OLEObject Type="Embed" ProgID="Equation.DSMT4" ShapeID="_x0000_i1034" DrawAspect="Content" ObjectID="_1799509475" r:id="rId21"/>
        </w:object>
      </w:r>
      <w:r w:rsidRPr="002606BC">
        <w:rPr>
          <w:color w:val="000000" w:themeColor="text1"/>
          <w:lang w:val="ru-RU"/>
        </w:rPr>
        <w:t xml:space="preserve"> </w:t>
      </w:r>
      <w:r w:rsidRPr="002606BC">
        <w:rPr>
          <w:color w:val="000000" w:themeColor="text1"/>
          <w:lang w:val="ru-RU"/>
        </w:rPr>
        <w:tab/>
        <w:t>(7)</w:t>
      </w:r>
    </w:p>
    <w:p w14:paraId="700F8A14"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Зависимость теплоемкости графита от температуры:</w:t>
      </w:r>
    </w:p>
    <w:p w14:paraId="1F3102F9" w14:textId="2F073360"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6"/>
        </w:rPr>
        <w:object w:dxaOrig="3620" w:dyaOrig="440" w14:anchorId="771199EA">
          <v:shape id="_x0000_i1033" type="#_x0000_t75" alt="" style="width:181.2pt;height:21.95pt;mso-width-percent:0;mso-height-percent:0;mso-width-percent:0;mso-height-percent:0" o:ole="">
            <v:imagedata r:id="rId22" o:title=""/>
          </v:shape>
          <o:OLEObject Type="Embed" ProgID="Equation.DSMT4" ShapeID="_x0000_i1033" DrawAspect="Content" ObjectID="_1799509476" r:id="rId23"/>
        </w:object>
      </w:r>
      <w:r w:rsidRPr="002606BC">
        <w:rPr>
          <w:color w:val="000000" w:themeColor="text1"/>
          <w:lang w:val="ru-RU"/>
        </w:rPr>
        <w:t xml:space="preserve"> </w:t>
      </w:r>
      <w:r w:rsidRPr="002606BC">
        <w:rPr>
          <w:color w:val="000000" w:themeColor="text1"/>
          <w:lang w:val="ru-RU"/>
        </w:rPr>
        <w:tab/>
        <w:t>(8)</w:t>
      </w:r>
    </w:p>
    <w:p w14:paraId="364BDEE7"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 xml:space="preserve">Для </w:t>
      </w:r>
      <w:r w:rsidRPr="002606BC">
        <w:rPr>
          <w:rFonts w:ascii="Times New Roman" w:hAnsi="Times New Roman" w:cs="Times New Roman"/>
          <w:i/>
          <w:color w:val="000000" w:themeColor="text1"/>
          <w:sz w:val="28"/>
          <w:szCs w:val="28"/>
        </w:rPr>
        <w:t>х</w:t>
      </w:r>
      <w:r w:rsidRPr="002606BC">
        <w:rPr>
          <w:rFonts w:ascii="Times New Roman" w:hAnsi="Times New Roman" w:cs="Times New Roman"/>
          <w:color w:val="000000" w:themeColor="text1"/>
          <w:sz w:val="28"/>
          <w:szCs w:val="28"/>
        </w:rPr>
        <w:t xml:space="preserve"> = 0,5:</w:t>
      </w:r>
    </w:p>
    <w:p w14:paraId="17B31298" w14:textId="44D0C85E"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3180" w:dyaOrig="420" w14:anchorId="794A9439">
          <v:shape id="_x0000_i1032" type="#_x0000_t75" alt="" style="width:159.25pt;height:20.75pt;mso-width-percent:0;mso-height-percent:0;mso-width-percent:0;mso-height-percent:0" o:ole="">
            <v:imagedata r:id="rId24" o:title=""/>
          </v:shape>
          <o:OLEObject Type="Embed" ProgID="Equation.DSMT4" ShapeID="_x0000_i1032" DrawAspect="Content" ObjectID="_1799509477" r:id="rId25"/>
        </w:object>
      </w:r>
      <w:r w:rsidRPr="002606BC">
        <w:rPr>
          <w:color w:val="000000" w:themeColor="text1"/>
          <w:lang w:val="ru-RU"/>
        </w:rPr>
        <w:t xml:space="preserve"> </w:t>
      </w:r>
      <w:r w:rsidRPr="002606BC">
        <w:rPr>
          <w:color w:val="000000" w:themeColor="text1"/>
          <w:lang w:val="ru-RU"/>
        </w:rPr>
        <w:tab/>
        <w:t>(9)</w:t>
      </w:r>
    </w:p>
    <w:p w14:paraId="4BDD206B"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 xml:space="preserve">Для </w:t>
      </w:r>
      <w:r w:rsidRPr="002606BC">
        <w:rPr>
          <w:rFonts w:ascii="Times New Roman" w:hAnsi="Times New Roman" w:cs="Times New Roman"/>
          <w:i/>
          <w:color w:val="000000" w:themeColor="text1"/>
          <w:sz w:val="28"/>
          <w:szCs w:val="28"/>
        </w:rPr>
        <w:t>х</w:t>
      </w:r>
      <w:r w:rsidRPr="002606BC">
        <w:rPr>
          <w:rFonts w:ascii="Times New Roman" w:hAnsi="Times New Roman" w:cs="Times New Roman"/>
          <w:color w:val="000000" w:themeColor="text1"/>
          <w:sz w:val="28"/>
          <w:szCs w:val="28"/>
        </w:rPr>
        <w:t xml:space="preserve"> = 0,75:</w:t>
      </w:r>
    </w:p>
    <w:p w14:paraId="7D31827B" w14:textId="5452F5E1"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3159" w:dyaOrig="420" w14:anchorId="3D255667">
          <v:shape id="_x0000_i1031" type="#_x0000_t75" alt="" style="width:158.05pt;height:20.75pt;mso-width-percent:0;mso-height-percent:0;mso-width-percent:0;mso-height-percent:0" o:ole="">
            <v:imagedata r:id="rId26" o:title=""/>
          </v:shape>
          <o:OLEObject Type="Embed" ProgID="Equation.DSMT4" ShapeID="_x0000_i1031" DrawAspect="Content" ObjectID="_1799509478" r:id="rId27"/>
        </w:object>
      </w:r>
      <w:r w:rsidRPr="002606BC">
        <w:rPr>
          <w:color w:val="000000" w:themeColor="text1"/>
          <w:lang w:val="ru-RU"/>
        </w:rPr>
        <w:t xml:space="preserve"> </w:t>
      </w:r>
      <w:r w:rsidRPr="002606BC">
        <w:rPr>
          <w:color w:val="000000" w:themeColor="text1"/>
          <w:lang w:val="ru-RU"/>
        </w:rPr>
        <w:tab/>
        <w:t>(10)</w:t>
      </w:r>
    </w:p>
    <w:p w14:paraId="6F67B22D"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 xml:space="preserve">Для </w:t>
      </w:r>
      <w:r w:rsidRPr="002606BC">
        <w:rPr>
          <w:rFonts w:ascii="Times New Roman" w:hAnsi="Times New Roman" w:cs="Times New Roman"/>
          <w:i/>
          <w:color w:val="000000" w:themeColor="text1"/>
          <w:sz w:val="28"/>
          <w:szCs w:val="28"/>
        </w:rPr>
        <w:t>х</w:t>
      </w:r>
      <w:r w:rsidRPr="002606BC">
        <w:rPr>
          <w:rFonts w:ascii="Times New Roman" w:hAnsi="Times New Roman" w:cs="Times New Roman"/>
          <w:color w:val="000000" w:themeColor="text1"/>
          <w:sz w:val="28"/>
          <w:szCs w:val="28"/>
        </w:rPr>
        <w:t xml:space="preserve"> = 0,85:</w:t>
      </w:r>
    </w:p>
    <w:p w14:paraId="782B4E2C" w14:textId="23800A79"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3300" w:dyaOrig="420" w14:anchorId="5C708575">
          <v:shape id="_x0000_i1030" type="#_x0000_t75" alt="" style="width:164.75pt;height:20.75pt;mso-width-percent:0;mso-height-percent:0;mso-width-percent:0;mso-height-percent:0" o:ole="">
            <v:imagedata r:id="rId28" o:title=""/>
          </v:shape>
          <o:OLEObject Type="Embed" ProgID="Equation.DSMT4" ShapeID="_x0000_i1030" DrawAspect="Content" ObjectID="_1799509479" r:id="rId29"/>
        </w:object>
      </w:r>
      <w:r w:rsidRPr="002606BC">
        <w:rPr>
          <w:color w:val="000000" w:themeColor="text1"/>
          <w:lang w:val="ru-RU"/>
        </w:rPr>
        <w:t xml:space="preserve"> </w:t>
      </w:r>
      <w:r w:rsidRPr="002606BC">
        <w:rPr>
          <w:color w:val="000000" w:themeColor="text1"/>
          <w:lang w:val="ru-RU"/>
        </w:rPr>
        <w:tab/>
        <w:t>(11)</w:t>
      </w:r>
    </w:p>
    <w:p w14:paraId="3062E87E"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 xml:space="preserve">Для </w:t>
      </w:r>
      <w:r w:rsidRPr="002606BC">
        <w:rPr>
          <w:rFonts w:ascii="Times New Roman" w:hAnsi="Times New Roman" w:cs="Times New Roman"/>
          <w:i/>
          <w:color w:val="000000" w:themeColor="text1"/>
          <w:sz w:val="28"/>
          <w:szCs w:val="28"/>
        </w:rPr>
        <w:t>х</w:t>
      </w:r>
      <w:r w:rsidRPr="002606BC">
        <w:rPr>
          <w:rFonts w:ascii="Times New Roman" w:hAnsi="Times New Roman" w:cs="Times New Roman"/>
          <w:color w:val="000000" w:themeColor="text1"/>
          <w:sz w:val="28"/>
          <w:szCs w:val="28"/>
        </w:rPr>
        <w:t xml:space="preserve"> = 0,95:</w:t>
      </w:r>
    </w:p>
    <w:p w14:paraId="5D7E0303" w14:textId="6AB836DE"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4"/>
        </w:rPr>
        <w:object w:dxaOrig="3320" w:dyaOrig="420" w14:anchorId="63BCC3C0">
          <v:shape id="_x0000_i1029" type="#_x0000_t75" alt="" style="width:165.95pt;height:20.75pt;mso-width-percent:0;mso-height-percent:0;mso-width-percent:0;mso-height-percent:0" o:ole="">
            <v:imagedata r:id="rId30" o:title=""/>
          </v:shape>
          <o:OLEObject Type="Embed" ProgID="Equation.DSMT4" ShapeID="_x0000_i1029" DrawAspect="Content" ObjectID="_1799509480" r:id="rId31"/>
        </w:object>
      </w:r>
      <w:r w:rsidRPr="002606BC">
        <w:rPr>
          <w:color w:val="000000" w:themeColor="text1"/>
          <w:lang w:val="ru-RU"/>
        </w:rPr>
        <w:t xml:space="preserve"> </w:t>
      </w:r>
      <w:r w:rsidRPr="002606BC">
        <w:rPr>
          <w:color w:val="000000" w:themeColor="text1"/>
          <w:lang w:val="ru-RU"/>
        </w:rPr>
        <w:tab/>
        <w:t>(12)</w:t>
      </w:r>
    </w:p>
    <w:p w14:paraId="464670BE" w14:textId="124027DD"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 xml:space="preserve">Таким образом, при </w:t>
      </w:r>
      <w:r w:rsidRPr="002606BC">
        <w:rPr>
          <w:rFonts w:ascii="Times New Roman" w:hAnsi="Times New Roman" w:cs="Times New Roman"/>
          <w:i/>
          <w:color w:val="000000" w:themeColor="text1"/>
          <w:sz w:val="28"/>
          <w:szCs w:val="28"/>
          <w:lang w:val="en-US"/>
        </w:rPr>
        <w:t>x</w:t>
      </w:r>
      <w:r w:rsidRPr="002606BC">
        <w:rPr>
          <w:rFonts w:ascii="Times New Roman" w:hAnsi="Times New Roman" w:cs="Times New Roman"/>
          <w:color w:val="000000" w:themeColor="text1"/>
          <w:sz w:val="28"/>
          <w:szCs w:val="28"/>
        </w:rPr>
        <w:t xml:space="preserve"> = 0,5 массовая теплоемкость изменяется от 1043,45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до 1253,75 Дж/(кг⸱º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xml:space="preserve">)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2500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xml:space="preserve">). При </w:t>
      </w:r>
      <w:r w:rsidRPr="002606BC">
        <w:rPr>
          <w:rFonts w:ascii="Times New Roman" w:hAnsi="Times New Roman" w:cs="Times New Roman"/>
          <w:i/>
          <w:color w:val="000000" w:themeColor="text1"/>
          <w:sz w:val="28"/>
          <w:szCs w:val="28"/>
          <w:lang w:val="en-US"/>
        </w:rPr>
        <w:t>x</w:t>
      </w:r>
      <w:r w:rsidRPr="002606BC">
        <w:rPr>
          <w:rFonts w:ascii="Times New Roman" w:hAnsi="Times New Roman" w:cs="Times New Roman"/>
          <w:color w:val="000000" w:themeColor="text1"/>
          <w:sz w:val="28"/>
          <w:szCs w:val="28"/>
        </w:rPr>
        <w:t xml:space="preserve"> = 0,95 массовая теплоемкость возрастает от 1982,48 до 2383,5 Дж/(кг⸱º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w:t>
      </w:r>
      <w:r w:rsidR="00624964">
        <w:rPr>
          <w:rFonts w:ascii="Times New Roman" w:hAnsi="Times New Roman" w:cs="Times New Roman"/>
          <w:color w:val="000000" w:themeColor="text1"/>
          <w:sz w:val="28"/>
          <w:szCs w:val="28"/>
        </w:rPr>
        <w:t>.</w:t>
      </w:r>
    </w:p>
    <w:p w14:paraId="175FFD05" w14:textId="48AB5711"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lastRenderedPageBreak/>
        <w:t>Общий коэффициент теплового расширения может быть выражен через взвешенную сумму коэффициентов теплового расширения компонентов:</w:t>
      </w:r>
    </w:p>
    <w:p w14:paraId="587A740B" w14:textId="69F157C5"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6"/>
        </w:rPr>
        <w:object w:dxaOrig="3120" w:dyaOrig="440" w14:anchorId="5BAE8C51">
          <v:shape id="_x0000_i1028" type="#_x0000_t75" alt="" style="width:156.2pt;height:21.95pt;mso-width-percent:0;mso-height-percent:0;mso-width-percent:0;mso-height-percent:0" o:ole="">
            <v:imagedata r:id="rId32" o:title=""/>
          </v:shape>
          <o:OLEObject Type="Embed" ProgID="Equation.DSMT4" ShapeID="_x0000_i1028" DrawAspect="Content" ObjectID="_1799509481" r:id="rId33"/>
        </w:object>
      </w:r>
      <w:r w:rsidRPr="002606BC">
        <w:rPr>
          <w:color w:val="000000" w:themeColor="text1"/>
          <w:lang w:val="ru-RU"/>
        </w:rPr>
        <w:t xml:space="preserve"> </w:t>
      </w:r>
      <w:r w:rsidRPr="002606BC">
        <w:rPr>
          <w:color w:val="000000" w:themeColor="text1"/>
          <w:lang w:val="ru-RU"/>
        </w:rPr>
        <w:tab/>
        <w:t>(13)</w:t>
      </w:r>
    </w:p>
    <w:p w14:paraId="53FBF17E"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Для графита коэффициент теплового расширения увеличивается с ростом температуры. Зависимость можно аппроксимировать следующей формулой:</w:t>
      </w:r>
    </w:p>
    <w:p w14:paraId="036C44A5" w14:textId="1F40A96C"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16"/>
        </w:rPr>
        <w:object w:dxaOrig="2000" w:dyaOrig="440" w14:anchorId="5249EB06">
          <v:shape id="_x0000_i1027" type="#_x0000_t75" alt="" style="width:100.05pt;height:21.95pt;mso-width-percent:0;mso-height-percent:0;mso-width-percent:0;mso-height-percent:0" o:ole="">
            <v:imagedata r:id="rId34" o:title=""/>
          </v:shape>
          <o:OLEObject Type="Embed" ProgID="Equation.DSMT4" ShapeID="_x0000_i1027" DrawAspect="Content" ObjectID="_1799509482" r:id="rId35"/>
        </w:object>
      </w:r>
      <w:r w:rsidRPr="002606BC">
        <w:rPr>
          <w:color w:val="000000" w:themeColor="text1"/>
          <w:lang w:val="ru-RU"/>
        </w:rPr>
        <w:t xml:space="preserve"> </w:t>
      </w:r>
      <w:r w:rsidRPr="002606BC">
        <w:rPr>
          <w:color w:val="000000" w:themeColor="text1"/>
          <w:lang w:val="ru-RU"/>
        </w:rPr>
        <w:tab/>
        <w:t>(14)</w:t>
      </w:r>
    </w:p>
    <w:p w14:paraId="61048CF0" w14:textId="1E70A3A0" w:rsidR="006666D6" w:rsidRPr="002606BC" w:rsidRDefault="006666D6" w:rsidP="006666D6">
      <w:pPr>
        <w:spacing w:after="0" w:line="360" w:lineRule="auto"/>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где α</w:t>
      </w:r>
      <w:r w:rsidRPr="002606BC">
        <w:rPr>
          <w:rFonts w:ascii="Times New Roman" w:hAnsi="Times New Roman" w:cs="Times New Roman"/>
          <w:color w:val="000000" w:themeColor="text1"/>
          <w:sz w:val="28"/>
          <w:szCs w:val="28"/>
          <w:vertAlign w:val="subscript"/>
        </w:rPr>
        <w:t>0</w:t>
      </w:r>
      <w:r w:rsidRPr="002606BC">
        <w:rPr>
          <w:rFonts w:ascii="Times New Roman" w:hAnsi="Times New Roman" w:cs="Times New Roman"/>
          <w:color w:val="000000" w:themeColor="text1"/>
          <w:sz w:val="28"/>
          <w:szCs w:val="28"/>
        </w:rPr>
        <w:t> = 0,000045 1/К – начальный коэффициент теплового расширения при температуре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xml:space="preserve">; </w:t>
      </w:r>
      <w:r w:rsidRPr="002606BC">
        <w:rPr>
          <w:rFonts w:ascii="Times New Roman" w:hAnsi="Times New Roman" w:cs="Times New Roman"/>
          <w:i/>
          <w:color w:val="000000" w:themeColor="text1"/>
          <w:sz w:val="28"/>
          <w:szCs w:val="28"/>
          <w:lang w:val="en-US"/>
        </w:rPr>
        <w:t>k</w:t>
      </w:r>
      <w:r w:rsidRPr="002606BC">
        <w:rPr>
          <w:rFonts w:ascii="Times New Roman" w:hAnsi="Times New Roman" w:cs="Times New Roman"/>
          <w:color w:val="000000" w:themeColor="text1"/>
          <w:sz w:val="28"/>
          <w:szCs w:val="28"/>
        </w:rPr>
        <w:t> = 2,5⸱10</w:t>
      </w:r>
      <w:r w:rsidRPr="002606BC">
        <w:rPr>
          <w:rFonts w:ascii="Times New Roman" w:hAnsi="Times New Roman" w:cs="Times New Roman"/>
          <w:color w:val="000000" w:themeColor="text1"/>
          <w:sz w:val="28"/>
          <w:szCs w:val="28"/>
          <w:vertAlign w:val="superscript"/>
        </w:rPr>
        <w:t>-9</w:t>
      </w:r>
      <w:r w:rsidRPr="002606BC">
        <w:rPr>
          <w:rFonts w:ascii="Times New Roman" w:hAnsi="Times New Roman" w:cs="Times New Roman"/>
          <w:color w:val="000000" w:themeColor="text1"/>
          <w:sz w:val="28"/>
          <w:szCs w:val="28"/>
        </w:rPr>
        <w:t xml:space="preserve"> 1/К</w:t>
      </w:r>
      <w:r w:rsidRPr="002606BC">
        <w:rPr>
          <w:rFonts w:ascii="Times New Roman" w:hAnsi="Times New Roman" w:cs="Times New Roman"/>
          <w:color w:val="000000" w:themeColor="text1"/>
          <w:sz w:val="28"/>
          <w:szCs w:val="28"/>
          <w:vertAlign w:val="superscript"/>
        </w:rPr>
        <w:t>2</w:t>
      </w:r>
      <w:r w:rsidRPr="002606BC">
        <w:rPr>
          <w:rFonts w:ascii="Times New Roman" w:hAnsi="Times New Roman" w:cs="Times New Roman"/>
          <w:color w:val="000000" w:themeColor="text1"/>
          <w:sz w:val="28"/>
          <w:szCs w:val="28"/>
        </w:rPr>
        <w:t xml:space="preserve"> – коэффициент роста с температурой.</w:t>
      </w:r>
    </w:p>
    <w:p w14:paraId="069FB3EC" w14:textId="77777777"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Коэффициент теплового расширения аргона α</w:t>
      </w:r>
      <w:r w:rsidRPr="002606BC">
        <w:rPr>
          <w:rFonts w:ascii="Times New Roman" w:hAnsi="Times New Roman" w:cs="Times New Roman"/>
          <w:color w:val="000000" w:themeColor="text1"/>
          <w:sz w:val="28"/>
          <w:szCs w:val="28"/>
          <w:vertAlign w:val="subscript"/>
        </w:rPr>
        <w:t>арг</w:t>
      </w:r>
      <w:r w:rsidRPr="002606BC">
        <w:rPr>
          <w:rFonts w:ascii="Times New Roman" w:hAnsi="Times New Roman" w:cs="Times New Roman"/>
          <w:color w:val="000000" w:themeColor="text1"/>
          <w:sz w:val="28"/>
          <w:szCs w:val="28"/>
        </w:rPr>
        <w:t>:</w:t>
      </w:r>
    </w:p>
    <w:p w14:paraId="37C62B51" w14:textId="157E5306"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26"/>
        </w:rPr>
        <w:object w:dxaOrig="1420" w:dyaOrig="700" w14:anchorId="78CA18B9">
          <v:shape id="_x0000_i1026" type="#_x0000_t75" alt="" style="width:70.8pt;height:34.8pt;mso-width-percent:0;mso-height-percent:0;mso-width-percent:0;mso-height-percent:0" o:ole="">
            <v:imagedata r:id="rId36" o:title=""/>
          </v:shape>
          <o:OLEObject Type="Embed" ProgID="Equation.DSMT4" ShapeID="_x0000_i1026" DrawAspect="Content" ObjectID="_1799509483" r:id="rId37"/>
        </w:object>
      </w:r>
      <w:r w:rsidRPr="002606BC">
        <w:rPr>
          <w:color w:val="000000" w:themeColor="text1"/>
          <w:lang w:val="ru-RU"/>
        </w:rPr>
        <w:t xml:space="preserve"> </w:t>
      </w:r>
      <w:r w:rsidRPr="002606BC">
        <w:rPr>
          <w:color w:val="000000" w:themeColor="text1"/>
          <w:lang w:val="ru-RU"/>
        </w:rPr>
        <w:tab/>
        <w:t>(15)</w:t>
      </w:r>
    </w:p>
    <w:p w14:paraId="4878A050" w14:textId="003A7053" w:rsidR="006666D6" w:rsidRPr="002606BC"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Подставив выражения (14) и (15) в (13) получим:</w:t>
      </w:r>
    </w:p>
    <w:p w14:paraId="56AAE764" w14:textId="0730FCF4" w:rsidR="006666D6" w:rsidRPr="002606BC" w:rsidRDefault="006666D6" w:rsidP="006666D6">
      <w:pPr>
        <w:pStyle w:val="MTDisplayEquation"/>
        <w:rPr>
          <w:color w:val="000000" w:themeColor="text1"/>
          <w:lang w:val="ru-RU"/>
        </w:rPr>
      </w:pPr>
      <w:r w:rsidRPr="002606BC">
        <w:rPr>
          <w:color w:val="000000" w:themeColor="text1"/>
          <w:lang w:val="ru-RU"/>
        </w:rPr>
        <w:tab/>
      </w:r>
      <w:r w:rsidR="00341C3C" w:rsidRPr="002606BC">
        <w:rPr>
          <w:noProof/>
          <w:color w:val="000000" w:themeColor="text1"/>
          <w:position w:val="-26"/>
        </w:rPr>
        <w:object w:dxaOrig="3280" w:dyaOrig="700" w14:anchorId="7C235F59">
          <v:shape id="_x0000_i1025" type="#_x0000_t75" alt="" style="width:164.15pt;height:34.8pt;mso-width-percent:0;mso-height-percent:0;mso-width-percent:0;mso-height-percent:0" o:ole="">
            <v:imagedata r:id="rId38" o:title=""/>
          </v:shape>
          <o:OLEObject Type="Embed" ProgID="Equation.DSMT4" ShapeID="_x0000_i1025" DrawAspect="Content" ObjectID="_1799509484" r:id="rId39"/>
        </w:object>
      </w:r>
      <w:r w:rsidRPr="002606BC">
        <w:rPr>
          <w:color w:val="000000" w:themeColor="text1"/>
          <w:lang w:val="ru-RU"/>
        </w:rPr>
        <w:t xml:space="preserve"> </w:t>
      </w:r>
      <w:r w:rsidRPr="002606BC">
        <w:rPr>
          <w:color w:val="000000" w:themeColor="text1"/>
          <w:lang w:val="ru-RU"/>
        </w:rPr>
        <w:tab/>
        <w:t>(16)</w:t>
      </w:r>
    </w:p>
    <w:p w14:paraId="757BC85B" w14:textId="4B4B0A37" w:rsidR="006666D6" w:rsidRDefault="006666D6" w:rsidP="006666D6">
      <w:pPr>
        <w:spacing w:after="0" w:line="360" w:lineRule="auto"/>
        <w:ind w:firstLine="709"/>
        <w:jc w:val="both"/>
        <w:rPr>
          <w:rFonts w:ascii="Times New Roman" w:hAnsi="Times New Roman" w:cs="Times New Roman"/>
          <w:color w:val="000000" w:themeColor="text1"/>
          <w:sz w:val="28"/>
          <w:szCs w:val="28"/>
        </w:rPr>
      </w:pPr>
      <w:r w:rsidRPr="002606BC">
        <w:rPr>
          <w:rFonts w:ascii="Times New Roman" w:hAnsi="Times New Roman" w:cs="Times New Roman"/>
          <w:color w:val="000000" w:themeColor="text1"/>
          <w:sz w:val="28"/>
          <w:szCs w:val="28"/>
        </w:rPr>
        <w:t>Увеличение объемной доли графита снижает общий коэффициент теплового расширения смеси. При φ = 0,5 коэффициент теплового расширения α</w:t>
      </w:r>
      <w:r w:rsidRPr="002606BC">
        <w:rPr>
          <w:rFonts w:ascii="Times New Roman" w:hAnsi="Times New Roman" w:cs="Times New Roman"/>
          <w:color w:val="000000" w:themeColor="text1"/>
          <w:sz w:val="28"/>
          <w:szCs w:val="28"/>
          <w:vertAlign w:val="subscript"/>
        </w:rPr>
        <w:t>см</w:t>
      </w:r>
      <w:r w:rsidRPr="002606BC">
        <w:rPr>
          <w:rFonts w:ascii="Times New Roman" w:hAnsi="Times New Roman" w:cs="Times New Roman"/>
          <w:color w:val="000000" w:themeColor="text1"/>
          <w:sz w:val="28"/>
          <w:szCs w:val="28"/>
        </w:rPr>
        <w:t xml:space="preserve"> уменьшается от 1,71⸱10</w:t>
      </w:r>
      <w:r w:rsidRPr="002606BC">
        <w:rPr>
          <w:rFonts w:ascii="Times New Roman" w:hAnsi="Times New Roman" w:cs="Times New Roman"/>
          <w:color w:val="000000" w:themeColor="text1"/>
          <w:sz w:val="28"/>
          <w:szCs w:val="28"/>
          <w:vertAlign w:val="superscript"/>
        </w:rPr>
        <w:t>-3</w:t>
      </w:r>
      <w:r w:rsidRPr="002606BC">
        <w:rPr>
          <w:rFonts w:ascii="Times New Roman" w:hAnsi="Times New Roman" w:cs="Times New Roman"/>
          <w:color w:val="000000" w:themeColor="text1"/>
          <w:sz w:val="28"/>
          <w:szCs w:val="28"/>
        </w:rPr>
        <w:t xml:space="preserve"> 1/К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до 0,18⸱10</w:t>
      </w:r>
      <w:r w:rsidRPr="002606BC">
        <w:rPr>
          <w:rFonts w:ascii="Times New Roman" w:hAnsi="Times New Roman" w:cs="Times New Roman"/>
          <w:color w:val="000000" w:themeColor="text1"/>
          <w:sz w:val="28"/>
          <w:szCs w:val="28"/>
          <w:vertAlign w:val="superscript"/>
        </w:rPr>
        <w:t xml:space="preserve">-3 </w:t>
      </w:r>
      <w:r w:rsidRPr="002606BC">
        <w:rPr>
          <w:rFonts w:ascii="Times New Roman" w:hAnsi="Times New Roman" w:cs="Times New Roman"/>
          <w:color w:val="000000" w:themeColor="text1"/>
          <w:sz w:val="28"/>
          <w:szCs w:val="28"/>
        </w:rPr>
        <w:t xml:space="preserve">1/К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2500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При φ = 0,95 коэффициент теплового расширения α</w:t>
      </w:r>
      <w:r w:rsidRPr="002606BC">
        <w:rPr>
          <w:rFonts w:ascii="Times New Roman" w:hAnsi="Times New Roman" w:cs="Times New Roman"/>
          <w:color w:val="000000" w:themeColor="text1"/>
          <w:sz w:val="28"/>
          <w:szCs w:val="28"/>
          <w:vertAlign w:val="subscript"/>
        </w:rPr>
        <w:t>см</w:t>
      </w:r>
      <w:r w:rsidRPr="002606BC">
        <w:rPr>
          <w:rFonts w:ascii="Times New Roman" w:hAnsi="Times New Roman" w:cs="Times New Roman"/>
          <w:color w:val="000000" w:themeColor="text1"/>
          <w:sz w:val="28"/>
          <w:szCs w:val="28"/>
        </w:rPr>
        <w:t xml:space="preserve"> изменяется от 0,18⸱10</w:t>
      </w:r>
      <w:r w:rsidRPr="002606BC">
        <w:rPr>
          <w:rFonts w:ascii="Times New Roman" w:hAnsi="Times New Roman" w:cs="Times New Roman"/>
          <w:color w:val="000000" w:themeColor="text1"/>
          <w:sz w:val="28"/>
          <w:szCs w:val="28"/>
          <w:vertAlign w:val="superscript"/>
        </w:rPr>
        <w:t>-3</w:t>
      </w:r>
      <w:r w:rsidRPr="002606BC">
        <w:rPr>
          <w:rFonts w:ascii="Times New Roman" w:hAnsi="Times New Roman" w:cs="Times New Roman"/>
          <w:color w:val="000000" w:themeColor="text1"/>
          <w:sz w:val="28"/>
          <w:szCs w:val="28"/>
        </w:rPr>
        <w:t xml:space="preserve"> 1/К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 до 0,018⸱10</w:t>
      </w:r>
      <w:r w:rsidRPr="002606BC">
        <w:rPr>
          <w:rFonts w:ascii="Times New Roman" w:hAnsi="Times New Roman" w:cs="Times New Roman"/>
          <w:color w:val="000000" w:themeColor="text1"/>
          <w:sz w:val="28"/>
          <w:szCs w:val="28"/>
          <w:vertAlign w:val="superscript"/>
        </w:rPr>
        <w:t>-3</w:t>
      </w:r>
      <w:r w:rsidRPr="002606BC">
        <w:rPr>
          <w:rFonts w:ascii="Times New Roman" w:hAnsi="Times New Roman" w:cs="Times New Roman"/>
          <w:color w:val="000000" w:themeColor="text1"/>
          <w:sz w:val="28"/>
          <w:szCs w:val="28"/>
        </w:rPr>
        <w:t xml:space="preserve"> 1/К (при </w:t>
      </w:r>
      <w:r w:rsidRPr="002606BC">
        <w:rPr>
          <w:rFonts w:ascii="Times New Roman" w:hAnsi="Times New Roman" w:cs="Times New Roman"/>
          <w:i/>
          <w:color w:val="000000" w:themeColor="text1"/>
          <w:sz w:val="28"/>
          <w:szCs w:val="28"/>
          <w:lang w:val="en-US"/>
        </w:rPr>
        <w:t>T</w:t>
      </w:r>
      <w:r w:rsidRPr="002606BC">
        <w:rPr>
          <w:rFonts w:ascii="Times New Roman" w:hAnsi="Times New Roman" w:cs="Times New Roman"/>
          <w:color w:val="000000" w:themeColor="text1"/>
          <w:sz w:val="28"/>
          <w:szCs w:val="28"/>
        </w:rPr>
        <w:t xml:space="preserve"> = 20 º</w:t>
      </w:r>
      <w:r w:rsidRPr="002606BC">
        <w:rPr>
          <w:rFonts w:ascii="Times New Roman" w:hAnsi="Times New Roman" w:cs="Times New Roman"/>
          <w:color w:val="000000" w:themeColor="text1"/>
          <w:sz w:val="28"/>
          <w:szCs w:val="28"/>
          <w:lang w:val="en-US"/>
        </w:rPr>
        <w:t>C</w:t>
      </w:r>
      <w:r w:rsidRPr="002606BC">
        <w:rPr>
          <w:rFonts w:ascii="Times New Roman" w:hAnsi="Times New Roman" w:cs="Times New Roman"/>
          <w:color w:val="000000" w:themeColor="text1"/>
          <w:sz w:val="28"/>
          <w:szCs w:val="28"/>
        </w:rPr>
        <w:t>).</w:t>
      </w:r>
    </w:p>
    <w:p w14:paraId="18D3AD29" w14:textId="35FE6C70" w:rsidR="00F141D2" w:rsidRPr="002606BC" w:rsidRDefault="00F141D2" w:rsidP="006666D6">
      <w:pPr>
        <w:spacing w:after="0" w:line="360" w:lineRule="auto"/>
        <w:ind w:firstLine="709"/>
        <w:jc w:val="both"/>
        <w:rPr>
          <w:rFonts w:ascii="Times New Roman" w:hAnsi="Times New Roman" w:cs="Times New Roman"/>
          <w:color w:val="000000" w:themeColor="text1"/>
          <w:sz w:val="28"/>
          <w:szCs w:val="28"/>
        </w:rPr>
      </w:pPr>
      <w:r w:rsidRPr="00F141D2">
        <w:rPr>
          <w:rFonts w:ascii="Times New Roman" w:hAnsi="Times New Roman" w:cs="Times New Roman"/>
          <w:color w:val="000000" w:themeColor="text1"/>
          <w:sz w:val="28"/>
          <w:szCs w:val="28"/>
        </w:rPr>
        <w:t xml:space="preserve">Таким образом, проведённые исследования подтвердили, что смеси графита с аргоном обладают высокими </w:t>
      </w:r>
      <w:r>
        <w:rPr>
          <w:rFonts w:ascii="Times New Roman" w:hAnsi="Times New Roman" w:cs="Times New Roman"/>
          <w:color w:val="000000" w:themeColor="text1"/>
          <w:sz w:val="28"/>
          <w:szCs w:val="28"/>
        </w:rPr>
        <w:t xml:space="preserve">теплофизическими </w:t>
      </w:r>
      <w:r w:rsidRPr="00F141D2">
        <w:rPr>
          <w:rFonts w:ascii="Times New Roman" w:hAnsi="Times New Roman" w:cs="Times New Roman"/>
          <w:color w:val="000000" w:themeColor="text1"/>
          <w:sz w:val="28"/>
          <w:szCs w:val="28"/>
        </w:rPr>
        <w:t xml:space="preserve">характеристиками, позволяющими эффективно использовать их в высокотемпературных тепловых накопителях. Увеличение доли графита в смеси значительно повышает теплопроводность и теплоёмкость, что делает такие материалы перспективными для применения в условиях агропромышленного комплекса. При этом снижение коэффициента теплового расширения с ростом доли графита обеспечивает стабильность и </w:t>
      </w:r>
      <w:r w:rsidRPr="00F141D2">
        <w:rPr>
          <w:rFonts w:ascii="Times New Roman" w:hAnsi="Times New Roman" w:cs="Times New Roman"/>
          <w:color w:val="000000" w:themeColor="text1"/>
          <w:sz w:val="28"/>
          <w:szCs w:val="28"/>
        </w:rPr>
        <w:lastRenderedPageBreak/>
        <w:t>механическую надёжность системы при воздействии термических нагрузок. Полученные данные могут быть использованы для дальнейшего моделирования и проектирования тепловых накопителей, оптимизированных под конкретные эксплуатационные условия.</w:t>
      </w:r>
    </w:p>
    <w:p w14:paraId="3F708383" w14:textId="01A892C9" w:rsidR="00561350" w:rsidRPr="002606BC" w:rsidRDefault="00561350" w:rsidP="00561350">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b/>
          <w:sz w:val="28"/>
          <w:szCs w:val="28"/>
        </w:rPr>
        <w:t xml:space="preserve">Выводы. </w:t>
      </w:r>
      <w:r w:rsidRPr="002606BC">
        <w:rPr>
          <w:rFonts w:ascii="Times New Roman" w:hAnsi="Times New Roman" w:cs="Times New Roman"/>
          <w:sz w:val="28"/>
          <w:szCs w:val="28"/>
        </w:rPr>
        <w:t xml:space="preserve">1. </w:t>
      </w:r>
      <w:r w:rsidR="00375DB3" w:rsidRPr="00375DB3">
        <w:rPr>
          <w:rFonts w:ascii="Times New Roman" w:hAnsi="Times New Roman" w:cs="Times New Roman"/>
          <w:sz w:val="28"/>
          <w:szCs w:val="28"/>
        </w:rPr>
        <w:t>Проведённый анализ показал, что увеличение доли графита в смеси с аргоном значительно улучшает теплопроводность системы, особенно при низких температурах.</w:t>
      </w:r>
      <w:r w:rsidR="00375DB3">
        <w:rPr>
          <w:rFonts w:ascii="Times New Roman" w:hAnsi="Times New Roman" w:cs="Times New Roman"/>
          <w:sz w:val="28"/>
          <w:szCs w:val="28"/>
        </w:rPr>
        <w:t xml:space="preserve"> 2. </w:t>
      </w:r>
      <w:r w:rsidR="00375DB3" w:rsidRPr="00375DB3">
        <w:rPr>
          <w:rFonts w:ascii="Times New Roman" w:hAnsi="Times New Roman" w:cs="Times New Roman"/>
          <w:sz w:val="28"/>
          <w:szCs w:val="28"/>
        </w:rPr>
        <w:t>Температурная зависимость теплоёмкости смеси свидетельствует о росте её значений с увеличением температуры и доли графита, что указывает на возможность оптимизации тепловых накопителей для высокотемпературных процессов.</w:t>
      </w:r>
      <w:r w:rsidR="00375DB3">
        <w:rPr>
          <w:rFonts w:ascii="Times New Roman" w:hAnsi="Times New Roman" w:cs="Times New Roman"/>
          <w:sz w:val="28"/>
          <w:szCs w:val="28"/>
        </w:rPr>
        <w:t xml:space="preserve"> 3. </w:t>
      </w:r>
      <w:r w:rsidR="00375DB3" w:rsidRPr="00375DB3">
        <w:rPr>
          <w:rFonts w:ascii="Times New Roman" w:hAnsi="Times New Roman" w:cs="Times New Roman"/>
          <w:sz w:val="28"/>
          <w:szCs w:val="28"/>
        </w:rPr>
        <w:t>Коэффициент теплового расширения смеси снижается с ростом доли графита, что повышает механическую устойчивость системы при экстремальных термических нагрузках.</w:t>
      </w:r>
    </w:p>
    <w:p w14:paraId="0C05AF52" w14:textId="68C8FB9D" w:rsidR="0096105F" w:rsidRPr="002606BC" w:rsidRDefault="00E8062B" w:rsidP="00E8062B">
      <w:pPr>
        <w:spacing w:after="0" w:line="360" w:lineRule="auto"/>
        <w:ind w:firstLine="709"/>
        <w:jc w:val="both"/>
        <w:rPr>
          <w:rFonts w:ascii="Times New Roman" w:hAnsi="Times New Roman" w:cs="Times New Roman"/>
          <w:sz w:val="28"/>
          <w:szCs w:val="28"/>
        </w:rPr>
      </w:pPr>
      <w:r w:rsidRPr="002606BC">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5A720AA3" w14:textId="77777777" w:rsidR="00561350" w:rsidRPr="002606BC" w:rsidRDefault="00561350" w:rsidP="00561350">
      <w:pPr>
        <w:spacing w:after="0" w:line="360" w:lineRule="auto"/>
        <w:ind w:firstLine="709"/>
        <w:jc w:val="center"/>
        <w:rPr>
          <w:rFonts w:ascii="Times New Roman" w:hAnsi="Times New Roman" w:cs="Times New Roman"/>
          <w:sz w:val="28"/>
          <w:szCs w:val="28"/>
        </w:rPr>
      </w:pPr>
    </w:p>
    <w:p w14:paraId="640EE515" w14:textId="77777777" w:rsidR="00561350" w:rsidRPr="002606BC" w:rsidRDefault="00561350" w:rsidP="00561350">
      <w:pPr>
        <w:spacing w:after="0" w:line="240" w:lineRule="auto"/>
        <w:ind w:firstLine="709"/>
        <w:jc w:val="center"/>
        <w:rPr>
          <w:rFonts w:ascii="Times New Roman" w:hAnsi="Times New Roman" w:cs="Times New Roman"/>
          <w:b/>
          <w:sz w:val="24"/>
          <w:szCs w:val="24"/>
        </w:rPr>
      </w:pPr>
      <w:r w:rsidRPr="002606BC">
        <w:rPr>
          <w:rFonts w:ascii="Times New Roman" w:hAnsi="Times New Roman" w:cs="Times New Roman"/>
          <w:b/>
          <w:sz w:val="24"/>
          <w:szCs w:val="24"/>
        </w:rPr>
        <w:t>Библиографический список</w:t>
      </w:r>
    </w:p>
    <w:p w14:paraId="2A77369D" w14:textId="77777777" w:rsidR="00561350" w:rsidRPr="002606BC" w:rsidRDefault="00561350" w:rsidP="00561350">
      <w:pPr>
        <w:spacing w:after="0" w:line="240" w:lineRule="auto"/>
        <w:ind w:firstLine="709"/>
        <w:jc w:val="center"/>
        <w:rPr>
          <w:rFonts w:ascii="Times New Roman" w:hAnsi="Times New Roman" w:cs="Times New Roman"/>
          <w:sz w:val="24"/>
          <w:szCs w:val="24"/>
        </w:rPr>
      </w:pPr>
    </w:p>
    <w:p w14:paraId="3A76F2A9" w14:textId="27CD42C8" w:rsidR="00561350" w:rsidRPr="002606BC" w:rsidRDefault="00561350" w:rsidP="00CF42CB">
      <w:pPr>
        <w:tabs>
          <w:tab w:val="left" w:pos="851"/>
        </w:tabs>
        <w:spacing w:after="0" w:line="240" w:lineRule="auto"/>
        <w:ind w:firstLine="567"/>
        <w:jc w:val="both"/>
        <w:rPr>
          <w:rFonts w:ascii="Times New Roman" w:hAnsi="Times New Roman" w:cs="Times New Roman"/>
          <w:sz w:val="24"/>
          <w:szCs w:val="24"/>
        </w:rPr>
      </w:pPr>
      <w:r w:rsidRPr="002606BC">
        <w:rPr>
          <w:rFonts w:ascii="Times New Roman" w:hAnsi="Times New Roman" w:cs="Times New Roman"/>
          <w:sz w:val="24"/>
          <w:szCs w:val="24"/>
        </w:rPr>
        <w:t xml:space="preserve">1. </w:t>
      </w:r>
      <w:r w:rsidR="00E8062B" w:rsidRPr="002606BC">
        <w:rPr>
          <w:rFonts w:ascii="Times New Roman" w:hAnsi="Times New Roman" w:cs="Times New Roman"/>
          <w:sz w:val="24"/>
          <w:szCs w:val="24"/>
        </w:rPr>
        <w:t>Зинуров, В. Э. Использование теплового накопителя энергии для обогрева теплиц с использованием солнечных панелей / В. Э. Зинуров, А. Н. Чадаев, К. И. Разакова // Политематический сетевой электронный научный журнал Кубанского государственного аграрного университета. – 2024. – № 201. – С. 90-97.</w:t>
      </w:r>
    </w:p>
    <w:p w14:paraId="00481E22" w14:textId="77777777" w:rsidR="00561350" w:rsidRPr="002606BC" w:rsidRDefault="00561350" w:rsidP="00561350">
      <w:pPr>
        <w:spacing w:after="0" w:line="240" w:lineRule="auto"/>
        <w:ind w:firstLine="709"/>
        <w:jc w:val="center"/>
        <w:rPr>
          <w:rFonts w:ascii="Times New Roman" w:hAnsi="Times New Roman" w:cs="Times New Roman"/>
          <w:sz w:val="24"/>
          <w:szCs w:val="24"/>
        </w:rPr>
      </w:pPr>
    </w:p>
    <w:p w14:paraId="69B89E92" w14:textId="77777777" w:rsidR="00561350" w:rsidRPr="002606BC" w:rsidRDefault="00561350" w:rsidP="00561350">
      <w:pPr>
        <w:spacing w:after="0" w:line="240" w:lineRule="auto"/>
        <w:ind w:firstLine="709"/>
        <w:jc w:val="center"/>
        <w:rPr>
          <w:rFonts w:ascii="Times New Roman" w:hAnsi="Times New Roman" w:cs="Times New Roman"/>
          <w:b/>
          <w:sz w:val="24"/>
          <w:szCs w:val="24"/>
          <w:lang w:val="en-US"/>
        </w:rPr>
      </w:pPr>
      <w:r w:rsidRPr="002606BC">
        <w:rPr>
          <w:rFonts w:ascii="Times New Roman" w:hAnsi="Times New Roman" w:cs="Times New Roman"/>
          <w:b/>
          <w:sz w:val="24"/>
          <w:szCs w:val="24"/>
          <w:lang w:val="en-US"/>
        </w:rPr>
        <w:t>References</w:t>
      </w:r>
    </w:p>
    <w:p w14:paraId="6AA824EC" w14:textId="77777777" w:rsidR="00561350" w:rsidRPr="002606BC" w:rsidRDefault="00561350" w:rsidP="00561350">
      <w:pPr>
        <w:spacing w:after="0" w:line="240" w:lineRule="auto"/>
        <w:ind w:firstLine="709"/>
        <w:jc w:val="center"/>
        <w:rPr>
          <w:rFonts w:ascii="Times New Roman" w:hAnsi="Times New Roman" w:cs="Times New Roman"/>
          <w:sz w:val="24"/>
          <w:szCs w:val="24"/>
          <w:lang w:val="en-US"/>
        </w:rPr>
      </w:pPr>
    </w:p>
    <w:p w14:paraId="151C5ADD" w14:textId="57FA59BB" w:rsidR="008D5C4D" w:rsidRPr="00624964" w:rsidRDefault="00CF42CB" w:rsidP="00CF42CB">
      <w:pPr>
        <w:tabs>
          <w:tab w:val="left" w:pos="851"/>
        </w:tabs>
        <w:spacing w:after="0" w:line="240" w:lineRule="auto"/>
        <w:ind w:firstLine="567"/>
        <w:jc w:val="both"/>
        <w:rPr>
          <w:rFonts w:ascii="Times New Roman" w:hAnsi="Times New Roman" w:cs="Times New Roman"/>
          <w:sz w:val="24"/>
          <w:szCs w:val="24"/>
          <w:lang w:val="en-US"/>
        </w:rPr>
      </w:pPr>
      <w:r w:rsidRPr="00CF42CB">
        <w:rPr>
          <w:rFonts w:ascii="Times New Roman" w:hAnsi="Times New Roman" w:cs="Times New Roman"/>
          <w:sz w:val="24"/>
          <w:szCs w:val="24"/>
          <w:lang w:val="en-US"/>
        </w:rPr>
        <w:t>1. Zinurov, V. Je. Ispol'zovanie teplovogo nakopitelja jenergii dlja obogreva teplic s ispol'zovaniem solnechnyh panelej / V. Je. Zinurov, A. N. Chadaev, K. I. Razakova // Politematicheskij setevoj jelektronnyj nauchnyj zhurnal Kubanskogo gosudarstvennogo agrarnogo universiteta. – 2024. – № 201. – S. 90-97.</w:t>
      </w:r>
    </w:p>
    <w:sectPr w:rsidR="008D5C4D" w:rsidRPr="00624964" w:rsidSect="00387BDF">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63D01" w14:textId="77777777" w:rsidR="00341C3C" w:rsidRDefault="00341C3C" w:rsidP="0051537B">
      <w:pPr>
        <w:spacing w:after="0" w:line="240" w:lineRule="auto"/>
      </w:pPr>
      <w:r>
        <w:separator/>
      </w:r>
    </w:p>
  </w:endnote>
  <w:endnote w:type="continuationSeparator" w:id="0">
    <w:p w14:paraId="62DE2675" w14:textId="77777777" w:rsidR="00341C3C" w:rsidRDefault="00341C3C"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1CF2" w14:textId="028B9319" w:rsidR="00367B6C" w:rsidRPr="00C72894" w:rsidRDefault="00C72894">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2</w:t>
      </w:r>
      <w:r w:rsidRPr="00352EBD">
        <w:rPr>
          <w:rStyle w:val="Hyperlink"/>
          <w:rFonts w:ascii="Times New Roman" w:hAnsi="Times New Roman" w:cs="Times New Roman"/>
          <w:sz w:val="24"/>
          <w:szCs w:val="24"/>
          <w:lang w:val="en-US"/>
        </w:rPr>
        <w:t>9</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473BC" w14:textId="77777777" w:rsidR="00341C3C" w:rsidRDefault="00341C3C" w:rsidP="0051537B">
      <w:pPr>
        <w:spacing w:after="0" w:line="240" w:lineRule="auto"/>
      </w:pPr>
      <w:r>
        <w:separator/>
      </w:r>
    </w:p>
  </w:footnote>
  <w:footnote w:type="continuationSeparator" w:id="0">
    <w:p w14:paraId="1632DA42" w14:textId="77777777" w:rsidR="00341C3C" w:rsidRDefault="00341C3C"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86569531"/>
      <w:docPartObj>
        <w:docPartGallery w:val="Page Numbers (Top of Page)"/>
        <w:docPartUnique/>
      </w:docPartObj>
    </w:sdtPr>
    <w:sdtContent>
      <w:p w14:paraId="55579674" w14:textId="0A134599" w:rsidR="00367B6C" w:rsidRDefault="00367B6C"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2C56F3" w14:textId="77777777" w:rsidR="00367B6C" w:rsidRDefault="00367B6C" w:rsidP="00367B6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24082090"/>
      <w:docPartObj>
        <w:docPartGallery w:val="Page Numbers (Top of Page)"/>
        <w:docPartUnique/>
      </w:docPartObj>
    </w:sdtPr>
    <w:sdtContent>
      <w:p w14:paraId="4A47FDF6" w14:textId="365E0F18" w:rsidR="00367B6C" w:rsidRPr="00367B6C" w:rsidRDefault="00367B6C" w:rsidP="00352EBD">
        <w:pPr>
          <w:pStyle w:val="Header"/>
          <w:framePr w:wrap="none" w:vAnchor="text" w:hAnchor="margin" w:xAlign="right" w:y="1"/>
          <w:rPr>
            <w:rStyle w:val="PageNumber"/>
            <w:rFonts w:ascii="Times New Roman" w:hAnsi="Times New Roman" w:cs="Times New Roman"/>
            <w:sz w:val="28"/>
            <w:szCs w:val="28"/>
          </w:rPr>
        </w:pPr>
        <w:r w:rsidRPr="00367B6C">
          <w:rPr>
            <w:rStyle w:val="PageNumber"/>
            <w:rFonts w:ascii="Times New Roman" w:hAnsi="Times New Roman" w:cs="Times New Roman"/>
            <w:sz w:val="28"/>
            <w:szCs w:val="28"/>
          </w:rPr>
          <w:fldChar w:fldCharType="begin"/>
        </w:r>
        <w:r w:rsidRPr="00367B6C">
          <w:rPr>
            <w:rStyle w:val="PageNumber"/>
            <w:rFonts w:ascii="Times New Roman" w:hAnsi="Times New Roman" w:cs="Times New Roman"/>
            <w:sz w:val="28"/>
            <w:szCs w:val="28"/>
          </w:rPr>
          <w:instrText xml:space="preserve"> PAGE </w:instrText>
        </w:r>
        <w:r w:rsidRPr="00367B6C">
          <w:rPr>
            <w:rStyle w:val="PageNumber"/>
            <w:rFonts w:ascii="Times New Roman" w:hAnsi="Times New Roman" w:cs="Times New Roman"/>
            <w:sz w:val="28"/>
            <w:szCs w:val="28"/>
          </w:rPr>
          <w:fldChar w:fldCharType="separate"/>
        </w:r>
        <w:r w:rsidRPr="00367B6C">
          <w:rPr>
            <w:rStyle w:val="PageNumber"/>
            <w:rFonts w:ascii="Times New Roman" w:hAnsi="Times New Roman" w:cs="Times New Roman"/>
            <w:noProof/>
            <w:sz w:val="28"/>
            <w:szCs w:val="28"/>
          </w:rPr>
          <w:t>1</w:t>
        </w:r>
        <w:r w:rsidRPr="00367B6C">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6CEA8E5C" w14:textId="5D5036FB" w:rsidR="00AE6466" w:rsidRPr="00367B6C" w:rsidRDefault="00367B6C" w:rsidP="00367B6C">
                    <w:pPr>
                      <w:pStyle w:val="Header"/>
                      <w:tabs>
                        <w:tab w:val="center" w:pos="4844"/>
                        <w:tab w:val="right" w:pos="9689"/>
                      </w:tabs>
                      <w:ind w:right="360"/>
                      <w:rPr>
                        <w:rFonts w:ascii="Times New Roman" w:hAnsi="Times New Roman"/>
                        <w:sz w:val="20"/>
                        <w:szCs w:val="20"/>
                      </w:rPr>
                    </w:pPr>
                    <w:r w:rsidRPr="002606A8">
                      <w:rPr>
                        <w:rFonts w:ascii="Times New Roman" w:hAnsi="Times New Roman" w:cs="Times New Roman"/>
                        <w:sz w:val="24"/>
                        <w:szCs w:val="24"/>
                      </w:rPr>
                      <w:t>Научный журнал КубГАУ,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7A0"/>
    <w:rsid w:val="00000619"/>
    <w:rsid w:val="00010F46"/>
    <w:rsid w:val="00012E70"/>
    <w:rsid w:val="000151DB"/>
    <w:rsid w:val="00021DE7"/>
    <w:rsid w:val="00025E82"/>
    <w:rsid w:val="000406CF"/>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D0201"/>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810FC"/>
    <w:rsid w:val="00190EE3"/>
    <w:rsid w:val="001926A8"/>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07454"/>
    <w:rsid w:val="002149D3"/>
    <w:rsid w:val="002172CD"/>
    <w:rsid w:val="00220024"/>
    <w:rsid w:val="00232D27"/>
    <w:rsid w:val="002331C5"/>
    <w:rsid w:val="00240FAB"/>
    <w:rsid w:val="00241F44"/>
    <w:rsid w:val="0024205E"/>
    <w:rsid w:val="00244D94"/>
    <w:rsid w:val="00245518"/>
    <w:rsid w:val="00251721"/>
    <w:rsid w:val="00251FC0"/>
    <w:rsid w:val="002568E1"/>
    <w:rsid w:val="002606BC"/>
    <w:rsid w:val="00262C8E"/>
    <w:rsid w:val="002732FF"/>
    <w:rsid w:val="002740B9"/>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E58"/>
    <w:rsid w:val="00320904"/>
    <w:rsid w:val="00323225"/>
    <w:rsid w:val="00326BA4"/>
    <w:rsid w:val="00331D80"/>
    <w:rsid w:val="003327D2"/>
    <w:rsid w:val="00334BD3"/>
    <w:rsid w:val="00341C3C"/>
    <w:rsid w:val="003438C6"/>
    <w:rsid w:val="00353B79"/>
    <w:rsid w:val="003603CE"/>
    <w:rsid w:val="00360FBB"/>
    <w:rsid w:val="003634E8"/>
    <w:rsid w:val="00367B6C"/>
    <w:rsid w:val="00370E14"/>
    <w:rsid w:val="003736D2"/>
    <w:rsid w:val="00375DB3"/>
    <w:rsid w:val="003766D4"/>
    <w:rsid w:val="00381BED"/>
    <w:rsid w:val="0038726C"/>
    <w:rsid w:val="00387BDF"/>
    <w:rsid w:val="0039162B"/>
    <w:rsid w:val="00393B20"/>
    <w:rsid w:val="003A0FCF"/>
    <w:rsid w:val="003A1513"/>
    <w:rsid w:val="003A40F4"/>
    <w:rsid w:val="003A6285"/>
    <w:rsid w:val="003A6A72"/>
    <w:rsid w:val="003A7995"/>
    <w:rsid w:val="003A7D31"/>
    <w:rsid w:val="003B0562"/>
    <w:rsid w:val="003B62BE"/>
    <w:rsid w:val="003C133D"/>
    <w:rsid w:val="003C2710"/>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2D8E"/>
    <w:rsid w:val="0043344A"/>
    <w:rsid w:val="00437AA4"/>
    <w:rsid w:val="0044073A"/>
    <w:rsid w:val="004413B1"/>
    <w:rsid w:val="00447FFC"/>
    <w:rsid w:val="004772D1"/>
    <w:rsid w:val="004774DC"/>
    <w:rsid w:val="00491DD7"/>
    <w:rsid w:val="00495907"/>
    <w:rsid w:val="004B6CC8"/>
    <w:rsid w:val="004C71F7"/>
    <w:rsid w:val="004D01E6"/>
    <w:rsid w:val="004D7076"/>
    <w:rsid w:val="004F3BDC"/>
    <w:rsid w:val="005061E3"/>
    <w:rsid w:val="00513BB1"/>
    <w:rsid w:val="0051537B"/>
    <w:rsid w:val="00540DA4"/>
    <w:rsid w:val="00546B4F"/>
    <w:rsid w:val="00561350"/>
    <w:rsid w:val="005635CA"/>
    <w:rsid w:val="00563664"/>
    <w:rsid w:val="00566E2D"/>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4964"/>
    <w:rsid w:val="00627432"/>
    <w:rsid w:val="006277B6"/>
    <w:rsid w:val="00630C6A"/>
    <w:rsid w:val="00635D1E"/>
    <w:rsid w:val="006368D0"/>
    <w:rsid w:val="00646121"/>
    <w:rsid w:val="006467A0"/>
    <w:rsid w:val="00650C48"/>
    <w:rsid w:val="006666D6"/>
    <w:rsid w:val="00667076"/>
    <w:rsid w:val="00670071"/>
    <w:rsid w:val="0067245E"/>
    <w:rsid w:val="006738A4"/>
    <w:rsid w:val="00677F6E"/>
    <w:rsid w:val="006854F2"/>
    <w:rsid w:val="006A313D"/>
    <w:rsid w:val="006A6800"/>
    <w:rsid w:val="006B3AB7"/>
    <w:rsid w:val="006C2A6A"/>
    <w:rsid w:val="006D129C"/>
    <w:rsid w:val="006D7DB3"/>
    <w:rsid w:val="006E1B2C"/>
    <w:rsid w:val="006E4AB7"/>
    <w:rsid w:val="006E4E45"/>
    <w:rsid w:val="006F4B4C"/>
    <w:rsid w:val="006F6534"/>
    <w:rsid w:val="006F78E1"/>
    <w:rsid w:val="0070501E"/>
    <w:rsid w:val="00715E4D"/>
    <w:rsid w:val="00715F67"/>
    <w:rsid w:val="00716FA4"/>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2CCB"/>
    <w:rsid w:val="007C7BD4"/>
    <w:rsid w:val="007D172C"/>
    <w:rsid w:val="007D29B0"/>
    <w:rsid w:val="007D36C7"/>
    <w:rsid w:val="007F54C9"/>
    <w:rsid w:val="007F7B9D"/>
    <w:rsid w:val="00812A2E"/>
    <w:rsid w:val="00812D67"/>
    <w:rsid w:val="00815033"/>
    <w:rsid w:val="00823ABA"/>
    <w:rsid w:val="00826FD3"/>
    <w:rsid w:val="008279CB"/>
    <w:rsid w:val="00832F03"/>
    <w:rsid w:val="008433E2"/>
    <w:rsid w:val="00844643"/>
    <w:rsid w:val="00856000"/>
    <w:rsid w:val="008604E4"/>
    <w:rsid w:val="00861E68"/>
    <w:rsid w:val="0086345F"/>
    <w:rsid w:val="008634BA"/>
    <w:rsid w:val="008646D1"/>
    <w:rsid w:val="008752DD"/>
    <w:rsid w:val="008778BF"/>
    <w:rsid w:val="00887D70"/>
    <w:rsid w:val="00895C94"/>
    <w:rsid w:val="008A78CA"/>
    <w:rsid w:val="008B088F"/>
    <w:rsid w:val="008B0B2B"/>
    <w:rsid w:val="008B2B45"/>
    <w:rsid w:val="008B73BD"/>
    <w:rsid w:val="008C0FC4"/>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5306"/>
    <w:rsid w:val="00926C26"/>
    <w:rsid w:val="0092703C"/>
    <w:rsid w:val="00932C11"/>
    <w:rsid w:val="009344BC"/>
    <w:rsid w:val="00935676"/>
    <w:rsid w:val="00936FC9"/>
    <w:rsid w:val="00944E02"/>
    <w:rsid w:val="00954206"/>
    <w:rsid w:val="00954845"/>
    <w:rsid w:val="00954B77"/>
    <w:rsid w:val="0095570C"/>
    <w:rsid w:val="00957691"/>
    <w:rsid w:val="00957AC7"/>
    <w:rsid w:val="0096062A"/>
    <w:rsid w:val="0096105F"/>
    <w:rsid w:val="00961E4B"/>
    <w:rsid w:val="00972235"/>
    <w:rsid w:val="00974656"/>
    <w:rsid w:val="00975BF1"/>
    <w:rsid w:val="009774E9"/>
    <w:rsid w:val="0099001A"/>
    <w:rsid w:val="00990482"/>
    <w:rsid w:val="00994D05"/>
    <w:rsid w:val="00996F7F"/>
    <w:rsid w:val="009B3C01"/>
    <w:rsid w:val="009C22C0"/>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644F0"/>
    <w:rsid w:val="00A64910"/>
    <w:rsid w:val="00A70C4E"/>
    <w:rsid w:val="00A72942"/>
    <w:rsid w:val="00A7632B"/>
    <w:rsid w:val="00A856D2"/>
    <w:rsid w:val="00A90CDB"/>
    <w:rsid w:val="00A91845"/>
    <w:rsid w:val="00AA0556"/>
    <w:rsid w:val="00AA0A8A"/>
    <w:rsid w:val="00AA1B47"/>
    <w:rsid w:val="00AA5552"/>
    <w:rsid w:val="00AB3C77"/>
    <w:rsid w:val="00AB7CF1"/>
    <w:rsid w:val="00AC4E63"/>
    <w:rsid w:val="00AD3F5E"/>
    <w:rsid w:val="00AE5B21"/>
    <w:rsid w:val="00AE6466"/>
    <w:rsid w:val="00AF019D"/>
    <w:rsid w:val="00AF35A3"/>
    <w:rsid w:val="00AF6D2B"/>
    <w:rsid w:val="00AF6F4A"/>
    <w:rsid w:val="00B03C32"/>
    <w:rsid w:val="00B04F82"/>
    <w:rsid w:val="00B13D1D"/>
    <w:rsid w:val="00B369CB"/>
    <w:rsid w:val="00B42112"/>
    <w:rsid w:val="00B469D5"/>
    <w:rsid w:val="00B51EF6"/>
    <w:rsid w:val="00B56AE3"/>
    <w:rsid w:val="00B610DB"/>
    <w:rsid w:val="00B70A5E"/>
    <w:rsid w:val="00B7729C"/>
    <w:rsid w:val="00B80C32"/>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4C26"/>
    <w:rsid w:val="00BE5112"/>
    <w:rsid w:val="00BE6D98"/>
    <w:rsid w:val="00BF66D5"/>
    <w:rsid w:val="00C0482B"/>
    <w:rsid w:val="00C07DFF"/>
    <w:rsid w:val="00C10A42"/>
    <w:rsid w:val="00C15523"/>
    <w:rsid w:val="00C169CC"/>
    <w:rsid w:val="00C17B33"/>
    <w:rsid w:val="00C27C5E"/>
    <w:rsid w:val="00C32653"/>
    <w:rsid w:val="00C32BB8"/>
    <w:rsid w:val="00C331CD"/>
    <w:rsid w:val="00C343E1"/>
    <w:rsid w:val="00C3450B"/>
    <w:rsid w:val="00C45570"/>
    <w:rsid w:val="00C5517F"/>
    <w:rsid w:val="00C720B9"/>
    <w:rsid w:val="00C72894"/>
    <w:rsid w:val="00C7798C"/>
    <w:rsid w:val="00C82E08"/>
    <w:rsid w:val="00C8469F"/>
    <w:rsid w:val="00C851B9"/>
    <w:rsid w:val="00C92CDA"/>
    <w:rsid w:val="00CA1964"/>
    <w:rsid w:val="00CA19BD"/>
    <w:rsid w:val="00CA3836"/>
    <w:rsid w:val="00CA5D83"/>
    <w:rsid w:val="00CB6AA9"/>
    <w:rsid w:val="00CC2294"/>
    <w:rsid w:val="00CD00BA"/>
    <w:rsid w:val="00CD4982"/>
    <w:rsid w:val="00CD7491"/>
    <w:rsid w:val="00CF42CB"/>
    <w:rsid w:val="00CF45D1"/>
    <w:rsid w:val="00D0238C"/>
    <w:rsid w:val="00D12056"/>
    <w:rsid w:val="00D13166"/>
    <w:rsid w:val="00D136FC"/>
    <w:rsid w:val="00D30EE7"/>
    <w:rsid w:val="00D3445D"/>
    <w:rsid w:val="00D42502"/>
    <w:rsid w:val="00D46BB2"/>
    <w:rsid w:val="00D50778"/>
    <w:rsid w:val="00D5458B"/>
    <w:rsid w:val="00D54825"/>
    <w:rsid w:val="00D623DE"/>
    <w:rsid w:val="00D7188D"/>
    <w:rsid w:val="00D85468"/>
    <w:rsid w:val="00D8783A"/>
    <w:rsid w:val="00D965D7"/>
    <w:rsid w:val="00DA3068"/>
    <w:rsid w:val="00DB1E85"/>
    <w:rsid w:val="00DB6704"/>
    <w:rsid w:val="00DD0039"/>
    <w:rsid w:val="00DD29AB"/>
    <w:rsid w:val="00DD3A45"/>
    <w:rsid w:val="00DD6582"/>
    <w:rsid w:val="00DE354E"/>
    <w:rsid w:val="00DF704C"/>
    <w:rsid w:val="00DF796B"/>
    <w:rsid w:val="00E01C0F"/>
    <w:rsid w:val="00E043F7"/>
    <w:rsid w:val="00E11938"/>
    <w:rsid w:val="00E11CCC"/>
    <w:rsid w:val="00E17D13"/>
    <w:rsid w:val="00E20137"/>
    <w:rsid w:val="00E20EE9"/>
    <w:rsid w:val="00E24E07"/>
    <w:rsid w:val="00E30C78"/>
    <w:rsid w:val="00E34FBB"/>
    <w:rsid w:val="00E46A29"/>
    <w:rsid w:val="00E506E9"/>
    <w:rsid w:val="00E5660B"/>
    <w:rsid w:val="00E57BA9"/>
    <w:rsid w:val="00E60EC8"/>
    <w:rsid w:val="00E618B9"/>
    <w:rsid w:val="00E64AEA"/>
    <w:rsid w:val="00E661F7"/>
    <w:rsid w:val="00E7575B"/>
    <w:rsid w:val="00E75E06"/>
    <w:rsid w:val="00E7751F"/>
    <w:rsid w:val="00E8062B"/>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41D2"/>
    <w:rsid w:val="00F16529"/>
    <w:rsid w:val="00F165BB"/>
    <w:rsid w:val="00F21A64"/>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87D3A"/>
    <w:rsid w:val="00F902C8"/>
    <w:rsid w:val="00FA07DE"/>
    <w:rsid w:val="00FA2625"/>
    <w:rsid w:val="00FA3AA2"/>
    <w:rsid w:val="00FA3D70"/>
    <w:rsid w:val="00FA4972"/>
    <w:rsid w:val="00FC43C4"/>
    <w:rsid w:val="00FD6AFF"/>
    <w:rsid w:val="00FE0097"/>
    <w:rsid w:val="00FF1B63"/>
    <w:rsid w:val="00FF35F4"/>
    <w:rsid w:val="00FF44CB"/>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chartTrackingRefBased/>
  <w15:docId w15:val="{3F0986E7-E7FE-427D-AB25-176AA971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styleId="UnresolvedMention">
    <w:name w:val="Unresolved Mention"/>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PageNumber">
    <w:name w:val="page number"/>
    <w:basedOn w:val="DefaultParagraphFont"/>
    <w:uiPriority w:val="99"/>
    <w:semiHidden/>
    <w:unhideWhenUsed/>
    <w:rsid w:val="00367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2531">
      <w:bodyDiv w:val="1"/>
      <w:marLeft w:val="0"/>
      <w:marRight w:val="0"/>
      <w:marTop w:val="0"/>
      <w:marBottom w:val="0"/>
      <w:divBdr>
        <w:top w:val="none" w:sz="0" w:space="0" w:color="auto"/>
        <w:left w:val="none" w:sz="0" w:space="0" w:color="auto"/>
        <w:bottom w:val="none" w:sz="0" w:space="0" w:color="auto"/>
        <w:right w:val="none" w:sz="0" w:space="0" w:color="auto"/>
      </w:divBdr>
    </w:div>
    <w:div w:id="140773635">
      <w:bodyDiv w:val="1"/>
      <w:marLeft w:val="0"/>
      <w:marRight w:val="0"/>
      <w:marTop w:val="0"/>
      <w:marBottom w:val="0"/>
      <w:divBdr>
        <w:top w:val="none" w:sz="0" w:space="0" w:color="auto"/>
        <w:left w:val="none" w:sz="0" w:space="0" w:color="auto"/>
        <w:bottom w:val="none" w:sz="0" w:space="0" w:color="auto"/>
        <w:right w:val="none" w:sz="0" w:space="0" w:color="auto"/>
      </w:divBdr>
    </w:div>
    <w:div w:id="193738199">
      <w:bodyDiv w:val="1"/>
      <w:marLeft w:val="0"/>
      <w:marRight w:val="0"/>
      <w:marTop w:val="0"/>
      <w:marBottom w:val="0"/>
      <w:divBdr>
        <w:top w:val="none" w:sz="0" w:space="0" w:color="auto"/>
        <w:left w:val="none" w:sz="0" w:space="0" w:color="auto"/>
        <w:bottom w:val="none" w:sz="0" w:space="0" w:color="auto"/>
        <w:right w:val="none" w:sz="0" w:space="0" w:color="auto"/>
      </w:divBdr>
    </w:div>
    <w:div w:id="214897884">
      <w:bodyDiv w:val="1"/>
      <w:marLeft w:val="0"/>
      <w:marRight w:val="0"/>
      <w:marTop w:val="0"/>
      <w:marBottom w:val="0"/>
      <w:divBdr>
        <w:top w:val="none" w:sz="0" w:space="0" w:color="auto"/>
        <w:left w:val="none" w:sz="0" w:space="0" w:color="auto"/>
        <w:bottom w:val="none" w:sz="0" w:space="0" w:color="auto"/>
        <w:right w:val="none" w:sz="0" w:space="0" w:color="auto"/>
      </w:divBdr>
    </w:div>
    <w:div w:id="222257949">
      <w:bodyDiv w:val="1"/>
      <w:marLeft w:val="0"/>
      <w:marRight w:val="0"/>
      <w:marTop w:val="0"/>
      <w:marBottom w:val="0"/>
      <w:divBdr>
        <w:top w:val="none" w:sz="0" w:space="0" w:color="auto"/>
        <w:left w:val="none" w:sz="0" w:space="0" w:color="auto"/>
        <w:bottom w:val="none" w:sz="0" w:space="0" w:color="auto"/>
        <w:right w:val="none" w:sz="0" w:space="0" w:color="auto"/>
      </w:divBdr>
      <w:divsChild>
        <w:div w:id="1213809399">
          <w:marLeft w:val="0"/>
          <w:marRight w:val="0"/>
          <w:marTop w:val="0"/>
          <w:marBottom w:val="0"/>
          <w:divBdr>
            <w:top w:val="none" w:sz="0" w:space="0" w:color="auto"/>
            <w:left w:val="none" w:sz="0" w:space="0" w:color="auto"/>
            <w:bottom w:val="none" w:sz="0" w:space="0" w:color="auto"/>
            <w:right w:val="none" w:sz="0" w:space="0" w:color="auto"/>
          </w:divBdr>
          <w:divsChild>
            <w:div w:id="1982806859">
              <w:marLeft w:val="0"/>
              <w:marRight w:val="0"/>
              <w:marTop w:val="0"/>
              <w:marBottom w:val="0"/>
              <w:divBdr>
                <w:top w:val="none" w:sz="0" w:space="0" w:color="auto"/>
                <w:left w:val="none" w:sz="0" w:space="0" w:color="auto"/>
                <w:bottom w:val="none" w:sz="0" w:space="0" w:color="auto"/>
                <w:right w:val="none" w:sz="0" w:space="0" w:color="auto"/>
              </w:divBdr>
              <w:divsChild>
                <w:div w:id="1666594329">
                  <w:marLeft w:val="0"/>
                  <w:marRight w:val="0"/>
                  <w:marTop w:val="0"/>
                  <w:marBottom w:val="0"/>
                  <w:divBdr>
                    <w:top w:val="none" w:sz="0" w:space="0" w:color="auto"/>
                    <w:left w:val="none" w:sz="0" w:space="0" w:color="auto"/>
                    <w:bottom w:val="none" w:sz="0" w:space="0" w:color="auto"/>
                    <w:right w:val="none" w:sz="0" w:space="0" w:color="auto"/>
                  </w:divBdr>
                  <w:divsChild>
                    <w:div w:id="13009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83068">
      <w:bodyDiv w:val="1"/>
      <w:marLeft w:val="0"/>
      <w:marRight w:val="0"/>
      <w:marTop w:val="0"/>
      <w:marBottom w:val="0"/>
      <w:divBdr>
        <w:top w:val="none" w:sz="0" w:space="0" w:color="auto"/>
        <w:left w:val="none" w:sz="0" w:space="0" w:color="auto"/>
        <w:bottom w:val="none" w:sz="0" w:space="0" w:color="auto"/>
        <w:right w:val="none" w:sz="0" w:space="0" w:color="auto"/>
      </w:divBdr>
    </w:div>
    <w:div w:id="364184179">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1109849">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42293177">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752629221">
      <w:bodyDiv w:val="1"/>
      <w:marLeft w:val="0"/>
      <w:marRight w:val="0"/>
      <w:marTop w:val="0"/>
      <w:marBottom w:val="0"/>
      <w:divBdr>
        <w:top w:val="none" w:sz="0" w:space="0" w:color="auto"/>
        <w:left w:val="none" w:sz="0" w:space="0" w:color="auto"/>
        <w:bottom w:val="none" w:sz="0" w:space="0" w:color="auto"/>
        <w:right w:val="none" w:sz="0" w:space="0" w:color="auto"/>
      </w:divBdr>
    </w:div>
    <w:div w:id="778371750">
      <w:bodyDiv w:val="1"/>
      <w:marLeft w:val="0"/>
      <w:marRight w:val="0"/>
      <w:marTop w:val="0"/>
      <w:marBottom w:val="0"/>
      <w:divBdr>
        <w:top w:val="none" w:sz="0" w:space="0" w:color="auto"/>
        <w:left w:val="none" w:sz="0" w:space="0" w:color="auto"/>
        <w:bottom w:val="none" w:sz="0" w:space="0" w:color="auto"/>
        <w:right w:val="none" w:sz="0" w:space="0" w:color="auto"/>
      </w:divBdr>
    </w:div>
    <w:div w:id="805315744">
      <w:bodyDiv w:val="1"/>
      <w:marLeft w:val="0"/>
      <w:marRight w:val="0"/>
      <w:marTop w:val="0"/>
      <w:marBottom w:val="0"/>
      <w:divBdr>
        <w:top w:val="none" w:sz="0" w:space="0" w:color="auto"/>
        <w:left w:val="none" w:sz="0" w:space="0" w:color="auto"/>
        <w:bottom w:val="none" w:sz="0" w:space="0" w:color="auto"/>
        <w:right w:val="none" w:sz="0" w:space="0" w:color="auto"/>
      </w:divBdr>
    </w:div>
    <w:div w:id="814108985">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097822878">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88663079">
      <w:bodyDiv w:val="1"/>
      <w:marLeft w:val="0"/>
      <w:marRight w:val="0"/>
      <w:marTop w:val="0"/>
      <w:marBottom w:val="0"/>
      <w:divBdr>
        <w:top w:val="none" w:sz="0" w:space="0" w:color="auto"/>
        <w:left w:val="none" w:sz="0" w:space="0" w:color="auto"/>
        <w:bottom w:val="none" w:sz="0" w:space="0" w:color="auto"/>
        <w:right w:val="none" w:sz="0" w:space="0" w:color="auto"/>
      </w:divBdr>
    </w:div>
    <w:div w:id="1427262934">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870891">
      <w:bodyDiv w:val="1"/>
      <w:marLeft w:val="0"/>
      <w:marRight w:val="0"/>
      <w:marTop w:val="0"/>
      <w:marBottom w:val="0"/>
      <w:divBdr>
        <w:top w:val="none" w:sz="0" w:space="0" w:color="auto"/>
        <w:left w:val="none" w:sz="0" w:space="0" w:color="auto"/>
        <w:bottom w:val="none" w:sz="0" w:space="0" w:color="auto"/>
        <w:right w:val="none" w:sz="0" w:space="0" w:color="auto"/>
      </w:divBdr>
    </w:div>
    <w:div w:id="1687825673">
      <w:bodyDiv w:val="1"/>
      <w:marLeft w:val="0"/>
      <w:marRight w:val="0"/>
      <w:marTop w:val="0"/>
      <w:marBottom w:val="0"/>
      <w:divBdr>
        <w:top w:val="none" w:sz="0" w:space="0" w:color="auto"/>
        <w:left w:val="none" w:sz="0" w:space="0" w:color="auto"/>
        <w:bottom w:val="none" w:sz="0" w:space="0" w:color="auto"/>
        <w:right w:val="none" w:sz="0" w:space="0" w:color="auto"/>
      </w:divBdr>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75940705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09655485">
      <w:bodyDiv w:val="1"/>
      <w:marLeft w:val="0"/>
      <w:marRight w:val="0"/>
      <w:marTop w:val="0"/>
      <w:marBottom w:val="0"/>
      <w:divBdr>
        <w:top w:val="none" w:sz="0" w:space="0" w:color="auto"/>
        <w:left w:val="none" w:sz="0" w:space="0" w:color="auto"/>
        <w:bottom w:val="none" w:sz="0" w:space="0" w:color="auto"/>
        <w:right w:val="none" w:sz="0" w:space="0" w:color="auto"/>
      </w:divBdr>
    </w:div>
    <w:div w:id="1918593355">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8767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footer" Target="footer1.xml"/><Relationship Id="rId7" Type="http://schemas.openxmlformats.org/officeDocument/2006/relationships/hyperlink" Target="http://dx.doi.org/10.21515/1990-4665-205-029"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2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TotalTime>
  <Pages>8</Pages>
  <Words>2267</Words>
  <Characters>12926</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57</cp:revision>
  <dcterms:created xsi:type="dcterms:W3CDTF">2024-10-31T15:18:00Z</dcterms:created>
  <dcterms:modified xsi:type="dcterms:W3CDTF">2025-01-27T17:52:00Z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