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tblLook w:val="04A0" w:firstRow="1" w:lastRow="0" w:firstColumn="1" w:lastColumn="0" w:noHBand="0" w:noVBand="1"/>
      </w:tblPr>
      <w:tblGrid>
        <w:gridCol w:w="4675"/>
        <w:gridCol w:w="4611"/>
      </w:tblGrid>
      <w:tr w:rsidR="00512258" w:rsidRPr="002B30EC" w14:paraId="14981A43" w14:textId="77777777" w:rsidTr="00565676">
        <w:trPr>
          <w:trHeight w:val="376"/>
        </w:trPr>
        <w:tc>
          <w:tcPr>
            <w:tcW w:w="2517" w:type="pct"/>
          </w:tcPr>
          <w:p w14:paraId="0F37572F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УДК 631.371</w:t>
            </w:r>
          </w:p>
        </w:tc>
        <w:tc>
          <w:tcPr>
            <w:tcW w:w="2483" w:type="pct"/>
          </w:tcPr>
          <w:p w14:paraId="59184EE9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UDC 631.371</w:t>
            </w:r>
          </w:p>
        </w:tc>
      </w:tr>
      <w:tr w:rsidR="00512258" w:rsidRPr="002B30EC" w14:paraId="2C25AF6A" w14:textId="77777777" w:rsidTr="00565676">
        <w:trPr>
          <w:trHeight w:val="836"/>
        </w:trPr>
        <w:tc>
          <w:tcPr>
            <w:tcW w:w="2517" w:type="pct"/>
          </w:tcPr>
          <w:p w14:paraId="661E6A60" w14:textId="77777777" w:rsidR="00512258" w:rsidRDefault="00AA409A" w:rsidP="002B30EC">
            <w:pPr>
              <w:contextualSpacing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4.3.1. Технологии, машины и оборудование для агропромышленного комплекса (технические науки, сельскохозяйственные науки)</w:t>
            </w:r>
          </w:p>
          <w:p w14:paraId="2A34391C" w14:textId="3F060C9B" w:rsidR="002B30EC" w:rsidRPr="002B30EC" w:rsidRDefault="002B30EC" w:rsidP="002B30EC">
            <w:pPr>
              <w:contextualSpacing/>
              <w:jc w:val="left"/>
              <w:rPr>
                <w:rFonts w:ascii="Times New Roman" w:hAnsi="Times New Roman"/>
                <w:sz w:val="20"/>
                <w:lang w:val="ru-RU"/>
              </w:rPr>
            </w:pPr>
          </w:p>
        </w:tc>
        <w:tc>
          <w:tcPr>
            <w:tcW w:w="2483" w:type="pct"/>
          </w:tcPr>
          <w:p w14:paraId="307FA690" w14:textId="6A2B1DE7" w:rsidR="00512258" w:rsidRPr="002B30EC" w:rsidRDefault="00AA409A" w:rsidP="002B30EC">
            <w:pPr>
              <w:jc w:val="left"/>
              <w:rPr>
                <w:rFonts w:ascii="Times New Roman" w:hAnsi="Times New Roman"/>
                <w:sz w:val="20"/>
              </w:rPr>
            </w:pPr>
            <w:r w:rsidRPr="002B30EC">
              <w:rPr>
                <w:rFonts w:ascii="Times New Roman" w:hAnsi="Times New Roman"/>
                <w:sz w:val="20"/>
              </w:rPr>
              <w:t>4.3.1. Technologies, machinery and equipment for the</w:t>
            </w:r>
            <w:r w:rsidR="00716DE5">
              <w:rPr>
                <w:rFonts w:ascii="Times New Roman" w:hAnsi="Times New Roman"/>
                <w:sz w:val="20"/>
              </w:rPr>
              <w:t xml:space="preserve"> </w:t>
            </w:r>
            <w:r w:rsidRPr="002B30EC">
              <w:rPr>
                <w:rFonts w:ascii="Times New Roman" w:hAnsi="Times New Roman"/>
                <w:sz w:val="20"/>
              </w:rPr>
              <w:t>agro-industrial complex (technical sciences, agricultural sciences)</w:t>
            </w:r>
          </w:p>
        </w:tc>
      </w:tr>
      <w:tr w:rsidR="00512258" w:rsidRPr="002B30EC" w14:paraId="336796CF" w14:textId="77777777" w:rsidTr="00565676">
        <w:trPr>
          <w:trHeight w:val="988"/>
        </w:trPr>
        <w:tc>
          <w:tcPr>
            <w:tcW w:w="2517" w:type="pct"/>
          </w:tcPr>
          <w:p w14:paraId="3CC74BD3" w14:textId="77777777" w:rsidR="00512258" w:rsidRPr="002B30EC" w:rsidRDefault="007776E8" w:rsidP="002B30EC">
            <w:pPr>
              <w:widowControl w:val="0"/>
              <w:jc w:val="left"/>
              <w:rPr>
                <w:rFonts w:ascii="Times New Roman" w:hAnsi="Times New Roman"/>
                <w:b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b/>
                <w:sz w:val="20"/>
                <w:lang w:val="ru-RU"/>
              </w:rPr>
              <w:t xml:space="preserve">ИССЛЕДОВАНИЕ ПРОЦЕССА ГОРЕНИЯ В ДВИГАТЕЛЯХ ВНУТРЕННЕГО СГОРАНИЯ ОБОРУДОВАННЫХ МОДЕРНИЗИРОВАННОЙ ФОРКАМЕРОЙ </w:t>
            </w:r>
          </w:p>
          <w:p w14:paraId="44B4C115" w14:textId="77777777" w:rsidR="007776E8" w:rsidRPr="002B30EC" w:rsidRDefault="007776E8" w:rsidP="002B30EC">
            <w:pPr>
              <w:widowControl w:val="0"/>
              <w:jc w:val="left"/>
              <w:rPr>
                <w:rFonts w:ascii="Times New Roman" w:hAnsi="Times New Roman"/>
                <w:b/>
                <w:sz w:val="20"/>
                <w:lang w:val="ru-RU"/>
              </w:rPr>
            </w:pPr>
          </w:p>
        </w:tc>
        <w:tc>
          <w:tcPr>
            <w:tcW w:w="2483" w:type="pct"/>
          </w:tcPr>
          <w:p w14:paraId="65601DE4" w14:textId="70E85DA3" w:rsidR="00512258" w:rsidRPr="002B30EC" w:rsidRDefault="007776E8" w:rsidP="002B30EC">
            <w:pPr>
              <w:widowControl w:val="0"/>
              <w:jc w:val="left"/>
              <w:rPr>
                <w:rFonts w:ascii="Times New Roman" w:hAnsi="Times New Roman"/>
                <w:b/>
                <w:sz w:val="20"/>
              </w:rPr>
            </w:pPr>
            <w:r w:rsidRPr="002B30EC">
              <w:rPr>
                <w:rFonts w:ascii="Times New Roman" w:hAnsi="Times New Roman"/>
                <w:b/>
                <w:sz w:val="20"/>
              </w:rPr>
              <w:t xml:space="preserve">INVESTIGATION OF </w:t>
            </w:r>
            <w:r w:rsidR="00716DE5">
              <w:rPr>
                <w:rFonts w:ascii="Times New Roman" w:hAnsi="Times New Roman"/>
                <w:b/>
                <w:sz w:val="20"/>
              </w:rPr>
              <w:t>A BURNING</w:t>
            </w:r>
            <w:r w:rsidRPr="002B30EC">
              <w:rPr>
                <w:rFonts w:ascii="Times New Roman" w:hAnsi="Times New Roman"/>
                <w:b/>
                <w:sz w:val="20"/>
              </w:rPr>
              <w:t xml:space="preserve"> PROCESS IN INTERNAL COMBUSTION ENGINES EQUIPPED WITH AN UPGRADED PRE-CHAMBER</w:t>
            </w:r>
          </w:p>
        </w:tc>
      </w:tr>
      <w:tr w:rsidR="00512258" w:rsidRPr="002B30EC" w14:paraId="182FD0AE" w14:textId="77777777" w:rsidTr="00565676">
        <w:trPr>
          <w:trHeight w:val="203"/>
        </w:trPr>
        <w:tc>
          <w:tcPr>
            <w:tcW w:w="2517" w:type="pct"/>
          </w:tcPr>
          <w:p w14:paraId="28115B04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Жбанов Никита Сергеевич</w:t>
            </w:r>
          </w:p>
        </w:tc>
        <w:tc>
          <w:tcPr>
            <w:tcW w:w="2483" w:type="pct"/>
          </w:tcPr>
          <w:p w14:paraId="3CDD7DCC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Zhbanov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Nikita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Sergeevich</w:t>
            </w:r>
            <w:proofErr w:type="spellEnd"/>
          </w:p>
        </w:tc>
      </w:tr>
      <w:tr w:rsidR="00512258" w:rsidRPr="002B30EC" w14:paraId="59C560CA" w14:textId="77777777" w:rsidTr="00565676">
        <w:trPr>
          <w:trHeight w:val="272"/>
        </w:trPr>
        <w:tc>
          <w:tcPr>
            <w:tcW w:w="2517" w:type="pct"/>
          </w:tcPr>
          <w:p w14:paraId="7D656751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к.т.н., доцент кафедры</w:t>
            </w:r>
          </w:p>
        </w:tc>
        <w:tc>
          <w:tcPr>
            <w:tcW w:w="2483" w:type="pct"/>
          </w:tcPr>
          <w:p w14:paraId="363992E6" w14:textId="19A1D3C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</w:rPr>
            </w:pPr>
            <w:proofErr w:type="spellStart"/>
            <w:r w:rsidRPr="002B30EC">
              <w:rPr>
                <w:rFonts w:ascii="Times New Roman" w:hAnsi="Times New Roman"/>
                <w:sz w:val="20"/>
              </w:rPr>
              <w:t>Cand.Sci.Tech</w:t>
            </w:r>
            <w:proofErr w:type="spellEnd"/>
            <w:r w:rsidRPr="002B30EC">
              <w:rPr>
                <w:rFonts w:ascii="Times New Roman" w:hAnsi="Times New Roman"/>
                <w:sz w:val="20"/>
              </w:rPr>
              <w:t>., associate professor of the department</w:t>
            </w:r>
          </w:p>
        </w:tc>
      </w:tr>
      <w:tr w:rsidR="00512258" w:rsidRPr="002B30EC" w14:paraId="44247B2C" w14:textId="77777777" w:rsidTr="00565676">
        <w:trPr>
          <w:trHeight w:val="111"/>
        </w:trPr>
        <w:tc>
          <w:tcPr>
            <w:tcW w:w="2517" w:type="pct"/>
          </w:tcPr>
          <w:p w14:paraId="041EFA0E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РИНЦ SPIN-код= 7241-6650</w:t>
            </w:r>
          </w:p>
        </w:tc>
        <w:tc>
          <w:tcPr>
            <w:tcW w:w="2483" w:type="pct"/>
          </w:tcPr>
          <w:p w14:paraId="336BA84E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RSCI SPIN-code= 7241-6650</w:t>
            </w:r>
          </w:p>
        </w:tc>
      </w:tr>
      <w:tr w:rsidR="00512258" w:rsidRPr="002B30EC" w14:paraId="1A3D7A28" w14:textId="77777777" w:rsidTr="00565676">
        <w:trPr>
          <w:trHeight w:val="707"/>
        </w:trPr>
        <w:tc>
          <w:tcPr>
            <w:tcW w:w="2517" w:type="pct"/>
          </w:tcPr>
          <w:p w14:paraId="469621B9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i/>
                <w:sz w:val="20"/>
                <w:lang w:val="ru-RU"/>
              </w:rPr>
              <w:t>Рязанский институт (филиал) Московского Политехнического университета, Рязань, Россия</w:t>
            </w:r>
          </w:p>
          <w:p w14:paraId="08988EC7" w14:textId="77777777" w:rsidR="00C16449" w:rsidRPr="002B30EC" w:rsidRDefault="00C16449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  <w:lang w:val="ru-RU"/>
              </w:rPr>
            </w:pPr>
          </w:p>
        </w:tc>
        <w:tc>
          <w:tcPr>
            <w:tcW w:w="2483" w:type="pct"/>
          </w:tcPr>
          <w:p w14:paraId="5FAA103A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</w:rPr>
            </w:pPr>
            <w:r w:rsidRPr="002B30EC">
              <w:rPr>
                <w:rFonts w:ascii="Times New Roman" w:hAnsi="Times New Roman"/>
                <w:i/>
                <w:sz w:val="20"/>
              </w:rPr>
              <w:t>Ryazan Institute (branch) of the Moscow Polytechnic University, Ryazan, Russia</w:t>
            </w:r>
          </w:p>
        </w:tc>
      </w:tr>
      <w:tr w:rsidR="00512258" w:rsidRPr="002B30EC" w14:paraId="01BFAEB5" w14:textId="77777777" w:rsidTr="00565676">
        <w:tc>
          <w:tcPr>
            <w:tcW w:w="2517" w:type="pct"/>
          </w:tcPr>
          <w:p w14:paraId="43841863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Чернышев Алексей Дмитриевич</w:t>
            </w:r>
          </w:p>
        </w:tc>
        <w:tc>
          <w:tcPr>
            <w:tcW w:w="2483" w:type="pct"/>
          </w:tcPr>
          <w:p w14:paraId="3DA86F39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Chernyshev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Alexey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Dmitrievich</w:t>
            </w:r>
            <w:proofErr w:type="spellEnd"/>
          </w:p>
        </w:tc>
      </w:tr>
      <w:tr w:rsidR="00512258" w:rsidRPr="002B30EC" w14:paraId="79885068" w14:textId="77777777" w:rsidTr="00565676">
        <w:trPr>
          <w:trHeight w:val="274"/>
        </w:trPr>
        <w:tc>
          <w:tcPr>
            <w:tcW w:w="2517" w:type="pct"/>
          </w:tcPr>
          <w:p w14:paraId="319E16CB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к.т.н., заведующий кафедрой</w:t>
            </w:r>
          </w:p>
        </w:tc>
        <w:tc>
          <w:tcPr>
            <w:tcW w:w="2483" w:type="pct"/>
          </w:tcPr>
          <w:p w14:paraId="18DD36B4" w14:textId="74C2813F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</w:rPr>
            </w:pPr>
            <w:proofErr w:type="spellStart"/>
            <w:r w:rsidRPr="002B30EC">
              <w:rPr>
                <w:rFonts w:ascii="Times New Roman" w:hAnsi="Times New Roman"/>
                <w:sz w:val="20"/>
              </w:rPr>
              <w:t>Cand.</w:t>
            </w:r>
            <w:r w:rsidR="00716DE5">
              <w:rPr>
                <w:rFonts w:ascii="Times New Roman" w:hAnsi="Times New Roman"/>
                <w:sz w:val="20"/>
              </w:rPr>
              <w:t>Tech.</w:t>
            </w:r>
            <w:r w:rsidRPr="002B30EC">
              <w:rPr>
                <w:rFonts w:ascii="Times New Roman" w:hAnsi="Times New Roman"/>
                <w:sz w:val="20"/>
              </w:rPr>
              <w:t>Sci</w:t>
            </w:r>
            <w:proofErr w:type="spellEnd"/>
            <w:r w:rsidRPr="002B30EC">
              <w:rPr>
                <w:rFonts w:ascii="Times New Roman" w:hAnsi="Times New Roman"/>
                <w:sz w:val="20"/>
              </w:rPr>
              <w:t>., head of department</w:t>
            </w:r>
          </w:p>
        </w:tc>
      </w:tr>
      <w:tr w:rsidR="00512258" w:rsidRPr="002B30EC" w14:paraId="415D5104" w14:textId="77777777" w:rsidTr="00565676">
        <w:trPr>
          <w:trHeight w:val="179"/>
        </w:trPr>
        <w:tc>
          <w:tcPr>
            <w:tcW w:w="2517" w:type="pct"/>
          </w:tcPr>
          <w:p w14:paraId="7D81AEBF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РИНЦ SPIN-код= 5899-2853</w:t>
            </w:r>
          </w:p>
        </w:tc>
        <w:tc>
          <w:tcPr>
            <w:tcW w:w="2483" w:type="pct"/>
          </w:tcPr>
          <w:p w14:paraId="7319D716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RSCI SPIN-code= 5899-2853</w:t>
            </w:r>
          </w:p>
        </w:tc>
      </w:tr>
      <w:tr w:rsidR="00512258" w:rsidRPr="002B30EC" w14:paraId="19DEFD73" w14:textId="77777777" w:rsidTr="00565676">
        <w:trPr>
          <w:trHeight w:val="509"/>
        </w:trPr>
        <w:tc>
          <w:tcPr>
            <w:tcW w:w="2517" w:type="pct"/>
          </w:tcPr>
          <w:p w14:paraId="0D71CEA1" w14:textId="77777777" w:rsidR="00512258" w:rsidRDefault="00AA409A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i/>
                <w:sz w:val="20"/>
                <w:lang w:val="ru-RU"/>
              </w:rPr>
              <w:t>Рязанский институт (филиал) Московского Политехнического университета, Рязань, Россия</w:t>
            </w:r>
          </w:p>
          <w:p w14:paraId="33F9E131" w14:textId="1E3FB790" w:rsidR="00716DE5" w:rsidRPr="002B30EC" w:rsidRDefault="00716DE5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  <w:lang w:val="ru-RU"/>
              </w:rPr>
            </w:pPr>
          </w:p>
        </w:tc>
        <w:tc>
          <w:tcPr>
            <w:tcW w:w="2483" w:type="pct"/>
          </w:tcPr>
          <w:p w14:paraId="1440ED5E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</w:rPr>
            </w:pPr>
            <w:r w:rsidRPr="002B30EC">
              <w:rPr>
                <w:rFonts w:ascii="Times New Roman" w:hAnsi="Times New Roman"/>
                <w:i/>
                <w:sz w:val="20"/>
              </w:rPr>
              <w:t>Ryazan Institute (branch) of the Moscow Polytechnic University, Ryazan, Russia</w:t>
            </w:r>
          </w:p>
        </w:tc>
      </w:tr>
      <w:tr w:rsidR="00512258" w:rsidRPr="002B30EC" w14:paraId="5F2CD150" w14:textId="77777777" w:rsidTr="00565676">
        <w:trPr>
          <w:trHeight w:val="235"/>
        </w:trPr>
        <w:tc>
          <w:tcPr>
            <w:tcW w:w="2517" w:type="pct"/>
          </w:tcPr>
          <w:p w14:paraId="1AADF780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Попков Никита Евгеньевич</w:t>
            </w:r>
          </w:p>
        </w:tc>
        <w:tc>
          <w:tcPr>
            <w:tcW w:w="2483" w:type="pct"/>
          </w:tcPr>
          <w:p w14:paraId="1EFCB15C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Popkov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Nikita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Evgenievich</w:t>
            </w:r>
            <w:proofErr w:type="spellEnd"/>
          </w:p>
        </w:tc>
      </w:tr>
      <w:tr w:rsidR="00512258" w:rsidRPr="002B30EC" w14:paraId="26DDE12B" w14:textId="77777777" w:rsidTr="00565676">
        <w:trPr>
          <w:trHeight w:val="200"/>
        </w:trPr>
        <w:tc>
          <w:tcPr>
            <w:tcW w:w="2517" w:type="pct"/>
          </w:tcPr>
          <w:p w14:paraId="5566E16C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магистрант</w:t>
            </w:r>
          </w:p>
        </w:tc>
        <w:tc>
          <w:tcPr>
            <w:tcW w:w="2483" w:type="pct"/>
          </w:tcPr>
          <w:p w14:paraId="66E2D3A2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>Master's student</w:t>
            </w:r>
          </w:p>
        </w:tc>
      </w:tr>
      <w:tr w:rsidR="00512258" w:rsidRPr="002B30EC" w14:paraId="4AFA96A9" w14:textId="77777777" w:rsidTr="00565676">
        <w:trPr>
          <w:trHeight w:val="338"/>
        </w:trPr>
        <w:tc>
          <w:tcPr>
            <w:tcW w:w="2517" w:type="pct"/>
          </w:tcPr>
          <w:p w14:paraId="2913F701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i/>
                <w:sz w:val="20"/>
                <w:lang w:val="ru-RU"/>
              </w:rPr>
              <w:t>Рязанский институт (филиал) Московского Политехнического университета, Рязань, Россия</w:t>
            </w:r>
          </w:p>
          <w:p w14:paraId="7DF7A6AB" w14:textId="77777777" w:rsidR="00C16449" w:rsidRPr="002B30EC" w:rsidRDefault="00C16449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  <w:lang w:val="ru-RU"/>
              </w:rPr>
            </w:pPr>
          </w:p>
        </w:tc>
        <w:tc>
          <w:tcPr>
            <w:tcW w:w="2483" w:type="pct"/>
          </w:tcPr>
          <w:p w14:paraId="20C1EF00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i/>
                <w:sz w:val="20"/>
              </w:rPr>
            </w:pPr>
            <w:r w:rsidRPr="002B30EC">
              <w:rPr>
                <w:rFonts w:ascii="Times New Roman" w:hAnsi="Times New Roman"/>
                <w:i/>
                <w:sz w:val="20"/>
              </w:rPr>
              <w:t>Ryazan Institute (branch) of the Moscow Polytechnic University, Ryazan, Russia</w:t>
            </w:r>
          </w:p>
        </w:tc>
      </w:tr>
      <w:tr w:rsidR="00512258" w:rsidRPr="002B30EC" w14:paraId="36ECE601" w14:textId="77777777" w:rsidTr="00565676">
        <w:trPr>
          <w:trHeight w:val="803"/>
        </w:trPr>
        <w:tc>
          <w:tcPr>
            <w:tcW w:w="2517" w:type="pct"/>
          </w:tcPr>
          <w:p w14:paraId="0A72AC10" w14:textId="127EC31F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В настоящее время агропромышленный комплекс испытывает потребность в увеличении мощностного ресурса отрасли, что обусловлено объемами производств сельского хозяйства страны. Важным вопросом, стоящим перед агропромышленным комплексом, является повышение мощности двигателей. Стоит отметить, что наряду с  модернизацией двигателей наземных транспортно-технологических средств, интерес представляет усовершенствование высокопроизводительных, в том числе стационарных двигателей способных обеспечить работу оборудования в разных отраслях производства. Модернизация зажигания является одним из возможных направлений по совершенствованию двигателей. Разработана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форкамера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инновационной геометрической формы. В результате анализа процесса горения топлива и его распространения по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форкамере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и рабочей камере цилиндра, было установлено, что среднее значение давления составит 35 бар. Данный показатель характерен как для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форкамеры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, так и для рабочей камеры цилиндра. В рабочей камере цилиндра на поверхности поршня зафиксировано давление в 40 бар, а в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форкамере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максимальное давление составило 50 бар, которое сконцентрировано в верхней части шаровой полости горения. Освещенные в статье результаты исследований подтверждают улучшение процесса горения в модернизированной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форкамере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в сравнении с аналогами, за счет образования вихревых потоков в шаровой полости горения.  </w:t>
            </w:r>
            <w:r w:rsidRPr="002B30EC">
              <w:rPr>
                <w:rFonts w:ascii="Times New Roman" w:hAnsi="Times New Roman"/>
                <w:sz w:val="20"/>
                <w:lang w:val="ru-RU"/>
              </w:rPr>
              <w:lastRenderedPageBreak/>
              <w:t xml:space="preserve">Внедрение разработанной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форкамеры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 способно качественно улучшить работу двигателей. Следует отметить необходимость проведение прочностного расчета для разработанной </w:t>
            </w:r>
            <w:proofErr w:type="spellStart"/>
            <w:r w:rsidRPr="002B30EC">
              <w:rPr>
                <w:rFonts w:ascii="Times New Roman" w:hAnsi="Times New Roman"/>
                <w:sz w:val="20"/>
                <w:lang w:val="ru-RU"/>
              </w:rPr>
              <w:t>форкамеры</w:t>
            </w:r>
            <w:proofErr w:type="spellEnd"/>
            <w:r w:rsidRPr="002B30EC">
              <w:rPr>
                <w:rFonts w:ascii="Times New Roman" w:hAnsi="Times New Roman"/>
                <w:sz w:val="20"/>
                <w:lang w:val="ru-RU"/>
              </w:rPr>
              <w:t>. В дальнейшем является необходимым создание экспериментальной модели и ее испытание</w:t>
            </w:r>
          </w:p>
          <w:p w14:paraId="6C3F8D0B" w14:textId="77777777" w:rsidR="007776E8" w:rsidRPr="002B30EC" w:rsidRDefault="007776E8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</w:p>
        </w:tc>
        <w:tc>
          <w:tcPr>
            <w:tcW w:w="2483" w:type="pct"/>
          </w:tcPr>
          <w:p w14:paraId="5D12D7C7" w14:textId="5D4106AF" w:rsidR="00512258" w:rsidRPr="002B30EC" w:rsidRDefault="00AA409A" w:rsidP="002B30EC">
            <w:pPr>
              <w:jc w:val="left"/>
              <w:rPr>
                <w:rFonts w:ascii="Times New Roman" w:hAnsi="Times New Roman"/>
                <w:sz w:val="20"/>
              </w:rPr>
            </w:pPr>
            <w:r w:rsidRPr="002B30EC">
              <w:rPr>
                <w:rFonts w:ascii="Times New Roman" w:hAnsi="Times New Roman"/>
                <w:sz w:val="20"/>
              </w:rPr>
              <w:lastRenderedPageBreak/>
              <w:t xml:space="preserve">Currently, the agro-industrial complex is in need of increasing the capacity of the industry, which is due to the volume of agricultural production in the country. An important issue facing the agro-industrial complex is the increase in engine power. It is worth noting that along with the modernization of engines of ground-based transport and technological means, it is of interest to improve high-performance, including stationary engines capable of operating equipment in various industries. Ignition modernization is one of the possible ways to improve engines. An innovative geometric shape pre-chamber has been developed. As a result of the analysis of the fuel combustion process and its propagation through the pre-chamber and the working chamber of the cylinder, it was found that the average pressure value will be 35 bar. This indicator is typical for both the pre-chamber and the working chamber of the cylinder. In the working chamber of the cylinder, a pressure of 40 bar is fixed on the piston surface, and in the pre-chamber the maximum pressure was 50 bar, which is concentrated in the upper part of the combustion ball </w:t>
            </w:r>
            <w:r w:rsidR="00565676">
              <w:rPr>
                <w:rFonts w:ascii="Times New Roman" w:hAnsi="Times New Roman"/>
                <w:sz w:val="20"/>
              </w:rPr>
              <w:t xml:space="preserve">burning </w:t>
            </w:r>
            <w:r w:rsidRPr="002B30EC">
              <w:rPr>
                <w:rFonts w:ascii="Times New Roman" w:hAnsi="Times New Roman"/>
                <w:sz w:val="20"/>
              </w:rPr>
              <w:t xml:space="preserve">cavity. The research results highlighted in the article confirm the improvement of the combustion process in the upgraded pre-chamber in comparison with analogues, due to the formation of vortex flows in the combustion ball </w:t>
            </w:r>
            <w:r w:rsidR="00565676">
              <w:rPr>
                <w:rFonts w:ascii="Times New Roman" w:hAnsi="Times New Roman"/>
                <w:sz w:val="20"/>
              </w:rPr>
              <w:t xml:space="preserve">burning </w:t>
            </w:r>
            <w:r w:rsidRPr="002B30EC">
              <w:rPr>
                <w:rFonts w:ascii="Times New Roman" w:hAnsi="Times New Roman"/>
                <w:sz w:val="20"/>
              </w:rPr>
              <w:t>cavity. The introduction of the developed pre-chamber can qualitatively improve the operation of engines. It should be noted that it is necessary to carry out a strength calculation for the developed pre-chamber. In the future, it is necessary to create an experimental model and test it</w:t>
            </w:r>
            <w:r w:rsidR="00565676">
              <w:rPr>
                <w:rFonts w:ascii="Times New Roman" w:hAnsi="Times New Roman"/>
                <w:sz w:val="20"/>
              </w:rPr>
              <w:t xml:space="preserve"> properly</w:t>
            </w:r>
          </w:p>
        </w:tc>
      </w:tr>
      <w:tr w:rsidR="00512258" w:rsidRPr="002B30EC" w14:paraId="6C36C2CD" w14:textId="77777777" w:rsidTr="00565676">
        <w:trPr>
          <w:trHeight w:val="803"/>
        </w:trPr>
        <w:tc>
          <w:tcPr>
            <w:tcW w:w="2517" w:type="pct"/>
          </w:tcPr>
          <w:p w14:paraId="1BD2DCA9" w14:textId="77777777" w:rsidR="00512258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r w:rsidRPr="002B30EC">
              <w:rPr>
                <w:rFonts w:ascii="Times New Roman" w:hAnsi="Times New Roman"/>
                <w:sz w:val="20"/>
                <w:lang w:val="ru-RU"/>
              </w:rPr>
              <w:t xml:space="preserve">Ключевые слова: МАШИНОСТРОЕНИЕ, ДВИГАТЕЛИ, ФОРКАМЕРА </w:t>
            </w:r>
          </w:p>
          <w:p w14:paraId="4921A10D" w14:textId="77777777" w:rsidR="00716DE5" w:rsidRDefault="00716DE5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</w:p>
          <w:p w14:paraId="39407FBE" w14:textId="05CED0C1" w:rsidR="00716DE5" w:rsidRPr="002B30EC" w:rsidRDefault="00106723" w:rsidP="002B30EC">
            <w:pPr>
              <w:widowControl w:val="0"/>
              <w:jc w:val="left"/>
              <w:rPr>
                <w:rFonts w:ascii="Times New Roman" w:hAnsi="Times New Roman"/>
                <w:sz w:val="20"/>
                <w:lang w:val="ru-RU"/>
              </w:rPr>
            </w:pPr>
            <w:hyperlink r:id="rId7" w:history="1">
              <w:r w:rsidR="00716DE5" w:rsidRPr="00953A00">
                <w:rPr>
                  <w:rStyle w:val="Hyperlink"/>
                  <w:rFonts w:ascii="Times New Roman" w:hAnsi="Times New Roman"/>
                  <w:sz w:val="20"/>
                  <w:lang w:val="ru-RU"/>
                </w:rPr>
                <w:t>http://dx.doi.org/10.21515/1990-4665-204-0</w:t>
              </w:r>
              <w:r w:rsidR="00716DE5" w:rsidRPr="009E3ACC">
                <w:rPr>
                  <w:rStyle w:val="Hyperlink"/>
                  <w:rFonts w:ascii="Times New Roman" w:hAnsi="Times New Roman"/>
                  <w:sz w:val="20"/>
                  <w:lang w:val="ru-RU"/>
                </w:rPr>
                <w:t>47</w:t>
              </w:r>
            </w:hyperlink>
            <w:r w:rsidR="00716DE5" w:rsidRPr="009E3ACC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</w:p>
        </w:tc>
        <w:tc>
          <w:tcPr>
            <w:tcW w:w="2483" w:type="pct"/>
          </w:tcPr>
          <w:p w14:paraId="7A716B85" w14:textId="77777777" w:rsidR="00512258" w:rsidRPr="002B30EC" w:rsidRDefault="00AA409A" w:rsidP="002B30EC">
            <w:pPr>
              <w:widowControl w:val="0"/>
              <w:jc w:val="left"/>
              <w:rPr>
                <w:rFonts w:ascii="Times New Roman" w:hAnsi="Times New Roman"/>
                <w:sz w:val="20"/>
              </w:rPr>
            </w:pPr>
            <w:r w:rsidRPr="002B30EC">
              <w:rPr>
                <w:rFonts w:ascii="Times New Roman" w:hAnsi="Times New Roman"/>
                <w:sz w:val="20"/>
              </w:rPr>
              <w:t>Keywords: MECHANICAL ENGINEERING, ENGINES, PRE-CHAMBER</w:t>
            </w:r>
          </w:p>
        </w:tc>
      </w:tr>
    </w:tbl>
    <w:p w14:paraId="0BDC2B7C" w14:textId="77777777" w:rsidR="00512258" w:rsidRPr="002B30EC" w:rsidRDefault="00512258" w:rsidP="00C16449">
      <w:pPr>
        <w:spacing w:line="360" w:lineRule="auto"/>
        <w:ind w:firstLine="709"/>
        <w:rPr>
          <w:rFonts w:ascii="Times New Roman" w:hAnsi="Times New Roman"/>
          <w:szCs w:val="28"/>
        </w:rPr>
      </w:pPr>
    </w:p>
    <w:p w14:paraId="187CF503" w14:textId="77777777" w:rsidR="00512258" w:rsidRPr="007776E8" w:rsidRDefault="00AA409A" w:rsidP="007776E8">
      <w:pPr>
        <w:spacing w:line="360" w:lineRule="auto"/>
        <w:ind w:firstLine="709"/>
        <w:jc w:val="center"/>
        <w:rPr>
          <w:rFonts w:ascii="Times New Roman" w:hAnsi="Times New Roman"/>
          <w:b/>
          <w:szCs w:val="28"/>
          <w:lang w:val="ru-RU"/>
        </w:rPr>
      </w:pPr>
      <w:r w:rsidRPr="007776E8">
        <w:rPr>
          <w:rFonts w:ascii="Times New Roman" w:hAnsi="Times New Roman"/>
          <w:b/>
          <w:szCs w:val="28"/>
          <w:lang w:val="ru-RU"/>
        </w:rPr>
        <w:t>Введение</w:t>
      </w:r>
    </w:p>
    <w:p w14:paraId="0CD03A14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В настоящее время агропромышленный комплекс испытывает потребность в увеличении мощностного ресурса отрасли, что обусловлено объемами производств сельского хозяйства страны. Следует отметить, что данная необходимость вызвана также, безостановочным ростом отрасли. </w:t>
      </w:r>
    </w:p>
    <w:p w14:paraId="2B50B768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 Нивелирование данной потребности возможно за счет увеличения количества эксплуатируемой техники. При этом, повышение качественного уровня техники так же способно компенсировать мощностной дефицит отдельных производств и отрасли в целом. </w:t>
      </w:r>
    </w:p>
    <w:p w14:paraId="5298D5B7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Важным вопросом, стоящим перед агропромышленным комплексом, является повышение мощности двигателей. Стоит отметить, что наряду с  модернизацией двигателей наземных транспортно-технологических средств, интерес представляет усовершенствование высокопроизводительных, в том числе стационарных двигателей способных обеспечить работу оборудования в разных отраслях производства.</w:t>
      </w:r>
    </w:p>
    <w:p w14:paraId="4C4BAB84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В процессе работы двигателя, для взятия мощности, особенно на переходных режимах работы, в рабочую камеру двигателя подается избыточное количество топлива, для создания  перенасыщенной смеси, третья часть которой, не сгоревши, выбрасывается вместе с выхлопными газами. Решением проблемы может быть модернизация зажигания. </w:t>
      </w:r>
    </w:p>
    <w:p w14:paraId="0DFFBF39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lastRenderedPageBreak/>
        <w:t xml:space="preserve">Учитывая, что в данной статье рассматриваются, в том числе двигатели большой мощности, исследования проводились на двигателе Д49. </w:t>
      </w:r>
    </w:p>
    <w:p w14:paraId="2757A023" w14:textId="77777777" w:rsidR="00512258" w:rsidRPr="007776E8" w:rsidRDefault="00AA409A" w:rsidP="007776E8">
      <w:pPr>
        <w:spacing w:line="360" w:lineRule="auto"/>
        <w:ind w:left="-283"/>
        <w:jc w:val="center"/>
        <w:rPr>
          <w:rFonts w:ascii="Times New Roman" w:hAnsi="Times New Roman"/>
          <w:b/>
          <w:szCs w:val="28"/>
          <w:lang w:val="ru-RU"/>
        </w:rPr>
      </w:pPr>
      <w:r w:rsidRPr="007776E8">
        <w:rPr>
          <w:rFonts w:ascii="Times New Roman" w:hAnsi="Times New Roman"/>
          <w:b/>
          <w:szCs w:val="28"/>
          <w:lang w:val="ru-RU"/>
        </w:rPr>
        <w:t>Методы и материалы исследования</w:t>
      </w:r>
    </w:p>
    <w:p w14:paraId="67A71B8E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Разработана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форкамера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уникальной геометрической формы изображенная на рисунке 1, которая обеспечивает наилучшее смесеобразование, способствующее наилучшему воспламенению топливно-воздушной смеси. </w:t>
      </w:r>
    </w:p>
    <w:p w14:paraId="10D9034F" w14:textId="0BE258D8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Закономерным эффектом от использования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является повышение мощности двигателя и уменьшение выбросов в атмосферу не отработавших газов за счет полного сжигания смеси. </w:t>
      </w:r>
    </w:p>
    <w:p w14:paraId="7060B6AD" w14:textId="77777777" w:rsidR="00512258" w:rsidRPr="007776E8" w:rsidRDefault="00AA409A" w:rsidP="007776E8">
      <w:pPr>
        <w:spacing w:line="360" w:lineRule="auto"/>
        <w:ind w:firstLine="709"/>
        <w:jc w:val="center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75F22686" wp14:editId="65BCC821">
            <wp:extent cx="1362075" cy="2881313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/>
                    <a:srcRect l="16714" t="20408" r="78287" b="41987"/>
                    <a:stretch/>
                  </pic:blipFill>
                  <pic:spPr>
                    <a:xfrm>
                      <a:off x="0" y="0"/>
                      <a:ext cx="1362075" cy="288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16569818" wp14:editId="13159F19">
            <wp:extent cx="1619250" cy="2876550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8"/>
                    <a:srcRect l="34204" t="21777" r="60240" b="43105"/>
                    <a:stretch/>
                  </pic:blipFill>
                  <pic:spPr>
                    <a:xfrm>
                      <a:off x="0" y="0"/>
                      <a:ext cx="16192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D07E7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2B30EC">
        <w:rPr>
          <w:rFonts w:ascii="Times New Roman" w:hAnsi="Times New Roman"/>
          <w:szCs w:val="28"/>
          <w:lang w:val="ru-RU"/>
        </w:rPr>
        <w:t xml:space="preserve">                                               </w:t>
      </w:r>
      <w:r w:rsidRPr="007776E8">
        <w:rPr>
          <w:rFonts w:ascii="Times New Roman" w:hAnsi="Times New Roman"/>
          <w:szCs w:val="28"/>
          <w:lang w:val="ru-RU"/>
        </w:rPr>
        <w:t>а                               б</w:t>
      </w:r>
    </w:p>
    <w:p w14:paraId="2B3508E7" w14:textId="77777777" w:rsidR="00512258" w:rsidRPr="007776E8" w:rsidRDefault="00AA409A" w:rsidP="007776E8">
      <w:pPr>
        <w:spacing w:line="360" w:lineRule="auto"/>
        <w:ind w:firstLine="709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а- общий вид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>; б- 3</w:t>
      </w:r>
      <w:r w:rsidRPr="007776E8">
        <w:rPr>
          <w:rFonts w:ascii="Times New Roman" w:hAnsi="Times New Roman"/>
          <w:szCs w:val="28"/>
        </w:rPr>
        <w:t>D</w:t>
      </w:r>
      <w:r w:rsidRPr="007776E8">
        <w:rPr>
          <w:rFonts w:ascii="Times New Roman" w:hAnsi="Times New Roman"/>
          <w:szCs w:val="28"/>
          <w:lang w:val="ru-RU"/>
        </w:rPr>
        <w:t xml:space="preserve"> модель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</w:p>
    <w:p w14:paraId="2CA3538C" w14:textId="77777777" w:rsidR="00512258" w:rsidRPr="007776E8" w:rsidRDefault="00AA409A" w:rsidP="007776E8">
      <w:pPr>
        <w:spacing w:line="360" w:lineRule="auto"/>
        <w:ind w:left="-567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Style w:val="1"/>
          <w:rFonts w:ascii="Times New Roman" w:hAnsi="Times New Roman"/>
          <w:szCs w:val="28"/>
          <w:lang w:val="ru-RU"/>
        </w:rPr>
        <w:t xml:space="preserve">Рисунок 1.–  Модернизированная </w:t>
      </w:r>
      <w:proofErr w:type="spellStart"/>
      <w:r w:rsidRPr="007776E8">
        <w:rPr>
          <w:rStyle w:val="1"/>
          <w:rFonts w:ascii="Times New Roman" w:hAnsi="Times New Roman"/>
          <w:szCs w:val="28"/>
          <w:lang w:val="ru-RU"/>
        </w:rPr>
        <w:t>форкамера</w:t>
      </w:r>
      <w:proofErr w:type="spellEnd"/>
      <w:r w:rsidRPr="007776E8">
        <w:rPr>
          <w:rStyle w:val="1"/>
          <w:rFonts w:ascii="Times New Roman" w:hAnsi="Times New Roman"/>
          <w:szCs w:val="28"/>
          <w:lang w:val="ru-RU"/>
        </w:rPr>
        <w:t xml:space="preserve"> для двигателя Д49</w:t>
      </w:r>
    </w:p>
    <w:p w14:paraId="10C8DC3B" w14:textId="77777777" w:rsidR="00512258" w:rsidRPr="007776E8" w:rsidRDefault="00512258" w:rsidP="007776E8">
      <w:pPr>
        <w:spacing w:line="360" w:lineRule="auto"/>
        <w:ind w:firstLine="709"/>
        <w:jc w:val="center"/>
        <w:rPr>
          <w:rFonts w:ascii="Times New Roman" w:hAnsi="Times New Roman"/>
          <w:szCs w:val="28"/>
          <w:lang w:val="ru-RU"/>
        </w:rPr>
      </w:pPr>
    </w:p>
    <w:p w14:paraId="04B58A05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Для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был проведен расчет распространения давления по периметру рабочей камеры, так же смоделировано распределение температурного фронта и определена скорость распределения газа. В данной статье представлены результаты </w:t>
      </w:r>
      <w:r w:rsidRPr="007776E8">
        <w:rPr>
          <w:rFonts w:ascii="Times New Roman" w:hAnsi="Times New Roman"/>
          <w:szCs w:val="28"/>
          <w:lang w:val="ru-RU"/>
        </w:rPr>
        <w:lastRenderedPageBreak/>
        <w:t xml:space="preserve">исследований по наполнению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свежим воздухом и топливным газом, а также проведен расчет процесса горения в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при перемещении  поршня.  </w:t>
      </w:r>
    </w:p>
    <w:p w14:paraId="437C9957" w14:textId="77777777" w:rsidR="00512258" w:rsidRPr="007776E8" w:rsidRDefault="00AA409A" w:rsidP="007776E8">
      <w:pPr>
        <w:spacing w:line="360" w:lineRule="auto"/>
        <w:ind w:left="-283"/>
        <w:jc w:val="center"/>
        <w:rPr>
          <w:rFonts w:ascii="Times New Roman" w:hAnsi="Times New Roman"/>
          <w:b/>
          <w:szCs w:val="28"/>
          <w:lang w:val="ru-RU"/>
        </w:rPr>
      </w:pPr>
      <w:r w:rsidRPr="007776E8">
        <w:rPr>
          <w:rFonts w:ascii="Times New Roman" w:hAnsi="Times New Roman"/>
          <w:b/>
          <w:szCs w:val="28"/>
          <w:lang w:val="ru-RU"/>
        </w:rPr>
        <w:t>Результаты исследований</w:t>
      </w:r>
    </w:p>
    <w:p w14:paraId="1E1368F0" w14:textId="77777777" w:rsidR="00512258" w:rsidRPr="007776E8" w:rsidRDefault="00AA409A" w:rsidP="007776E8">
      <w:pPr>
        <w:spacing w:line="360" w:lineRule="auto"/>
        <w:ind w:left="-283" w:firstLine="992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Для проведения моделирования и расчетов использовались усредненные показатели   давления воспламенения (10-50 бар), концентрации газа (0,01%), температуры воспламенения (2000</w:t>
      </w:r>
      <w:r w:rsidRPr="007776E8">
        <w:rPr>
          <w:rFonts w:ascii="Times New Roman" w:hAnsi="Times New Roman"/>
          <w:szCs w:val="28"/>
          <w:vertAlign w:val="superscript"/>
          <w:lang w:val="ru-RU"/>
        </w:rPr>
        <w:t>0</w:t>
      </w:r>
      <w:r w:rsidRPr="007776E8">
        <w:rPr>
          <w:rFonts w:ascii="Times New Roman" w:hAnsi="Times New Roman"/>
          <w:szCs w:val="28"/>
          <w:lang w:val="ru-RU"/>
        </w:rPr>
        <w:t xml:space="preserve">С), давления воздуха поступившего в конце движения поршня (18 бар), также учитывалось соотношение объема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к объему камеры сжатия. Диаметр цилиндра 260 мм, ход поршня 260 мм, 1000 об/мин. Стоит отметить, что уровень загрузки цилиндров поршневой группы приняли равной 40%, так как при форкамерном воспламенении  топлива расчетное давление в цилиндре при горении  составляет 150 бар, в то время как при горении в рабочей камере цилиндра, газа, на тот же объем, составляет 80 бар, а при горении дизельного топлива, давление в цилиндре составляет 200-220 бар. </w:t>
      </w:r>
    </w:p>
    <w:p w14:paraId="69AD79DB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Смоделированный процесс наполнения воздухом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 представлен на рисунке 2.</w:t>
      </w:r>
    </w:p>
    <w:p w14:paraId="3F28A904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3F853569" wp14:editId="745EC0E0">
            <wp:extent cx="2981324" cy="2933699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2981324" cy="2933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8CBDB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Рисунок 2</w:t>
      </w:r>
      <w:r w:rsidRPr="007776E8">
        <w:rPr>
          <w:rStyle w:val="1"/>
          <w:rFonts w:ascii="Times New Roman" w:hAnsi="Times New Roman"/>
          <w:szCs w:val="28"/>
          <w:lang w:val="ru-RU"/>
        </w:rPr>
        <w:t xml:space="preserve">. – </w:t>
      </w:r>
      <w:r w:rsidRPr="007776E8">
        <w:rPr>
          <w:rFonts w:ascii="Times New Roman" w:hAnsi="Times New Roman"/>
          <w:szCs w:val="28"/>
          <w:lang w:val="ru-RU"/>
        </w:rPr>
        <w:t xml:space="preserve"> Наполнение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воздухом</w:t>
      </w:r>
    </w:p>
    <w:p w14:paraId="1EE15C63" w14:textId="77777777" w:rsidR="00512258" w:rsidRPr="007776E8" w:rsidRDefault="00512258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</w:p>
    <w:p w14:paraId="46A214E9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lastRenderedPageBreak/>
        <w:t xml:space="preserve">На рисунке 2 представлены векторы движения воздуха характеризующие его распределение по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. Основная часть сконцентрирована в шаровой полости горения. При этом  имеет место наличие некоторого количества воздуха у сопла распылителя и в нижней части рабочей камеры по центру цилиндра. Стоит отметить, что основная часть векторов направлена вертикально вверх от разгонной полости горения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к шаровой полости. </w:t>
      </w:r>
    </w:p>
    <w:p w14:paraId="53090B68" w14:textId="77777777" w:rsidR="00512258" w:rsidRPr="007776E8" w:rsidRDefault="00512258" w:rsidP="007776E8">
      <w:pPr>
        <w:spacing w:line="360" w:lineRule="auto"/>
        <w:rPr>
          <w:rFonts w:ascii="Times New Roman" w:hAnsi="Times New Roman"/>
          <w:szCs w:val="28"/>
          <w:lang w:val="ru-RU"/>
        </w:rPr>
      </w:pPr>
    </w:p>
    <w:p w14:paraId="1D0769AD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721A595E" wp14:editId="77E35F0F">
            <wp:extent cx="4229099" cy="1647825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0"/>
                    <a:srcRect t="20086" b="2991"/>
                    <a:stretch/>
                  </pic:blipFill>
                  <pic:spPr>
                    <a:xfrm>
                      <a:off x="0" y="0"/>
                      <a:ext cx="4229099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DE3F8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Рисунок 3.</w:t>
      </w:r>
      <w:r w:rsidRPr="007776E8">
        <w:rPr>
          <w:rStyle w:val="1"/>
          <w:rFonts w:ascii="Times New Roman" w:hAnsi="Times New Roman"/>
          <w:szCs w:val="28"/>
          <w:lang w:val="ru-RU"/>
        </w:rPr>
        <w:t xml:space="preserve"> –</w:t>
      </w:r>
      <w:r w:rsidRPr="007776E8">
        <w:rPr>
          <w:rFonts w:ascii="Times New Roman" w:hAnsi="Times New Roman"/>
          <w:szCs w:val="28"/>
          <w:lang w:val="ru-RU"/>
        </w:rPr>
        <w:t xml:space="preserve">  График давления наполнения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воздухом</w:t>
      </w:r>
    </w:p>
    <w:p w14:paraId="52CF7DEE" w14:textId="77777777" w:rsidR="00512258" w:rsidRPr="007776E8" w:rsidRDefault="00512258" w:rsidP="007776E8">
      <w:pPr>
        <w:spacing w:line="360" w:lineRule="auto"/>
        <w:rPr>
          <w:rFonts w:ascii="Times New Roman" w:hAnsi="Times New Roman"/>
          <w:szCs w:val="28"/>
          <w:lang w:val="ru-RU"/>
        </w:rPr>
      </w:pPr>
    </w:p>
    <w:p w14:paraId="7D1EEF52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На рисунке 3 представлен поясняющий график, характеризующий приведенный ранее расчет наполнения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воздухом. Из него следует, что в начальный момент времени давление наполнения составляет 15 бар,  далее происходит постепенное уменьшение давления, с течением времени стремящееся к 0.</w:t>
      </w:r>
    </w:p>
    <w:p w14:paraId="26D01128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szCs w:val="28"/>
          <w:lang w:val="ru-RU"/>
        </w:rPr>
        <w:t xml:space="preserve">Как известно процесс воспламенения смеси в рабочей камере цилиндра напрямую связан с возвратно поступательным движением поршня. Для наилучшего понимания процесса, был проведено исследование наполнения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воздухом при движении поршня. </w:t>
      </w:r>
      <w:proofErr w:type="spellStart"/>
      <w:r w:rsidRPr="007776E8">
        <w:rPr>
          <w:rFonts w:ascii="Times New Roman" w:hAnsi="Times New Roman"/>
          <w:szCs w:val="28"/>
        </w:rPr>
        <w:t>Смоделированный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процесс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приведен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на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рисунке</w:t>
      </w:r>
      <w:proofErr w:type="spellEnd"/>
      <w:r w:rsidRPr="007776E8">
        <w:rPr>
          <w:rFonts w:ascii="Times New Roman" w:hAnsi="Times New Roman"/>
          <w:szCs w:val="28"/>
        </w:rPr>
        <w:t xml:space="preserve"> 4.</w:t>
      </w:r>
    </w:p>
    <w:p w14:paraId="172EE275" w14:textId="77777777" w:rsidR="00512258" w:rsidRPr="007776E8" w:rsidRDefault="00512258" w:rsidP="007776E8">
      <w:pPr>
        <w:spacing w:line="360" w:lineRule="auto"/>
        <w:rPr>
          <w:rFonts w:ascii="Times New Roman" w:hAnsi="Times New Roman"/>
          <w:szCs w:val="28"/>
        </w:rPr>
      </w:pPr>
    </w:p>
    <w:p w14:paraId="7CB25B72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lastRenderedPageBreak/>
        <w:drawing>
          <wp:inline distT="0" distB="0" distL="0" distR="0" wp14:anchorId="68C2C2A6" wp14:editId="12B2526B">
            <wp:extent cx="3009899" cy="2867024"/>
            <wp:effectExtent l="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1"/>
                    <a:stretch/>
                  </pic:blipFill>
                  <pic:spPr>
                    <a:xfrm>
                      <a:off x="0" y="0"/>
                      <a:ext cx="3009899" cy="2867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B266A" w14:textId="77777777" w:rsidR="00512258" w:rsidRPr="007776E8" w:rsidRDefault="00512258" w:rsidP="007776E8">
      <w:pPr>
        <w:spacing w:line="360" w:lineRule="auto"/>
        <w:jc w:val="center"/>
        <w:rPr>
          <w:rFonts w:ascii="Times New Roman" w:hAnsi="Times New Roman"/>
          <w:szCs w:val="28"/>
        </w:rPr>
      </w:pPr>
    </w:p>
    <w:p w14:paraId="66AD900A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Рисунок 4</w:t>
      </w:r>
      <w:r w:rsidRPr="007776E8">
        <w:rPr>
          <w:rStyle w:val="1"/>
          <w:rFonts w:ascii="Times New Roman" w:hAnsi="Times New Roman"/>
          <w:szCs w:val="28"/>
          <w:lang w:val="ru-RU"/>
        </w:rPr>
        <w:t xml:space="preserve">. – </w:t>
      </w:r>
      <w:r w:rsidRPr="007776E8">
        <w:rPr>
          <w:rFonts w:ascii="Times New Roman" w:hAnsi="Times New Roman"/>
          <w:szCs w:val="28"/>
          <w:lang w:val="ru-RU"/>
        </w:rPr>
        <w:t xml:space="preserve"> Наполнение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воздухом при движении поршня</w:t>
      </w:r>
    </w:p>
    <w:p w14:paraId="2B7BC02D" w14:textId="77777777" w:rsidR="00512258" w:rsidRPr="007776E8" w:rsidRDefault="00512258" w:rsidP="007776E8">
      <w:pPr>
        <w:spacing w:line="360" w:lineRule="auto"/>
        <w:ind w:firstLine="709"/>
        <w:jc w:val="left"/>
        <w:rPr>
          <w:rFonts w:ascii="Times New Roman" w:hAnsi="Times New Roman"/>
          <w:szCs w:val="28"/>
          <w:lang w:val="ru-RU"/>
        </w:rPr>
      </w:pPr>
    </w:p>
    <w:p w14:paraId="45885171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Анализируя рисунок 4, следует, что наибольшее давление приходится на канал между соплами распылителя и разгонной полостью горения. Векторы перемещения воздуха аналогичны предыдущим расчетам и стремятся по телу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, вверх. На рисунке 5 представлен график характеризующий процесс наполнения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воздухом при движении поршня, с уточнением скорости заполнения. </w:t>
      </w:r>
    </w:p>
    <w:p w14:paraId="19A946C0" w14:textId="77777777" w:rsidR="00512258" w:rsidRPr="007776E8" w:rsidRDefault="00512258" w:rsidP="007776E8">
      <w:pPr>
        <w:spacing w:line="360" w:lineRule="auto"/>
        <w:rPr>
          <w:rFonts w:ascii="Times New Roman" w:hAnsi="Times New Roman"/>
          <w:szCs w:val="28"/>
          <w:lang w:val="ru-RU"/>
        </w:rPr>
      </w:pPr>
    </w:p>
    <w:p w14:paraId="0E0C0068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5E108CDD" wp14:editId="3BF8EAC1">
            <wp:extent cx="4600574" cy="1933575"/>
            <wp:effectExtent l="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2"/>
                    <a:stretch/>
                  </pic:blipFill>
                  <pic:spPr>
                    <a:xfrm>
                      <a:off x="0" y="0"/>
                      <a:ext cx="4600574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84249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Рисунок 5</w:t>
      </w:r>
      <w:r w:rsidRPr="007776E8">
        <w:rPr>
          <w:rStyle w:val="1"/>
          <w:rFonts w:ascii="Times New Roman" w:hAnsi="Times New Roman"/>
          <w:szCs w:val="28"/>
          <w:lang w:val="ru-RU"/>
        </w:rPr>
        <w:t xml:space="preserve">. – </w:t>
      </w:r>
      <w:r w:rsidRPr="007776E8">
        <w:rPr>
          <w:rFonts w:ascii="Times New Roman" w:hAnsi="Times New Roman"/>
          <w:szCs w:val="28"/>
          <w:lang w:val="ru-RU"/>
        </w:rPr>
        <w:t xml:space="preserve"> Расчет скорости и давления наполнения.</w:t>
      </w:r>
    </w:p>
    <w:p w14:paraId="0993E6AE" w14:textId="77777777" w:rsidR="00512258" w:rsidRPr="007776E8" w:rsidRDefault="00512258" w:rsidP="007776E8">
      <w:pPr>
        <w:spacing w:line="360" w:lineRule="auto"/>
        <w:rPr>
          <w:rFonts w:ascii="Times New Roman" w:hAnsi="Times New Roman"/>
          <w:szCs w:val="28"/>
          <w:lang w:val="ru-RU"/>
        </w:rPr>
      </w:pPr>
    </w:p>
    <w:p w14:paraId="0A0553F1" w14:textId="77777777" w:rsidR="00512258" w:rsidRPr="007776E8" w:rsidRDefault="00AA409A" w:rsidP="007776E8">
      <w:pPr>
        <w:spacing w:line="360" w:lineRule="auto"/>
        <w:ind w:firstLine="850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lastRenderedPageBreak/>
        <w:t>Из графика представленного на рисунке 5 следует, что максимальная скорость при движении поршня составляет 1200 м/</w:t>
      </w:r>
      <w:r w:rsidRPr="007776E8">
        <w:rPr>
          <w:rFonts w:ascii="Times New Roman" w:hAnsi="Times New Roman"/>
          <w:szCs w:val="28"/>
        </w:rPr>
        <w:t>c</w:t>
      </w:r>
      <w:r w:rsidRPr="007776E8">
        <w:rPr>
          <w:rFonts w:ascii="Times New Roman" w:hAnsi="Times New Roman"/>
          <w:szCs w:val="28"/>
          <w:lang w:val="ru-RU"/>
        </w:rPr>
        <w:t>, при этом более устойчивыми являются скоростные показатели зафиксированные позже,  они находятся в пределах от 800 до 1100 м/</w:t>
      </w:r>
      <w:r w:rsidRPr="007776E8">
        <w:rPr>
          <w:rFonts w:ascii="Times New Roman" w:hAnsi="Times New Roman"/>
          <w:szCs w:val="28"/>
        </w:rPr>
        <w:t>c</w:t>
      </w:r>
      <w:r w:rsidRPr="007776E8">
        <w:rPr>
          <w:rFonts w:ascii="Times New Roman" w:hAnsi="Times New Roman"/>
          <w:szCs w:val="28"/>
          <w:lang w:val="ru-RU"/>
        </w:rPr>
        <w:t>., далее зафиксировано закономерное снижение скоростных показателей. Минимальное значение скорости составило 200 м/с.</w:t>
      </w:r>
    </w:p>
    <w:p w14:paraId="0971F6E8" w14:textId="77777777" w:rsidR="00512258" w:rsidRPr="007776E8" w:rsidRDefault="00AA409A" w:rsidP="007776E8">
      <w:pPr>
        <w:spacing w:line="360" w:lineRule="auto"/>
        <w:ind w:firstLine="850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Одним из важнейших процессов, влияющих на работу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, является впрыск топлива. К аспектам, представляющим наибольший интерес, относится величина давления впрыснутого топлива, и векторы его распределения по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>.</w:t>
      </w:r>
    </w:p>
    <w:p w14:paraId="7419D827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5752BA3D" wp14:editId="1BBFA4FB">
            <wp:extent cx="2705099" cy="3505200"/>
            <wp:effectExtent l="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3"/>
                    <a:stretch/>
                  </pic:blipFill>
                  <pic:spPr>
                    <a:xfrm>
                      <a:off x="0" y="0"/>
                      <a:ext cx="2705099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64103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Рисунок 6. – Распределение давления впрыснутого топлива, по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</w:p>
    <w:p w14:paraId="1F78D8D9" w14:textId="77777777" w:rsidR="00512258" w:rsidRPr="007776E8" w:rsidRDefault="00512258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</w:p>
    <w:p w14:paraId="7A23BE9E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Проведено моделирование процесса впрыска топлива, результаты представлены на рисунке 6, на рисунке 7 представлены поясняющие графики. Кроме того стоит обратить внимание на обозначенную на рисунке красным цветом усредненную траекторию перемещения </w:t>
      </w:r>
      <w:r w:rsidRPr="007776E8">
        <w:rPr>
          <w:rFonts w:ascii="Times New Roman" w:hAnsi="Times New Roman"/>
          <w:szCs w:val="28"/>
          <w:lang w:val="ru-RU"/>
        </w:rPr>
        <w:lastRenderedPageBreak/>
        <w:t xml:space="preserve">топливной смеси. Благодаря особой геометрической форме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и подобранным углам впрыска топлива, осуществляется наилучшее смесеобразование воздуха с топливом.</w:t>
      </w:r>
    </w:p>
    <w:p w14:paraId="48549FAB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Проведенное моделирование процесса распределения топлива с давлением более 0,1 бар (значение превышающее давление наддува), позволило установить, что в момент впрыска давление находится в пределах 0,6-0,8 бар, ввиду того, что моделирование производилось с учетом начала движения поршня, на графике отмечаются отрицательные значения давления перемещения топлива. </w:t>
      </w:r>
    </w:p>
    <w:p w14:paraId="717E4F17" w14:textId="77777777" w:rsidR="00512258" w:rsidRPr="007776E8" w:rsidRDefault="00AA409A" w:rsidP="007776E8">
      <w:pPr>
        <w:spacing w:line="360" w:lineRule="auto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2228FD76" wp14:editId="19906E43">
            <wp:extent cx="2880000" cy="1951200"/>
            <wp:effectExtent l="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4"/>
                    <a:stretch/>
                  </pic:blipFill>
                  <pic:spPr>
                    <a:xfrm>
                      <a:off x="0" y="0"/>
                      <a:ext cx="2880000" cy="19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54E2C460" wp14:editId="1A946E05">
            <wp:extent cx="2880000" cy="1951200"/>
            <wp:effectExtent l="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off x="0" y="0"/>
                      <a:ext cx="2880000" cy="19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D1BBF" w14:textId="77777777" w:rsidR="00512258" w:rsidRPr="007776E8" w:rsidRDefault="00AA409A" w:rsidP="007776E8">
      <w:pPr>
        <w:spacing w:line="360" w:lineRule="auto"/>
        <w:rPr>
          <w:rFonts w:ascii="Times New Roman" w:hAnsi="Times New Roman"/>
          <w:szCs w:val="28"/>
          <w:lang w:val="ru-RU"/>
        </w:rPr>
      </w:pPr>
      <w:r w:rsidRPr="002B30EC">
        <w:rPr>
          <w:rFonts w:ascii="Times New Roman" w:hAnsi="Times New Roman"/>
          <w:szCs w:val="28"/>
          <w:lang w:val="ru-RU"/>
        </w:rPr>
        <w:t xml:space="preserve">                          </w:t>
      </w:r>
      <w:r w:rsidRPr="007776E8">
        <w:rPr>
          <w:rFonts w:ascii="Times New Roman" w:hAnsi="Times New Roman"/>
          <w:szCs w:val="28"/>
          <w:lang w:val="ru-RU"/>
        </w:rPr>
        <w:t>а                                                                б</w:t>
      </w:r>
    </w:p>
    <w:p w14:paraId="2D0E2190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а- давление на впрыске топлива, б- скорость распределения впрыснутого топлива</w:t>
      </w:r>
    </w:p>
    <w:p w14:paraId="122A6D7A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Рисунок 7. –  Распределение давления впрыснутого топлива по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</w:p>
    <w:p w14:paraId="00B6A4D6" w14:textId="77777777" w:rsidR="00512258" w:rsidRPr="007776E8" w:rsidRDefault="00512258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</w:p>
    <w:p w14:paraId="79DE4C1A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>Рассматривая вопрос скорости распределения впрыснутого топлива, следует отметить начальную скорость 100 м/</w:t>
      </w:r>
      <w:r w:rsidRPr="007776E8">
        <w:rPr>
          <w:rFonts w:ascii="Times New Roman" w:hAnsi="Times New Roman"/>
          <w:szCs w:val="28"/>
        </w:rPr>
        <w:t>c</w:t>
      </w:r>
      <w:r w:rsidRPr="007776E8">
        <w:rPr>
          <w:rFonts w:ascii="Times New Roman" w:hAnsi="Times New Roman"/>
          <w:szCs w:val="28"/>
          <w:lang w:val="ru-RU"/>
        </w:rPr>
        <w:t>, а также максимальное значение скорости в момент впрыска, которое составило 300 м/</w:t>
      </w:r>
      <w:r w:rsidRPr="007776E8">
        <w:rPr>
          <w:rFonts w:ascii="Times New Roman" w:hAnsi="Times New Roman"/>
          <w:szCs w:val="28"/>
        </w:rPr>
        <w:t>c</w:t>
      </w:r>
      <w:r w:rsidRPr="007776E8">
        <w:rPr>
          <w:rFonts w:ascii="Times New Roman" w:hAnsi="Times New Roman"/>
          <w:szCs w:val="28"/>
          <w:lang w:val="ru-RU"/>
        </w:rPr>
        <w:t>. Далее было зафиксировано резкое уменьшение скорости, до отметки 10 м/</w:t>
      </w:r>
      <w:r w:rsidRPr="007776E8">
        <w:rPr>
          <w:rFonts w:ascii="Times New Roman" w:hAnsi="Times New Roman"/>
          <w:szCs w:val="28"/>
        </w:rPr>
        <w:t>c</w:t>
      </w:r>
      <w:r w:rsidRPr="007776E8">
        <w:rPr>
          <w:rFonts w:ascii="Times New Roman" w:hAnsi="Times New Roman"/>
          <w:szCs w:val="28"/>
          <w:lang w:val="ru-RU"/>
        </w:rPr>
        <w:t>.</w:t>
      </w:r>
    </w:p>
    <w:p w14:paraId="601A81A6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 Следует отметить, что в момент после  падения скорости,  имел место синусоидальный характер графика. Нижней точкой синусоиды было </w:t>
      </w:r>
      <w:r w:rsidRPr="007776E8">
        <w:rPr>
          <w:rFonts w:ascii="Times New Roman" w:hAnsi="Times New Roman"/>
          <w:szCs w:val="28"/>
          <w:lang w:val="ru-RU"/>
        </w:rPr>
        <w:lastRenderedPageBreak/>
        <w:t>значение 10 м/</w:t>
      </w:r>
      <w:r w:rsidRPr="007776E8">
        <w:rPr>
          <w:rFonts w:ascii="Times New Roman" w:hAnsi="Times New Roman"/>
          <w:szCs w:val="28"/>
        </w:rPr>
        <w:t>c</w:t>
      </w:r>
      <w:r w:rsidRPr="007776E8">
        <w:rPr>
          <w:rFonts w:ascii="Times New Roman" w:hAnsi="Times New Roman"/>
          <w:szCs w:val="28"/>
          <w:lang w:val="ru-RU"/>
        </w:rPr>
        <w:t xml:space="preserve"> при этом  вершина синусоиды зафиксирована на отметке 50м/</w:t>
      </w:r>
      <w:r w:rsidRPr="007776E8">
        <w:rPr>
          <w:rFonts w:ascii="Times New Roman" w:hAnsi="Times New Roman"/>
          <w:szCs w:val="28"/>
        </w:rPr>
        <w:t>c</w:t>
      </w:r>
      <w:r w:rsidRPr="007776E8">
        <w:rPr>
          <w:rFonts w:ascii="Times New Roman" w:hAnsi="Times New Roman"/>
          <w:szCs w:val="28"/>
          <w:lang w:val="ru-RU"/>
        </w:rPr>
        <w:t>.</w:t>
      </w:r>
    </w:p>
    <w:p w14:paraId="73EC9A96" w14:textId="77777777" w:rsidR="00512258" w:rsidRPr="007776E8" w:rsidRDefault="00AA409A" w:rsidP="007776E8">
      <w:pPr>
        <w:spacing w:line="360" w:lineRule="auto"/>
        <w:ind w:firstLine="709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szCs w:val="28"/>
          <w:lang w:val="ru-RU"/>
        </w:rPr>
        <w:t xml:space="preserve">Ранее исследовалось воспламенение  топливно-воздушной смеси, представляющий интерес процесс горения в 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при движении поршня, до настоящего времени не рассматривался. </w:t>
      </w:r>
      <w:proofErr w:type="spellStart"/>
      <w:r w:rsidRPr="007776E8">
        <w:rPr>
          <w:rFonts w:ascii="Times New Roman" w:hAnsi="Times New Roman"/>
          <w:szCs w:val="28"/>
        </w:rPr>
        <w:t>Смоделированный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процесс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горения</w:t>
      </w:r>
      <w:proofErr w:type="spellEnd"/>
      <w:r w:rsidRPr="007776E8">
        <w:rPr>
          <w:rFonts w:ascii="Times New Roman" w:hAnsi="Times New Roman"/>
          <w:szCs w:val="28"/>
        </w:rPr>
        <w:t xml:space="preserve"> в </w:t>
      </w:r>
      <w:proofErr w:type="spellStart"/>
      <w:r w:rsidRPr="007776E8">
        <w:rPr>
          <w:rFonts w:ascii="Times New Roman" w:hAnsi="Times New Roman"/>
          <w:szCs w:val="28"/>
        </w:rPr>
        <w:t>форкамере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представлен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на</w:t>
      </w:r>
      <w:proofErr w:type="spellEnd"/>
      <w:r w:rsidRPr="007776E8">
        <w:rPr>
          <w:rFonts w:ascii="Times New Roman" w:hAnsi="Times New Roman"/>
          <w:szCs w:val="28"/>
        </w:rPr>
        <w:t xml:space="preserve"> </w:t>
      </w:r>
      <w:proofErr w:type="spellStart"/>
      <w:r w:rsidRPr="007776E8">
        <w:rPr>
          <w:rFonts w:ascii="Times New Roman" w:hAnsi="Times New Roman"/>
          <w:szCs w:val="28"/>
        </w:rPr>
        <w:t>рисунке</w:t>
      </w:r>
      <w:proofErr w:type="spellEnd"/>
      <w:r w:rsidRPr="007776E8">
        <w:rPr>
          <w:rFonts w:ascii="Times New Roman" w:hAnsi="Times New Roman"/>
          <w:szCs w:val="28"/>
        </w:rPr>
        <w:t xml:space="preserve"> 8. </w:t>
      </w:r>
    </w:p>
    <w:p w14:paraId="56F3722A" w14:textId="77777777" w:rsidR="00512258" w:rsidRPr="007776E8" w:rsidRDefault="00512258" w:rsidP="007776E8">
      <w:pPr>
        <w:spacing w:line="360" w:lineRule="auto"/>
        <w:rPr>
          <w:rFonts w:ascii="Times New Roman" w:hAnsi="Times New Roman"/>
          <w:szCs w:val="28"/>
        </w:rPr>
      </w:pPr>
    </w:p>
    <w:p w14:paraId="546F90E5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</w:rPr>
      </w:pPr>
      <w:r w:rsidRPr="007776E8">
        <w:rPr>
          <w:rFonts w:ascii="Times New Roman" w:hAnsi="Times New Roman"/>
          <w:noProof/>
          <w:szCs w:val="28"/>
        </w:rPr>
        <w:drawing>
          <wp:inline distT="0" distB="0" distL="0" distR="0" wp14:anchorId="4B4D72CF" wp14:editId="753A437E">
            <wp:extent cx="5000624" cy="2209800"/>
            <wp:effectExtent l="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6"/>
                    <a:srcRect l="57085" t="13602" r="3815" b="24802"/>
                    <a:stretch/>
                  </pic:blipFill>
                  <pic:spPr>
                    <a:xfrm>
                      <a:off x="0" y="0"/>
                      <a:ext cx="5000624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680A6" w14:textId="77777777" w:rsidR="00512258" w:rsidRPr="007776E8" w:rsidRDefault="00AA409A" w:rsidP="007776E8">
      <w:pPr>
        <w:spacing w:line="360" w:lineRule="auto"/>
        <w:jc w:val="center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Рисунок 8. Моделирование процесса горения в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при движения поршня</w:t>
      </w:r>
    </w:p>
    <w:p w14:paraId="155249E2" w14:textId="77777777" w:rsidR="00512258" w:rsidRPr="007776E8" w:rsidRDefault="00AA409A" w:rsidP="007776E8">
      <w:pPr>
        <w:spacing w:line="360" w:lineRule="auto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ab/>
        <w:t xml:space="preserve">Проводя анализ смоделированного процесса горения топлива и его распространения по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и рабочей камере цилиндра, было установлено, что среднее значение давления составит 35 бар. Данный показатель характерен ,как для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, так и для рабочей камеры цилиндра. Существуют </w:t>
      </w:r>
      <w:r w:rsidR="007776E8" w:rsidRPr="007776E8">
        <w:rPr>
          <w:rFonts w:ascii="Times New Roman" w:hAnsi="Times New Roman"/>
          <w:szCs w:val="28"/>
          <w:lang w:val="ru-RU"/>
        </w:rPr>
        <w:t>области,</w:t>
      </w:r>
      <w:r w:rsidRPr="007776E8">
        <w:rPr>
          <w:rFonts w:ascii="Times New Roman" w:hAnsi="Times New Roman"/>
          <w:szCs w:val="28"/>
          <w:lang w:val="ru-RU"/>
        </w:rPr>
        <w:t xml:space="preserve"> в которых зафиксированы более высокие значения давления. В рабочей камере цилиндра на поверхности поршня зафиксировано давление в 40 бар, а в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форкамене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максимальное давление составило 50 бар, которое сконцентрировано в верхней части шаровой полости горения. Следует </w:t>
      </w:r>
      <w:r w:rsidR="007776E8" w:rsidRPr="007776E8">
        <w:rPr>
          <w:rFonts w:ascii="Times New Roman" w:hAnsi="Times New Roman"/>
          <w:szCs w:val="28"/>
          <w:lang w:val="ru-RU"/>
        </w:rPr>
        <w:t>отметить,</w:t>
      </w:r>
      <w:r w:rsidRPr="007776E8">
        <w:rPr>
          <w:rFonts w:ascii="Times New Roman" w:hAnsi="Times New Roman"/>
          <w:szCs w:val="28"/>
          <w:lang w:val="ru-RU"/>
        </w:rPr>
        <w:t xml:space="preserve"> что при расчете не учитывалось воспламенение основной доли топливно-воздушной смеси.     </w:t>
      </w:r>
    </w:p>
    <w:p w14:paraId="10E913F5" w14:textId="77777777" w:rsidR="0051225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Анализируя ориентацию векторов находящихся на отрезке между разгонной и шаровой полостями, при процессе горения, установили, что </w:t>
      </w:r>
      <w:r w:rsidRPr="007776E8">
        <w:rPr>
          <w:rFonts w:ascii="Times New Roman" w:hAnsi="Times New Roman"/>
          <w:szCs w:val="28"/>
          <w:lang w:val="ru-RU"/>
        </w:rPr>
        <w:lastRenderedPageBreak/>
        <w:t xml:space="preserve">имеет место изменение направления, вслед за перемещением поршня. Данный характер движения обусловлен процессом нивелирования давлений в рабочей камере  и 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>. В завершении процесса выравнивания, выход продуктов сгорания останавливается и возобновляется с понижением давления.</w:t>
      </w:r>
    </w:p>
    <w:p w14:paraId="58AF61F6" w14:textId="77777777" w:rsidR="00512258" w:rsidRPr="007776E8" w:rsidRDefault="00AA409A" w:rsidP="007776E8">
      <w:pPr>
        <w:spacing w:line="360" w:lineRule="auto"/>
        <w:ind w:firstLine="709"/>
        <w:jc w:val="center"/>
        <w:rPr>
          <w:rFonts w:ascii="Times New Roman" w:hAnsi="Times New Roman"/>
          <w:b/>
          <w:szCs w:val="28"/>
          <w:lang w:val="ru-RU"/>
        </w:rPr>
      </w:pPr>
      <w:r w:rsidRPr="007776E8">
        <w:rPr>
          <w:rFonts w:ascii="Times New Roman" w:hAnsi="Times New Roman"/>
          <w:b/>
          <w:szCs w:val="28"/>
          <w:lang w:val="ru-RU"/>
        </w:rPr>
        <w:t>Заключение</w:t>
      </w:r>
    </w:p>
    <w:p w14:paraId="5B4E10E7" w14:textId="77777777" w:rsidR="00512258" w:rsidRDefault="00AA409A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  <w:r w:rsidRPr="007776E8">
        <w:rPr>
          <w:rFonts w:ascii="Times New Roman" w:hAnsi="Times New Roman"/>
          <w:szCs w:val="28"/>
          <w:lang w:val="ru-RU"/>
        </w:rPr>
        <w:t xml:space="preserve">Ввиду ряда проблем связанных с воспламенением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топливно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–воздушной смеси в двигателях внутреннего сгорания, рациональным является применение 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 инновационной геометрической формы, способствующей наилучшему смесеобразованию. Освещенные в статье результаты исследований подтверждают улучшение процесса горения в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форкамере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,  за счет образования вихревых потоков  в шаровой полости горения. Внедрение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 xml:space="preserve"> способно качественно улучшить работу двигателей. Следует отметить необходимость проведение прочностного расчета для разработанной </w:t>
      </w:r>
      <w:proofErr w:type="spellStart"/>
      <w:r w:rsidRPr="007776E8">
        <w:rPr>
          <w:rFonts w:ascii="Times New Roman" w:hAnsi="Times New Roman"/>
          <w:szCs w:val="28"/>
          <w:lang w:val="ru-RU"/>
        </w:rPr>
        <w:t>форкамеры</w:t>
      </w:r>
      <w:proofErr w:type="spellEnd"/>
      <w:r w:rsidRPr="007776E8">
        <w:rPr>
          <w:rFonts w:ascii="Times New Roman" w:hAnsi="Times New Roman"/>
          <w:szCs w:val="28"/>
          <w:lang w:val="ru-RU"/>
        </w:rPr>
        <w:t>. В дальнейшем является необходимым создание экспериментальной модели и ее испытание.</w:t>
      </w:r>
    </w:p>
    <w:p w14:paraId="5CEB5564" w14:textId="77777777" w:rsidR="007776E8" w:rsidRPr="007776E8" w:rsidRDefault="007776E8" w:rsidP="007776E8">
      <w:pPr>
        <w:spacing w:line="360" w:lineRule="auto"/>
        <w:ind w:firstLine="709"/>
        <w:rPr>
          <w:rFonts w:ascii="Times New Roman" w:hAnsi="Times New Roman"/>
          <w:szCs w:val="28"/>
          <w:lang w:val="ru-RU"/>
        </w:rPr>
      </w:pPr>
    </w:p>
    <w:p w14:paraId="4B37D79C" w14:textId="77777777" w:rsidR="00512258" w:rsidRPr="007776E8" w:rsidRDefault="00AA409A">
      <w:pPr>
        <w:ind w:firstLine="709"/>
        <w:jc w:val="center"/>
        <w:rPr>
          <w:rFonts w:ascii="Times New Roman" w:hAnsi="Times New Roman"/>
          <w:b/>
          <w:lang w:val="ru-RU"/>
        </w:rPr>
      </w:pPr>
      <w:r w:rsidRPr="007776E8">
        <w:rPr>
          <w:rFonts w:ascii="Times New Roman" w:hAnsi="Times New Roman"/>
          <w:b/>
          <w:lang w:val="ru-RU"/>
        </w:rPr>
        <w:t>Библиографический список</w:t>
      </w:r>
      <w:r w:rsidRPr="007776E8">
        <w:rPr>
          <w:rFonts w:ascii="Times New Roman" w:hAnsi="Times New Roman"/>
          <w:lang w:val="ru-RU"/>
        </w:rPr>
        <w:t xml:space="preserve">  </w:t>
      </w:r>
    </w:p>
    <w:p w14:paraId="3857664C" w14:textId="77777777" w:rsidR="00512258" w:rsidRPr="007776E8" w:rsidRDefault="00AA409A" w:rsidP="003F53FD">
      <w:pPr>
        <w:tabs>
          <w:tab w:val="left" w:pos="851"/>
        </w:tabs>
        <w:ind w:firstLine="567"/>
        <w:rPr>
          <w:rFonts w:ascii="Times New Roman" w:hAnsi="Times New Roman"/>
          <w:b/>
          <w:sz w:val="24"/>
          <w:szCs w:val="24"/>
          <w:lang w:val="ru-RU"/>
        </w:rPr>
      </w:pPr>
      <w:r w:rsidRPr="007776E8">
        <w:rPr>
          <w:rFonts w:ascii="Times New Roman" w:hAnsi="Times New Roman"/>
          <w:sz w:val="24"/>
          <w:szCs w:val="24"/>
          <w:lang w:val="ru-RU"/>
        </w:rPr>
        <w:t>1.</w:t>
      </w:r>
      <w:r w:rsidR="0001395E">
        <w:rPr>
          <w:rFonts w:ascii="Times New Roman" w:hAnsi="Times New Roman"/>
          <w:sz w:val="24"/>
          <w:szCs w:val="24"/>
          <w:lang w:val="ru-RU"/>
        </w:rPr>
        <w:t> </w:t>
      </w:r>
      <w:r w:rsidRPr="007776E8">
        <w:rPr>
          <w:rFonts w:ascii="Times New Roman" w:hAnsi="Times New Roman"/>
          <w:sz w:val="24"/>
          <w:szCs w:val="24"/>
          <w:lang w:val="ru-RU"/>
        </w:rPr>
        <w:t xml:space="preserve">Демьянов Л. А. Пути повышения надежности и долговечности автотракторных двигателей/ Л. А. Демьянов, С. К. Сарафанов// — Москва: Воениздат, 1967 — 152 </w:t>
      </w:r>
      <w:r w:rsidRPr="007776E8">
        <w:rPr>
          <w:rFonts w:ascii="Times New Roman" w:hAnsi="Times New Roman"/>
          <w:sz w:val="24"/>
          <w:szCs w:val="24"/>
        </w:rPr>
        <w:t>c</w:t>
      </w:r>
      <w:r w:rsidRPr="007776E8">
        <w:rPr>
          <w:rFonts w:ascii="Times New Roman" w:hAnsi="Times New Roman"/>
          <w:sz w:val="24"/>
          <w:szCs w:val="24"/>
          <w:lang w:val="ru-RU"/>
        </w:rPr>
        <w:t>.</w:t>
      </w:r>
    </w:p>
    <w:p w14:paraId="0BFC374C" w14:textId="77777777" w:rsidR="00512258" w:rsidRPr="007776E8" w:rsidRDefault="00AA409A" w:rsidP="003F53FD">
      <w:pPr>
        <w:tabs>
          <w:tab w:val="left" w:pos="851"/>
        </w:tabs>
        <w:ind w:firstLine="567"/>
        <w:rPr>
          <w:rFonts w:ascii="Times New Roman" w:hAnsi="Times New Roman"/>
          <w:b/>
          <w:sz w:val="24"/>
          <w:szCs w:val="24"/>
        </w:rPr>
      </w:pPr>
      <w:r w:rsidRPr="007776E8">
        <w:rPr>
          <w:rFonts w:ascii="Times New Roman" w:hAnsi="Times New Roman"/>
          <w:sz w:val="24"/>
          <w:szCs w:val="24"/>
        </w:rPr>
        <w:t xml:space="preserve">2. Kalyan K.S. Natural Gas Engines /  K.S. Kalyan, K.A. </w:t>
      </w:r>
      <w:proofErr w:type="spellStart"/>
      <w:r w:rsidRPr="007776E8">
        <w:rPr>
          <w:rFonts w:ascii="Times New Roman" w:hAnsi="Times New Roman"/>
          <w:sz w:val="24"/>
          <w:szCs w:val="24"/>
        </w:rPr>
        <w:t>Avinash</w:t>
      </w:r>
      <w:proofErr w:type="spellEnd"/>
      <w:r w:rsidRPr="007776E8">
        <w:rPr>
          <w:rFonts w:ascii="Times New Roman" w:hAnsi="Times New Roman"/>
          <w:sz w:val="24"/>
          <w:szCs w:val="24"/>
        </w:rPr>
        <w:t>, R.K. Sundar //-Springer. — 2019. — c. 250.</w:t>
      </w:r>
    </w:p>
    <w:p w14:paraId="65E20F3C" w14:textId="77777777" w:rsidR="00512258" w:rsidRPr="007776E8" w:rsidRDefault="00AA409A" w:rsidP="003F53FD">
      <w:pPr>
        <w:tabs>
          <w:tab w:val="left" w:pos="851"/>
        </w:tabs>
        <w:ind w:firstLine="567"/>
        <w:rPr>
          <w:rFonts w:ascii="Times New Roman" w:hAnsi="Times New Roman"/>
          <w:b/>
          <w:sz w:val="24"/>
          <w:szCs w:val="24"/>
          <w:lang w:val="ru-RU"/>
        </w:rPr>
      </w:pPr>
      <w:r w:rsidRPr="007776E8">
        <w:rPr>
          <w:rFonts w:ascii="Times New Roman" w:hAnsi="Times New Roman"/>
          <w:sz w:val="24"/>
          <w:szCs w:val="24"/>
          <w:lang w:val="ru-RU"/>
        </w:rPr>
        <w:t xml:space="preserve">3. </w:t>
      </w:r>
      <w:proofErr w:type="spellStart"/>
      <w:r w:rsidRPr="007776E8">
        <w:rPr>
          <w:rFonts w:ascii="Times New Roman" w:hAnsi="Times New Roman"/>
          <w:sz w:val="24"/>
          <w:szCs w:val="24"/>
          <w:lang w:val="ru-RU"/>
        </w:rPr>
        <w:t>Кнельц</w:t>
      </w:r>
      <w:proofErr w:type="spellEnd"/>
      <w:r w:rsidRPr="007776E8">
        <w:rPr>
          <w:rFonts w:ascii="Times New Roman" w:hAnsi="Times New Roman"/>
          <w:sz w:val="24"/>
          <w:szCs w:val="24"/>
          <w:lang w:val="ru-RU"/>
        </w:rPr>
        <w:t xml:space="preserve">, В.Ф. Принципы и особенности построения систем </w:t>
      </w:r>
      <w:proofErr w:type="spellStart"/>
      <w:r w:rsidRPr="007776E8">
        <w:rPr>
          <w:rFonts w:ascii="Times New Roman" w:hAnsi="Times New Roman"/>
          <w:sz w:val="24"/>
          <w:szCs w:val="24"/>
          <w:lang w:val="ru-RU"/>
        </w:rPr>
        <w:t>воздухоснабжения</w:t>
      </w:r>
      <w:proofErr w:type="spellEnd"/>
      <w:r w:rsidRPr="007776E8">
        <w:rPr>
          <w:rFonts w:ascii="Times New Roman" w:hAnsi="Times New Roman"/>
          <w:sz w:val="24"/>
          <w:szCs w:val="24"/>
          <w:lang w:val="ru-RU"/>
        </w:rPr>
        <w:t xml:space="preserve"> на двигателях производства АО "Коломенский завод / В. Ф. </w:t>
      </w:r>
      <w:proofErr w:type="spellStart"/>
      <w:r w:rsidRPr="007776E8">
        <w:rPr>
          <w:rFonts w:ascii="Times New Roman" w:hAnsi="Times New Roman"/>
          <w:sz w:val="24"/>
          <w:szCs w:val="24"/>
          <w:lang w:val="ru-RU"/>
        </w:rPr>
        <w:t>Кнельц</w:t>
      </w:r>
      <w:proofErr w:type="spellEnd"/>
      <w:r w:rsidRPr="007776E8">
        <w:rPr>
          <w:rFonts w:ascii="Times New Roman" w:hAnsi="Times New Roman"/>
          <w:sz w:val="24"/>
          <w:szCs w:val="24"/>
          <w:lang w:val="ru-RU"/>
        </w:rPr>
        <w:t xml:space="preserve">, А. Б. </w:t>
      </w:r>
      <w:proofErr w:type="spellStart"/>
      <w:r w:rsidRPr="007776E8">
        <w:rPr>
          <w:rFonts w:ascii="Times New Roman" w:hAnsi="Times New Roman"/>
          <w:sz w:val="24"/>
          <w:szCs w:val="24"/>
          <w:lang w:val="ru-RU"/>
        </w:rPr>
        <w:t>Матисен</w:t>
      </w:r>
      <w:proofErr w:type="spellEnd"/>
      <w:r w:rsidRPr="007776E8">
        <w:rPr>
          <w:rFonts w:ascii="Times New Roman" w:hAnsi="Times New Roman"/>
          <w:sz w:val="24"/>
          <w:szCs w:val="24"/>
          <w:lang w:val="ru-RU"/>
        </w:rPr>
        <w:t xml:space="preserve"> // Машиностроение: сетевой электронный научный журнал. – 2022. – Т. 9, № 4. – С. 3–9.</w:t>
      </w:r>
    </w:p>
    <w:p w14:paraId="2C6F6C94" w14:textId="77777777" w:rsidR="007776E8" w:rsidRPr="007776E8" w:rsidRDefault="007776E8">
      <w:pPr>
        <w:ind w:firstLine="709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14:paraId="49A5464D" w14:textId="77777777" w:rsidR="00512258" w:rsidRPr="000260F2" w:rsidRDefault="00AA409A">
      <w:pPr>
        <w:ind w:firstLine="709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7776E8">
        <w:rPr>
          <w:rFonts w:ascii="Times New Roman" w:hAnsi="Times New Roman"/>
          <w:b/>
          <w:sz w:val="24"/>
          <w:szCs w:val="24"/>
        </w:rPr>
        <w:t>References</w:t>
      </w:r>
    </w:p>
    <w:p w14:paraId="04D857AD" w14:textId="77777777" w:rsidR="000260F2" w:rsidRPr="000260F2" w:rsidRDefault="000260F2" w:rsidP="000260F2">
      <w:pPr>
        <w:pStyle w:val="ListParagraph"/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  <w:lang w:val="ru-RU"/>
        </w:rPr>
      </w:pPr>
      <w:r w:rsidRPr="000260F2">
        <w:rPr>
          <w:rFonts w:ascii="Times New Roman" w:hAnsi="Times New Roman"/>
          <w:sz w:val="24"/>
          <w:szCs w:val="24"/>
          <w:lang w:val="ru-RU"/>
        </w:rPr>
        <w:t xml:space="preserve">1. </w:t>
      </w:r>
      <w:r w:rsidRPr="000260F2">
        <w:rPr>
          <w:rFonts w:ascii="Times New Roman" w:hAnsi="Times New Roman"/>
          <w:sz w:val="24"/>
          <w:szCs w:val="24"/>
        </w:rPr>
        <w:t>Dem</w:t>
      </w:r>
      <w:r w:rsidRPr="000260F2">
        <w:rPr>
          <w:rFonts w:ascii="Times New Roman" w:hAnsi="Times New Roman"/>
          <w:sz w:val="24"/>
          <w:szCs w:val="24"/>
          <w:lang w:val="ru-RU"/>
        </w:rPr>
        <w:t>'</w:t>
      </w:r>
      <w:proofErr w:type="spellStart"/>
      <w:r w:rsidRPr="000260F2">
        <w:rPr>
          <w:rFonts w:ascii="Times New Roman" w:hAnsi="Times New Roman"/>
          <w:sz w:val="24"/>
          <w:szCs w:val="24"/>
        </w:rPr>
        <w:t>janov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0260F2">
        <w:rPr>
          <w:rFonts w:ascii="Times New Roman" w:hAnsi="Times New Roman"/>
          <w:sz w:val="24"/>
          <w:szCs w:val="24"/>
        </w:rPr>
        <w:t>L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0260F2">
        <w:rPr>
          <w:rFonts w:ascii="Times New Roman" w:hAnsi="Times New Roman"/>
          <w:sz w:val="24"/>
          <w:szCs w:val="24"/>
        </w:rPr>
        <w:t>A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. </w:t>
      </w:r>
      <w:proofErr w:type="spellStart"/>
      <w:r w:rsidRPr="000260F2">
        <w:rPr>
          <w:rFonts w:ascii="Times New Roman" w:hAnsi="Times New Roman"/>
          <w:sz w:val="24"/>
          <w:szCs w:val="24"/>
        </w:rPr>
        <w:t>Puti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povyshenija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nadezhnosti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i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dolgovechnosti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avtotraktornyh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dvigatelej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/ </w:t>
      </w:r>
      <w:r w:rsidRPr="000260F2">
        <w:rPr>
          <w:rFonts w:ascii="Times New Roman" w:hAnsi="Times New Roman"/>
          <w:sz w:val="24"/>
          <w:szCs w:val="24"/>
        </w:rPr>
        <w:t>L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0260F2">
        <w:rPr>
          <w:rFonts w:ascii="Times New Roman" w:hAnsi="Times New Roman"/>
          <w:sz w:val="24"/>
          <w:szCs w:val="24"/>
        </w:rPr>
        <w:t>A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0260F2">
        <w:rPr>
          <w:rFonts w:ascii="Times New Roman" w:hAnsi="Times New Roman"/>
          <w:sz w:val="24"/>
          <w:szCs w:val="24"/>
        </w:rPr>
        <w:t>Dem</w:t>
      </w:r>
      <w:r w:rsidRPr="000260F2">
        <w:rPr>
          <w:rFonts w:ascii="Times New Roman" w:hAnsi="Times New Roman"/>
          <w:sz w:val="24"/>
          <w:szCs w:val="24"/>
          <w:lang w:val="ru-RU"/>
        </w:rPr>
        <w:t>'</w:t>
      </w:r>
      <w:proofErr w:type="spellStart"/>
      <w:r w:rsidRPr="000260F2">
        <w:rPr>
          <w:rFonts w:ascii="Times New Roman" w:hAnsi="Times New Roman"/>
          <w:sz w:val="24"/>
          <w:szCs w:val="24"/>
        </w:rPr>
        <w:t>janov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, </w:t>
      </w:r>
      <w:r w:rsidRPr="000260F2">
        <w:rPr>
          <w:rFonts w:ascii="Times New Roman" w:hAnsi="Times New Roman"/>
          <w:sz w:val="24"/>
          <w:szCs w:val="24"/>
        </w:rPr>
        <w:t>S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0260F2">
        <w:rPr>
          <w:rFonts w:ascii="Times New Roman" w:hAnsi="Times New Roman"/>
          <w:sz w:val="24"/>
          <w:szCs w:val="24"/>
        </w:rPr>
        <w:t>K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. </w:t>
      </w:r>
      <w:proofErr w:type="spellStart"/>
      <w:r w:rsidRPr="000260F2">
        <w:rPr>
          <w:rFonts w:ascii="Times New Roman" w:hAnsi="Times New Roman"/>
          <w:sz w:val="24"/>
          <w:szCs w:val="24"/>
        </w:rPr>
        <w:t>Sarafanov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// </w:t>
      </w:r>
      <w:r w:rsidRPr="000260F2">
        <w:rPr>
          <w:rFonts w:ascii="Times New Roman" w:hAnsi="Times New Roman" w:hint="eastAsia"/>
          <w:sz w:val="24"/>
          <w:szCs w:val="24"/>
          <w:lang w:val="ru-RU"/>
        </w:rPr>
        <w:t>—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0260F2">
        <w:rPr>
          <w:rFonts w:ascii="Times New Roman" w:hAnsi="Times New Roman"/>
          <w:sz w:val="24"/>
          <w:szCs w:val="24"/>
        </w:rPr>
        <w:t>Moskva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: </w:t>
      </w:r>
      <w:proofErr w:type="spellStart"/>
      <w:r w:rsidRPr="000260F2">
        <w:rPr>
          <w:rFonts w:ascii="Times New Roman" w:hAnsi="Times New Roman"/>
          <w:sz w:val="24"/>
          <w:szCs w:val="24"/>
        </w:rPr>
        <w:t>Voenizdat</w:t>
      </w:r>
      <w:proofErr w:type="spellEnd"/>
      <w:r w:rsidRPr="000260F2">
        <w:rPr>
          <w:rFonts w:ascii="Times New Roman" w:hAnsi="Times New Roman"/>
          <w:sz w:val="24"/>
          <w:szCs w:val="24"/>
          <w:lang w:val="ru-RU"/>
        </w:rPr>
        <w:t xml:space="preserve">, 1967 </w:t>
      </w:r>
      <w:r w:rsidRPr="000260F2">
        <w:rPr>
          <w:rFonts w:ascii="Times New Roman" w:hAnsi="Times New Roman" w:hint="eastAsia"/>
          <w:sz w:val="24"/>
          <w:szCs w:val="24"/>
          <w:lang w:val="ru-RU"/>
        </w:rPr>
        <w:t>—</w:t>
      </w:r>
      <w:r w:rsidRPr="000260F2">
        <w:rPr>
          <w:rFonts w:ascii="Times New Roman" w:hAnsi="Times New Roman"/>
          <w:sz w:val="24"/>
          <w:szCs w:val="24"/>
          <w:lang w:val="ru-RU"/>
        </w:rPr>
        <w:t xml:space="preserve"> 152 </w:t>
      </w:r>
      <w:r w:rsidRPr="000260F2">
        <w:rPr>
          <w:rFonts w:ascii="Times New Roman" w:hAnsi="Times New Roman"/>
          <w:sz w:val="24"/>
          <w:szCs w:val="24"/>
        </w:rPr>
        <w:t>c</w:t>
      </w:r>
      <w:r w:rsidRPr="000260F2">
        <w:rPr>
          <w:rFonts w:ascii="Times New Roman" w:hAnsi="Times New Roman"/>
          <w:sz w:val="24"/>
          <w:szCs w:val="24"/>
          <w:lang w:val="ru-RU"/>
        </w:rPr>
        <w:t>.</w:t>
      </w:r>
    </w:p>
    <w:p w14:paraId="7AA84297" w14:textId="77777777" w:rsidR="000260F2" w:rsidRPr="000260F2" w:rsidRDefault="000260F2" w:rsidP="000260F2">
      <w:pPr>
        <w:pStyle w:val="ListParagraph"/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0260F2">
        <w:rPr>
          <w:rFonts w:ascii="Times New Roman" w:hAnsi="Times New Roman"/>
          <w:sz w:val="24"/>
          <w:szCs w:val="24"/>
        </w:rPr>
        <w:t xml:space="preserve">2. Kalyan K.S. Natural Gas Engines /  K.S. Kalyan, K.A. </w:t>
      </w:r>
      <w:proofErr w:type="spellStart"/>
      <w:r w:rsidRPr="000260F2">
        <w:rPr>
          <w:rFonts w:ascii="Times New Roman" w:hAnsi="Times New Roman"/>
          <w:sz w:val="24"/>
          <w:szCs w:val="24"/>
        </w:rPr>
        <w:t>Avinash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, R.K. Sundar //-Springer. </w:t>
      </w:r>
      <w:r w:rsidRPr="000260F2">
        <w:rPr>
          <w:rFonts w:ascii="Times New Roman" w:hAnsi="Times New Roman" w:hint="eastAsia"/>
          <w:sz w:val="24"/>
          <w:szCs w:val="24"/>
        </w:rPr>
        <w:t>—</w:t>
      </w:r>
      <w:r w:rsidRPr="000260F2">
        <w:rPr>
          <w:rFonts w:ascii="Times New Roman" w:hAnsi="Times New Roman"/>
          <w:sz w:val="24"/>
          <w:szCs w:val="24"/>
        </w:rPr>
        <w:t xml:space="preserve"> 2019. </w:t>
      </w:r>
      <w:r w:rsidRPr="000260F2">
        <w:rPr>
          <w:rFonts w:ascii="Times New Roman" w:hAnsi="Times New Roman" w:hint="eastAsia"/>
          <w:sz w:val="24"/>
          <w:szCs w:val="24"/>
        </w:rPr>
        <w:t>—</w:t>
      </w:r>
      <w:r w:rsidRPr="000260F2">
        <w:rPr>
          <w:rFonts w:ascii="Times New Roman" w:hAnsi="Times New Roman"/>
          <w:sz w:val="24"/>
          <w:szCs w:val="24"/>
        </w:rPr>
        <w:t xml:space="preserve"> c. 250.</w:t>
      </w:r>
    </w:p>
    <w:p w14:paraId="56B4ECED" w14:textId="240F8448" w:rsidR="00512258" w:rsidRPr="000260F2" w:rsidRDefault="000260F2" w:rsidP="000260F2">
      <w:pPr>
        <w:pStyle w:val="ListParagraph"/>
        <w:tabs>
          <w:tab w:val="left" w:pos="851"/>
        </w:tabs>
        <w:spacing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0260F2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0260F2">
        <w:rPr>
          <w:rFonts w:ascii="Times New Roman" w:hAnsi="Times New Roman"/>
          <w:sz w:val="24"/>
          <w:szCs w:val="24"/>
        </w:rPr>
        <w:t>Knel'c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, V.F. </w:t>
      </w:r>
      <w:proofErr w:type="spellStart"/>
      <w:r w:rsidRPr="000260F2">
        <w:rPr>
          <w:rFonts w:ascii="Times New Roman" w:hAnsi="Times New Roman"/>
          <w:sz w:val="24"/>
          <w:szCs w:val="24"/>
        </w:rPr>
        <w:t>Principy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i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osobennosti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postroenija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sistem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vozduhosnabzhenija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na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dvigateljah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proizvodstva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AO "</w:t>
      </w:r>
      <w:proofErr w:type="spellStart"/>
      <w:r w:rsidRPr="000260F2">
        <w:rPr>
          <w:rFonts w:ascii="Times New Roman" w:hAnsi="Times New Roman"/>
          <w:sz w:val="24"/>
          <w:szCs w:val="24"/>
        </w:rPr>
        <w:t>Kolomenskij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zavod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/ V. F. </w:t>
      </w:r>
      <w:proofErr w:type="spellStart"/>
      <w:r w:rsidRPr="000260F2">
        <w:rPr>
          <w:rFonts w:ascii="Times New Roman" w:hAnsi="Times New Roman"/>
          <w:sz w:val="24"/>
          <w:szCs w:val="24"/>
        </w:rPr>
        <w:t>Knel'c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, A. B. </w:t>
      </w:r>
      <w:proofErr w:type="spellStart"/>
      <w:r w:rsidRPr="000260F2">
        <w:rPr>
          <w:rFonts w:ascii="Times New Roman" w:hAnsi="Times New Roman"/>
          <w:sz w:val="24"/>
          <w:szCs w:val="24"/>
        </w:rPr>
        <w:t>Matisen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// </w:t>
      </w:r>
      <w:proofErr w:type="spellStart"/>
      <w:r w:rsidRPr="000260F2">
        <w:rPr>
          <w:rFonts w:ascii="Times New Roman" w:hAnsi="Times New Roman"/>
          <w:sz w:val="24"/>
          <w:szCs w:val="24"/>
        </w:rPr>
        <w:t>Mashinostroenie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0260F2">
        <w:rPr>
          <w:rFonts w:ascii="Times New Roman" w:hAnsi="Times New Roman"/>
          <w:sz w:val="24"/>
          <w:szCs w:val="24"/>
        </w:rPr>
        <w:t>setevoj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jelektronnyj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nauchnyj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60F2">
        <w:rPr>
          <w:rFonts w:ascii="Times New Roman" w:hAnsi="Times New Roman"/>
          <w:sz w:val="24"/>
          <w:szCs w:val="24"/>
        </w:rPr>
        <w:t>zhurnal</w:t>
      </w:r>
      <w:proofErr w:type="spellEnd"/>
      <w:r w:rsidRPr="000260F2">
        <w:rPr>
          <w:rFonts w:ascii="Times New Roman" w:hAnsi="Times New Roman"/>
          <w:sz w:val="24"/>
          <w:szCs w:val="24"/>
        </w:rPr>
        <w:t xml:space="preserve">. </w:t>
      </w:r>
      <w:r w:rsidRPr="000260F2">
        <w:rPr>
          <w:rFonts w:ascii="Times New Roman" w:hAnsi="Times New Roman" w:hint="eastAsia"/>
          <w:sz w:val="24"/>
          <w:szCs w:val="24"/>
        </w:rPr>
        <w:t>–</w:t>
      </w:r>
      <w:r w:rsidRPr="000260F2">
        <w:rPr>
          <w:rFonts w:ascii="Times New Roman" w:hAnsi="Times New Roman"/>
          <w:sz w:val="24"/>
          <w:szCs w:val="24"/>
        </w:rPr>
        <w:t xml:space="preserve"> 2022. </w:t>
      </w:r>
      <w:r w:rsidRPr="000260F2">
        <w:rPr>
          <w:rFonts w:ascii="Times New Roman" w:hAnsi="Times New Roman" w:hint="eastAsia"/>
          <w:sz w:val="24"/>
          <w:szCs w:val="24"/>
        </w:rPr>
        <w:t>–</w:t>
      </w:r>
      <w:r w:rsidRPr="000260F2">
        <w:rPr>
          <w:rFonts w:ascii="Times New Roman" w:hAnsi="Times New Roman"/>
          <w:sz w:val="24"/>
          <w:szCs w:val="24"/>
        </w:rPr>
        <w:t xml:space="preserve"> T. 9, </w:t>
      </w:r>
      <w:r w:rsidRPr="000260F2">
        <w:rPr>
          <w:rFonts w:ascii="Times New Roman" w:hAnsi="Times New Roman" w:hint="eastAsia"/>
          <w:sz w:val="24"/>
          <w:szCs w:val="24"/>
        </w:rPr>
        <w:t>№</w:t>
      </w:r>
      <w:r w:rsidRPr="000260F2">
        <w:rPr>
          <w:rFonts w:ascii="Times New Roman" w:hAnsi="Times New Roman"/>
          <w:sz w:val="24"/>
          <w:szCs w:val="24"/>
        </w:rPr>
        <w:t xml:space="preserve"> 4. </w:t>
      </w:r>
      <w:r w:rsidRPr="000260F2">
        <w:rPr>
          <w:rFonts w:ascii="Times New Roman" w:hAnsi="Times New Roman" w:hint="eastAsia"/>
          <w:sz w:val="24"/>
          <w:szCs w:val="24"/>
        </w:rPr>
        <w:t>–</w:t>
      </w:r>
      <w:r w:rsidRPr="000260F2">
        <w:rPr>
          <w:rFonts w:ascii="Times New Roman" w:hAnsi="Times New Roman"/>
          <w:sz w:val="24"/>
          <w:szCs w:val="24"/>
        </w:rPr>
        <w:t xml:space="preserve"> S. 3</w:t>
      </w:r>
      <w:r w:rsidRPr="000260F2">
        <w:rPr>
          <w:rFonts w:ascii="Times New Roman" w:hAnsi="Times New Roman" w:hint="eastAsia"/>
          <w:sz w:val="24"/>
          <w:szCs w:val="24"/>
        </w:rPr>
        <w:t>–</w:t>
      </w:r>
      <w:r w:rsidRPr="000260F2">
        <w:rPr>
          <w:rFonts w:ascii="Times New Roman" w:hAnsi="Times New Roman"/>
          <w:sz w:val="24"/>
          <w:szCs w:val="24"/>
        </w:rPr>
        <w:t>9.</w:t>
      </w:r>
    </w:p>
    <w:sectPr w:rsidR="00512258" w:rsidRPr="000260F2" w:rsidSect="007776E8">
      <w:headerReference w:type="even" r:id="rId17"/>
      <w:headerReference w:type="default" r:id="rId18"/>
      <w:footerReference w:type="default" r:id="rId19"/>
      <w:pgSz w:w="11906" w:h="16838"/>
      <w:pgMar w:top="1418" w:right="1418" w:bottom="1418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7F68D7" w14:textId="77777777" w:rsidR="00824052" w:rsidRDefault="00824052" w:rsidP="0001395E">
      <w:r>
        <w:separator/>
      </w:r>
    </w:p>
  </w:endnote>
  <w:endnote w:type="continuationSeparator" w:id="0">
    <w:p w14:paraId="539CDBFD" w14:textId="77777777" w:rsidR="00824052" w:rsidRDefault="00824052" w:rsidP="000139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XO Thames">
    <w:altName w:val="Times New Roman"/>
    <w:panose1 w:val="020B0604020202020204"/>
    <w:charset w:val="00"/>
    <w:family w:val="roman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D96A95" w14:textId="4E5DED4E" w:rsidR="009E3ACC" w:rsidRDefault="00824052">
    <w:pPr>
      <w:pStyle w:val="Footer"/>
    </w:pPr>
    <w:hyperlink r:id="rId1" w:history="1">
      <w:r w:rsidR="009E3ACC" w:rsidRPr="00953A00">
        <w:rPr>
          <w:rStyle w:val="Hyperlink"/>
          <w:rFonts w:ascii="Times New Roman" w:hAnsi="Times New Roman"/>
          <w:sz w:val="24"/>
          <w:szCs w:val="24"/>
        </w:rPr>
        <w:t>http://ej.kubagro.ru/2024/10/pdf/47.pdf</w:t>
      </w:r>
    </w:hyperlink>
    <w:r w:rsidR="009E3ACC">
      <w:rPr>
        <w:rFonts w:ascii="Times New Roman" w:hAnsi="Times New Roman"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8D1C7D" w14:textId="77777777" w:rsidR="00824052" w:rsidRDefault="00824052" w:rsidP="0001395E">
      <w:r>
        <w:separator/>
      </w:r>
    </w:p>
  </w:footnote>
  <w:footnote w:type="continuationSeparator" w:id="0">
    <w:p w14:paraId="1DF5AE72" w14:textId="77777777" w:rsidR="00824052" w:rsidRDefault="00824052" w:rsidP="000139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624847073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0DE84DC2" w14:textId="0E578B9B" w:rsidR="006A05AB" w:rsidRDefault="006A05AB" w:rsidP="00953A00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EBD12A9" w14:textId="77777777" w:rsidR="009E3ACC" w:rsidRDefault="009E3ACC" w:rsidP="006A05AB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178013629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42AA23D1" w14:textId="608D6847" w:rsidR="006A05AB" w:rsidRDefault="006A05AB" w:rsidP="00953A00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sdt>
    <w:sdtPr>
      <w:id w:val="1781299513"/>
      <w:docPartObj>
        <w:docPartGallery w:val="Page Numbers (Top of Page)"/>
        <w:docPartUnique/>
      </w:docPartObj>
    </w:sdtPr>
    <w:sdtEndPr>
      <w:rPr>
        <w:rFonts w:ascii="Times New Roman" w:hAnsi="Times New Roman"/>
      </w:rPr>
    </w:sdtEndPr>
    <w:sdtContent>
      <w:sdt>
        <w:sdtPr>
          <w:id w:val="-1855722248"/>
          <w:docPartObj>
            <w:docPartGallery w:val="Page Numbers (Top of Page)"/>
            <w:docPartUnique/>
          </w:docPartObj>
        </w:sdtPr>
        <w:sdtEndPr/>
        <w:sdtContent>
          <w:sdt>
            <w:sdtPr>
              <w:id w:val="1174138650"/>
              <w:docPartObj>
                <w:docPartGallery w:val="Page Numbers (Top of Page)"/>
                <w:docPartUnique/>
              </w:docPartObj>
            </w:sdtPr>
            <w:sdtEndPr/>
            <w:sdtContent>
              <w:sdt>
                <w:sdtPr>
                  <w:id w:val="-222987223"/>
                  <w:docPartObj>
                    <w:docPartGallery w:val="Page Numbers (Top of Page)"/>
                    <w:docPartUnique/>
                  </w:docPartObj>
                </w:sdtPr>
                <w:sdtEndPr/>
                <w:sdtContent>
                  <w:sdt>
                    <w:sdtPr>
                      <w:rPr>
                        <w:rFonts w:ascii="Times New Roman" w:hAnsi="Times New Roman"/>
                        <w:sz w:val="24"/>
                        <w:szCs w:val="24"/>
                      </w:rPr>
                      <w:id w:val="-144504159"/>
                      <w:docPartObj>
                        <w:docPartGallery w:val="Page Numbers (Top of Page)"/>
                        <w:docPartUnique/>
                      </w:docPartObj>
                    </w:sdtPr>
                    <w:sdtEndPr/>
                    <w:sdtContent>
                      <w:p w14:paraId="3C9D3D45" w14:textId="6469B295" w:rsidR="0001395E" w:rsidRPr="006A05AB" w:rsidRDefault="006A05AB" w:rsidP="006A05AB">
                        <w:pPr>
                          <w:pStyle w:val="Header"/>
                          <w:tabs>
                            <w:tab w:val="center" w:pos="4677"/>
                            <w:tab w:val="right" w:pos="9355"/>
                          </w:tabs>
                          <w:ind w:right="360"/>
                        </w:pPr>
                        <w:proofErr w:type="spellStart"/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Научный</w:t>
                        </w:r>
                        <w:proofErr w:type="spellEnd"/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журнал</w:t>
                        </w:r>
                        <w:proofErr w:type="spellEnd"/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КубГАУ</w:t>
                        </w:r>
                        <w:proofErr w:type="spellEnd"/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, №20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4</w:t>
                        </w:r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(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1</w:t>
                        </w:r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0), 2024 </w:t>
                        </w:r>
                        <w:proofErr w:type="spellStart"/>
                        <w:r w:rsidRPr="00FD4AB5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год</w:t>
                        </w:r>
                        <w:proofErr w:type="spellEnd"/>
                      </w:p>
                    </w:sdtContent>
                  </w:sdt>
                </w:sdtContent>
              </w:sdt>
            </w:sdtContent>
          </w:sdt>
        </w:sdtContent>
      </w:sdt>
    </w:sdtContent>
  </w:sdt>
  <w:p w14:paraId="774453AF" w14:textId="77777777" w:rsidR="0001395E" w:rsidRDefault="0001395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DB5795"/>
    <w:multiLevelType w:val="multilevel"/>
    <w:tmpl w:val="48E4E6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" w15:restartNumberingAfterBreak="0">
    <w:nsid w:val="4CB041D5"/>
    <w:multiLevelType w:val="hybridMultilevel"/>
    <w:tmpl w:val="9CF4BC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12258"/>
    <w:rsid w:val="0001395E"/>
    <w:rsid w:val="000260F2"/>
    <w:rsid w:val="00106723"/>
    <w:rsid w:val="002B30EC"/>
    <w:rsid w:val="00366286"/>
    <w:rsid w:val="003A7E54"/>
    <w:rsid w:val="003F53FD"/>
    <w:rsid w:val="00512258"/>
    <w:rsid w:val="00565676"/>
    <w:rsid w:val="006A05AB"/>
    <w:rsid w:val="00716DE5"/>
    <w:rsid w:val="007776E8"/>
    <w:rsid w:val="00824052"/>
    <w:rsid w:val="009E3ACC"/>
    <w:rsid w:val="00AA409A"/>
    <w:rsid w:val="00C16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86EA35E"/>
  <w15:docId w15:val="{67B404F9-C0D1-1342-9312-D29DC8F9F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XO Thames" w:eastAsia="Times New Roman" w:hAnsi="XO Thames" w:cs="Times New Roman"/>
        <w:color w:val="000000"/>
        <w:sz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link w:val="1"/>
    <w:qFormat/>
    <w:pPr>
      <w:jc w:val="both"/>
    </w:pPr>
    <w:rPr>
      <w:sz w:val="28"/>
    </w:rPr>
  </w:style>
  <w:style w:type="paragraph" w:styleId="Heading1">
    <w:name w:val="heading 1"/>
    <w:next w:val="Normal"/>
    <w:link w:val="Heading1Char"/>
    <w:uiPriority w:val="9"/>
    <w:qFormat/>
    <w:pPr>
      <w:spacing w:before="120" w:after="120"/>
      <w:jc w:val="both"/>
      <w:outlineLvl w:val="0"/>
    </w:pPr>
    <w:rPr>
      <w:b/>
      <w:sz w:val="32"/>
    </w:rPr>
  </w:style>
  <w:style w:type="paragraph" w:styleId="Heading2">
    <w:name w:val="heading 2"/>
    <w:next w:val="Normal"/>
    <w:link w:val="Heading2Char"/>
    <w:uiPriority w:val="9"/>
    <w:qFormat/>
    <w:pPr>
      <w:spacing w:before="120" w:after="120"/>
      <w:jc w:val="both"/>
      <w:outlineLvl w:val="1"/>
    </w:pPr>
    <w:rPr>
      <w:b/>
      <w:sz w:val="28"/>
    </w:rPr>
  </w:style>
  <w:style w:type="paragraph" w:styleId="Heading3">
    <w:name w:val="heading 3"/>
    <w:next w:val="Normal"/>
    <w:link w:val="Heading3Char"/>
    <w:uiPriority w:val="9"/>
    <w:qFormat/>
    <w:pPr>
      <w:spacing w:before="120" w:after="120"/>
      <w:jc w:val="both"/>
      <w:outlineLvl w:val="2"/>
    </w:pPr>
    <w:rPr>
      <w:b/>
      <w:sz w:val="26"/>
    </w:rPr>
  </w:style>
  <w:style w:type="paragraph" w:styleId="Heading4">
    <w:name w:val="heading 4"/>
    <w:next w:val="Normal"/>
    <w:link w:val="Heading4Char"/>
    <w:uiPriority w:val="9"/>
    <w:qFormat/>
    <w:pPr>
      <w:spacing w:before="120" w:after="120"/>
      <w:jc w:val="both"/>
      <w:outlineLvl w:val="3"/>
    </w:pPr>
    <w:rPr>
      <w:b/>
    </w:rPr>
  </w:style>
  <w:style w:type="paragraph" w:styleId="Heading5">
    <w:name w:val="heading 5"/>
    <w:next w:val="Normal"/>
    <w:link w:val="Heading5Char"/>
    <w:uiPriority w:val="9"/>
    <w:qFormat/>
    <w:pPr>
      <w:spacing w:before="120" w:after="120"/>
      <w:jc w:val="both"/>
      <w:outlineLvl w:val="4"/>
    </w:pPr>
    <w:rPr>
      <w:b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">
    <w:name w:val="Обычный1"/>
    <w:rPr>
      <w:sz w:val="28"/>
    </w:rPr>
  </w:style>
  <w:style w:type="paragraph" w:styleId="TOC2">
    <w:name w:val="toc 2"/>
    <w:next w:val="Normal"/>
    <w:link w:val="TOC2Char"/>
    <w:uiPriority w:val="39"/>
    <w:pPr>
      <w:ind w:left="200"/>
    </w:pPr>
    <w:rPr>
      <w:sz w:val="28"/>
    </w:rPr>
  </w:style>
  <w:style w:type="character" w:customStyle="1" w:styleId="TOC2Char">
    <w:name w:val="TOC 2 Char"/>
    <w:link w:val="TOC2"/>
    <w:rPr>
      <w:sz w:val="28"/>
    </w:rPr>
  </w:style>
  <w:style w:type="paragraph" w:styleId="TOC4">
    <w:name w:val="toc 4"/>
    <w:next w:val="Normal"/>
    <w:link w:val="TOC4Char"/>
    <w:uiPriority w:val="39"/>
    <w:pPr>
      <w:ind w:left="600"/>
    </w:pPr>
    <w:rPr>
      <w:sz w:val="28"/>
    </w:rPr>
  </w:style>
  <w:style w:type="character" w:customStyle="1" w:styleId="TOC4Char">
    <w:name w:val="TOC 4 Char"/>
    <w:link w:val="TOC4"/>
    <w:rPr>
      <w:sz w:val="28"/>
    </w:rPr>
  </w:style>
  <w:style w:type="paragraph" w:styleId="TOC6">
    <w:name w:val="toc 6"/>
    <w:next w:val="Normal"/>
    <w:link w:val="TOC6Char"/>
    <w:uiPriority w:val="39"/>
    <w:pPr>
      <w:ind w:left="1000"/>
    </w:pPr>
    <w:rPr>
      <w:sz w:val="28"/>
    </w:rPr>
  </w:style>
  <w:style w:type="character" w:customStyle="1" w:styleId="TOC6Char">
    <w:name w:val="TOC 6 Char"/>
    <w:link w:val="TOC6"/>
    <w:rPr>
      <w:sz w:val="28"/>
    </w:rPr>
  </w:style>
  <w:style w:type="paragraph" w:styleId="TOC7">
    <w:name w:val="toc 7"/>
    <w:next w:val="Normal"/>
    <w:link w:val="TOC7Char"/>
    <w:uiPriority w:val="39"/>
    <w:pPr>
      <w:ind w:left="1200"/>
    </w:pPr>
    <w:rPr>
      <w:sz w:val="28"/>
    </w:rPr>
  </w:style>
  <w:style w:type="character" w:customStyle="1" w:styleId="TOC7Char">
    <w:name w:val="TOC 7 Char"/>
    <w:link w:val="TOC7"/>
    <w:rPr>
      <w:sz w:val="28"/>
    </w:rPr>
  </w:style>
  <w:style w:type="character" w:customStyle="1" w:styleId="Heading3Char">
    <w:name w:val="Heading 3 Char"/>
    <w:link w:val="Heading3"/>
    <w:rPr>
      <w:b/>
      <w:sz w:val="26"/>
    </w:rPr>
  </w:style>
  <w:style w:type="paragraph" w:styleId="HTMLPreformatted">
    <w:name w:val="HTML Preformatted"/>
    <w:basedOn w:val="Normal"/>
    <w:link w:val="HTMLPreformattedChar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  <w:sz w:val="20"/>
    </w:rPr>
  </w:style>
  <w:style w:type="character" w:customStyle="1" w:styleId="HTMLPreformattedChar">
    <w:name w:val="HTML Preformatted Char"/>
    <w:basedOn w:val="1"/>
    <w:link w:val="HTMLPreformatted"/>
    <w:rPr>
      <w:rFonts w:ascii="Courier New" w:hAnsi="Courier New"/>
      <w:color w:val="000000"/>
      <w:sz w:val="20"/>
    </w:rPr>
  </w:style>
  <w:style w:type="paragraph" w:styleId="BalloonText">
    <w:name w:val="Balloon Text"/>
    <w:basedOn w:val="Normal"/>
    <w:link w:val="BalloonTextChar"/>
    <w:rPr>
      <w:rFonts w:ascii="Tahoma" w:hAnsi="Tahoma"/>
      <w:sz w:val="16"/>
    </w:rPr>
  </w:style>
  <w:style w:type="character" w:customStyle="1" w:styleId="BalloonTextChar">
    <w:name w:val="Balloon Text Char"/>
    <w:basedOn w:val="1"/>
    <w:link w:val="BalloonText"/>
    <w:rPr>
      <w:rFonts w:ascii="Tahoma" w:hAnsi="Tahoma"/>
      <w:sz w:val="16"/>
    </w:rPr>
  </w:style>
  <w:style w:type="paragraph" w:styleId="TOC3">
    <w:name w:val="toc 3"/>
    <w:next w:val="Normal"/>
    <w:link w:val="TOC3Char"/>
    <w:uiPriority w:val="39"/>
    <w:pPr>
      <w:ind w:left="400"/>
    </w:pPr>
    <w:rPr>
      <w:sz w:val="28"/>
    </w:rPr>
  </w:style>
  <w:style w:type="character" w:customStyle="1" w:styleId="TOC3Char">
    <w:name w:val="TOC 3 Char"/>
    <w:link w:val="TOC3"/>
    <w:rPr>
      <w:sz w:val="28"/>
    </w:rPr>
  </w:style>
  <w:style w:type="paragraph" w:customStyle="1" w:styleId="10">
    <w:name w:val="Обычный1"/>
    <w:link w:val="11"/>
    <w:rPr>
      <w:sz w:val="28"/>
    </w:rPr>
  </w:style>
  <w:style w:type="character" w:customStyle="1" w:styleId="11">
    <w:name w:val="Обычный1"/>
    <w:link w:val="10"/>
    <w:rPr>
      <w:rFonts w:ascii="XO Thames" w:hAnsi="XO Thames"/>
      <w:sz w:val="28"/>
    </w:rPr>
  </w:style>
  <w:style w:type="character" w:customStyle="1" w:styleId="Heading5Char">
    <w:name w:val="Heading 5 Char"/>
    <w:link w:val="Heading5"/>
    <w:rPr>
      <w:b/>
      <w:sz w:val="22"/>
    </w:rPr>
  </w:style>
  <w:style w:type="paragraph" w:styleId="BodyTextIndent">
    <w:name w:val="Body Text Indent"/>
    <w:basedOn w:val="Normal"/>
    <w:link w:val="BodyTextIndentChar"/>
    <w:pPr>
      <w:spacing w:line="360" w:lineRule="auto"/>
      <w:ind w:firstLine="720"/>
    </w:pPr>
    <w:rPr>
      <w:rFonts w:ascii="Times New Roman" w:hAnsi="Times New Roman"/>
    </w:rPr>
  </w:style>
  <w:style w:type="character" w:customStyle="1" w:styleId="BodyTextIndentChar">
    <w:name w:val="Body Text Indent Char"/>
    <w:basedOn w:val="1"/>
    <w:link w:val="BodyTextIndent"/>
    <w:rPr>
      <w:rFonts w:ascii="Times New Roman" w:hAnsi="Times New Roman"/>
      <w:color w:val="000000"/>
      <w:sz w:val="28"/>
    </w:rPr>
  </w:style>
  <w:style w:type="character" w:customStyle="1" w:styleId="Heading1Char">
    <w:name w:val="Heading 1 Char"/>
    <w:link w:val="Heading1"/>
    <w:rPr>
      <w:b/>
      <w:sz w:val="32"/>
    </w:rPr>
  </w:style>
  <w:style w:type="paragraph" w:customStyle="1" w:styleId="12">
    <w:name w:val="Гиперссылка1"/>
    <w:link w:val="Hyperlink"/>
    <w:rPr>
      <w:color w:val="0000FF"/>
      <w:u w:val="single"/>
    </w:rPr>
  </w:style>
  <w:style w:type="character" w:styleId="Hyperlink">
    <w:name w:val="Hyperlink"/>
    <w:link w:val="12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sz w:val="22"/>
    </w:rPr>
  </w:style>
  <w:style w:type="character" w:customStyle="1" w:styleId="Footnote0">
    <w:name w:val="Footnote"/>
    <w:link w:val="Footnote"/>
    <w:rPr>
      <w:sz w:val="22"/>
    </w:rPr>
  </w:style>
  <w:style w:type="paragraph" w:styleId="TOC1">
    <w:name w:val="toc 1"/>
    <w:next w:val="Normal"/>
    <w:link w:val="TOC1Char"/>
    <w:uiPriority w:val="39"/>
    <w:rPr>
      <w:b/>
      <w:sz w:val="28"/>
    </w:rPr>
  </w:style>
  <w:style w:type="character" w:customStyle="1" w:styleId="TOC1Char">
    <w:name w:val="TOC 1 Char"/>
    <w:link w:val="TOC1"/>
    <w:rPr>
      <w:b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sz w:val="20"/>
    </w:rPr>
  </w:style>
  <w:style w:type="character" w:customStyle="1" w:styleId="HeaderandFooter0">
    <w:name w:val="Header and Footer"/>
    <w:link w:val="HeaderandFooter"/>
    <w:rPr>
      <w:sz w:val="20"/>
    </w:rPr>
  </w:style>
  <w:style w:type="paragraph" w:styleId="TOC9">
    <w:name w:val="toc 9"/>
    <w:next w:val="Normal"/>
    <w:link w:val="TOC9Char"/>
    <w:uiPriority w:val="39"/>
    <w:pPr>
      <w:ind w:left="1600"/>
    </w:pPr>
    <w:rPr>
      <w:sz w:val="28"/>
    </w:rPr>
  </w:style>
  <w:style w:type="character" w:customStyle="1" w:styleId="TOC9Char">
    <w:name w:val="TOC 9 Char"/>
    <w:link w:val="TOC9"/>
    <w:rPr>
      <w:sz w:val="28"/>
    </w:rPr>
  </w:style>
  <w:style w:type="paragraph" w:customStyle="1" w:styleId="13">
    <w:name w:val="Гиперссылка1"/>
    <w:link w:val="14"/>
    <w:rPr>
      <w:color w:val="0000FF"/>
      <w:u w:val="single"/>
    </w:rPr>
  </w:style>
  <w:style w:type="character" w:customStyle="1" w:styleId="14">
    <w:name w:val="Гиперссылка1"/>
    <w:link w:val="13"/>
    <w:rPr>
      <w:color w:val="0000FF"/>
      <w:u w:val="single"/>
    </w:rPr>
  </w:style>
  <w:style w:type="paragraph" w:styleId="TOC8">
    <w:name w:val="toc 8"/>
    <w:next w:val="Normal"/>
    <w:link w:val="TOC8Char"/>
    <w:uiPriority w:val="39"/>
    <w:pPr>
      <w:ind w:left="1400"/>
    </w:pPr>
    <w:rPr>
      <w:sz w:val="28"/>
    </w:rPr>
  </w:style>
  <w:style w:type="character" w:customStyle="1" w:styleId="TOC8Char">
    <w:name w:val="TOC 8 Char"/>
    <w:link w:val="TOC8"/>
    <w:rPr>
      <w:sz w:val="28"/>
    </w:rPr>
  </w:style>
  <w:style w:type="paragraph" w:styleId="ListParagraph">
    <w:name w:val="List Paragraph"/>
    <w:basedOn w:val="Normal"/>
    <w:link w:val="ListParagraphChar"/>
    <w:pPr>
      <w:spacing w:after="200" w:line="276" w:lineRule="auto"/>
      <w:ind w:left="720"/>
      <w:contextualSpacing/>
      <w:jc w:val="left"/>
    </w:pPr>
    <w:rPr>
      <w:rFonts w:ascii="Calibri" w:hAnsi="Calibri"/>
      <w:sz w:val="22"/>
    </w:rPr>
  </w:style>
  <w:style w:type="character" w:customStyle="1" w:styleId="ListParagraphChar">
    <w:name w:val="List Paragraph Char"/>
    <w:basedOn w:val="1"/>
    <w:link w:val="ListParagraph"/>
    <w:rPr>
      <w:rFonts w:ascii="Calibri" w:hAnsi="Calibri"/>
      <w:color w:val="000000"/>
      <w:sz w:val="22"/>
    </w:rPr>
  </w:style>
  <w:style w:type="paragraph" w:styleId="TOC5">
    <w:name w:val="toc 5"/>
    <w:next w:val="Normal"/>
    <w:link w:val="TOC5Char"/>
    <w:uiPriority w:val="39"/>
    <w:pPr>
      <w:ind w:left="800"/>
    </w:pPr>
    <w:rPr>
      <w:sz w:val="28"/>
    </w:rPr>
  </w:style>
  <w:style w:type="character" w:customStyle="1" w:styleId="TOC5Char">
    <w:name w:val="TOC 5 Char"/>
    <w:link w:val="TOC5"/>
    <w:rPr>
      <w:sz w:val="28"/>
    </w:rPr>
  </w:style>
  <w:style w:type="paragraph" w:customStyle="1" w:styleId="y2iqfc">
    <w:name w:val="y2iqfc"/>
    <w:basedOn w:val="15"/>
    <w:link w:val="y2iqfc0"/>
  </w:style>
  <w:style w:type="character" w:customStyle="1" w:styleId="y2iqfc0">
    <w:name w:val="y2iqfc"/>
    <w:basedOn w:val="DefaultParagraphFont"/>
    <w:link w:val="y2iqfc"/>
  </w:style>
  <w:style w:type="paragraph" w:customStyle="1" w:styleId="15">
    <w:name w:val="Основной шрифт абзаца1"/>
  </w:style>
  <w:style w:type="paragraph" w:styleId="Subtitle">
    <w:name w:val="Subtitle"/>
    <w:next w:val="Normal"/>
    <w:link w:val="SubtitleChar"/>
    <w:uiPriority w:val="11"/>
    <w:qFormat/>
    <w:pPr>
      <w:jc w:val="both"/>
    </w:pPr>
    <w:rPr>
      <w:i/>
    </w:rPr>
  </w:style>
  <w:style w:type="character" w:customStyle="1" w:styleId="SubtitleChar">
    <w:name w:val="Subtitle Char"/>
    <w:link w:val="Subtitle"/>
    <w:rPr>
      <w:i/>
    </w:rPr>
  </w:style>
  <w:style w:type="paragraph" w:styleId="Title">
    <w:name w:val="Title"/>
    <w:next w:val="Normal"/>
    <w:link w:val="TitleChar"/>
    <w:uiPriority w:val="10"/>
    <w:qFormat/>
    <w:pPr>
      <w:spacing w:before="567" w:after="567"/>
      <w:jc w:val="center"/>
    </w:pPr>
    <w:rPr>
      <w:b/>
      <w:caps/>
      <w:sz w:val="40"/>
    </w:rPr>
  </w:style>
  <w:style w:type="character" w:customStyle="1" w:styleId="TitleChar">
    <w:name w:val="Title Char"/>
    <w:link w:val="Title"/>
    <w:rPr>
      <w:b/>
      <w:caps/>
      <w:sz w:val="40"/>
    </w:rPr>
  </w:style>
  <w:style w:type="character" w:customStyle="1" w:styleId="Heading4Char">
    <w:name w:val="Heading 4 Char"/>
    <w:link w:val="Heading4"/>
    <w:rPr>
      <w:b/>
    </w:rPr>
  </w:style>
  <w:style w:type="character" w:customStyle="1" w:styleId="Heading2Char">
    <w:name w:val="Heading 2 Char"/>
    <w:link w:val="Heading2"/>
    <w:rPr>
      <w:b/>
      <w:sz w:val="28"/>
    </w:rPr>
  </w:style>
  <w:style w:type="paragraph" w:styleId="Header">
    <w:name w:val="header"/>
    <w:basedOn w:val="Normal"/>
    <w:link w:val="HeaderChar"/>
    <w:uiPriority w:val="99"/>
    <w:unhideWhenUsed/>
    <w:rsid w:val="0001395E"/>
    <w:pPr>
      <w:tabs>
        <w:tab w:val="center" w:pos="4844"/>
        <w:tab w:val="right" w:pos="9689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1395E"/>
    <w:rPr>
      <w:sz w:val="28"/>
    </w:rPr>
  </w:style>
  <w:style w:type="paragraph" w:styleId="Footer">
    <w:name w:val="footer"/>
    <w:basedOn w:val="Normal"/>
    <w:link w:val="FooterChar"/>
    <w:uiPriority w:val="99"/>
    <w:unhideWhenUsed/>
    <w:rsid w:val="0001395E"/>
    <w:pPr>
      <w:tabs>
        <w:tab w:val="center" w:pos="4844"/>
        <w:tab w:val="right" w:pos="968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1395E"/>
    <w:rPr>
      <w:sz w:val="28"/>
    </w:rPr>
  </w:style>
  <w:style w:type="character" w:styleId="UnresolvedMention">
    <w:name w:val="Unresolved Mention"/>
    <w:basedOn w:val="DefaultParagraphFont"/>
    <w:uiPriority w:val="99"/>
    <w:semiHidden/>
    <w:unhideWhenUsed/>
    <w:rsid w:val="00716DE5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6A05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://dx.doi.org/10.21515/1990-4665-204-047" TargetMode="Externa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4/10/pdf/47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63000"/>
                <a:satMod val="300000"/>
              </a:schemeClr>
            </a:gs>
            <a:gs pos="100000">
              <a:schemeClr val="phClr">
                <a:tint val="8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  <a:prstDash val="solid"/>
        </a:ln>
        <a:ln>
          <a:solidFill>
            <a:schemeClr val="phClr"/>
          </a:solidFill>
          <a:prstDash val="solid"/>
        </a:ln>
        <a:ln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60000"/>
                <a:satMod val="350000"/>
              </a:schemeClr>
            </a:gs>
            <a:gs pos="40000">
              <a:schemeClr val="phClr">
                <a:tint val="5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2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10</Pages>
  <Words>2248</Words>
  <Characters>12815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Microsoft Office User</cp:lastModifiedBy>
  <cp:revision>9</cp:revision>
  <dcterms:created xsi:type="dcterms:W3CDTF">2024-11-29T10:57:00Z</dcterms:created>
  <dcterms:modified xsi:type="dcterms:W3CDTF">2025-01-11T23:10:00Z</dcterms:modified>
</cp:coreProperties>
</file>