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64F7D" w14:paraId="7349E2FC" w14:textId="77777777" w:rsidTr="00975BF1">
        <w:trPr>
          <w:trHeight w:val="1135"/>
        </w:trPr>
        <w:tc>
          <w:tcPr>
            <w:tcW w:w="4530" w:type="dxa"/>
          </w:tcPr>
          <w:p w14:paraId="585DA33B" w14:textId="3275BC14" w:rsidR="001F45CC" w:rsidRDefault="00F06F73" w:rsidP="00A506C3">
            <w:pPr>
              <w:rPr>
                <w:rFonts w:ascii="Times New Roman" w:hAnsi="Times New Roman" w:cs="Times New Roman"/>
                <w:sz w:val="20"/>
                <w:szCs w:val="20"/>
              </w:rPr>
            </w:pPr>
            <w:r w:rsidRPr="00A506C3">
              <w:rPr>
                <w:rFonts w:ascii="Times New Roman" w:hAnsi="Times New Roman" w:cs="Times New Roman"/>
                <w:sz w:val="20"/>
                <w:szCs w:val="20"/>
                <w:highlight w:val="yellow"/>
              </w:rPr>
              <w:fldChar w:fldCharType="begin"/>
            </w:r>
            <w:r w:rsidRPr="00A506C3">
              <w:rPr>
                <w:rFonts w:ascii="Times New Roman" w:hAnsi="Times New Roman" w:cs="Times New Roman"/>
                <w:sz w:val="20"/>
                <w:szCs w:val="20"/>
                <w:highlight w:val="yellow"/>
              </w:rPr>
              <w:instrText xml:space="preserve"> MACROBUTTON MTEditEquationSection2 </w:instrText>
            </w:r>
            <w:r w:rsidRPr="00A506C3">
              <w:rPr>
                <w:rStyle w:val="MTEquationSection"/>
                <w:highlight w:val="yellow"/>
              </w:rPr>
              <w:instrText>Equation Chapter 1 Section 1</w:instrText>
            </w:r>
            <w:r w:rsidRPr="00A506C3">
              <w:rPr>
                <w:rFonts w:ascii="Times New Roman" w:hAnsi="Times New Roman" w:cs="Times New Roman"/>
                <w:sz w:val="20"/>
                <w:szCs w:val="20"/>
                <w:highlight w:val="yellow"/>
              </w:rPr>
              <w:fldChar w:fldCharType="begin"/>
            </w:r>
            <w:r w:rsidRPr="00A506C3">
              <w:rPr>
                <w:rFonts w:ascii="Times New Roman" w:hAnsi="Times New Roman" w:cs="Times New Roman"/>
                <w:sz w:val="20"/>
                <w:szCs w:val="20"/>
                <w:highlight w:val="yellow"/>
              </w:rPr>
              <w:instrText xml:space="preserve"> SEQ MTEqn \r \h \* MERGEFORMAT </w:instrText>
            </w:r>
            <w:r w:rsidRPr="00A506C3">
              <w:rPr>
                <w:rFonts w:ascii="Times New Roman" w:hAnsi="Times New Roman" w:cs="Times New Roman"/>
                <w:sz w:val="20"/>
                <w:szCs w:val="20"/>
                <w:highlight w:val="yellow"/>
              </w:rPr>
              <w:fldChar w:fldCharType="end"/>
            </w:r>
            <w:r w:rsidRPr="00A506C3">
              <w:rPr>
                <w:rFonts w:ascii="Times New Roman" w:hAnsi="Times New Roman" w:cs="Times New Roman"/>
                <w:sz w:val="20"/>
                <w:szCs w:val="20"/>
                <w:highlight w:val="yellow"/>
              </w:rPr>
              <w:fldChar w:fldCharType="begin"/>
            </w:r>
            <w:r w:rsidRPr="00A506C3">
              <w:rPr>
                <w:rFonts w:ascii="Times New Roman" w:hAnsi="Times New Roman" w:cs="Times New Roman"/>
                <w:sz w:val="20"/>
                <w:szCs w:val="20"/>
                <w:highlight w:val="yellow"/>
              </w:rPr>
              <w:instrText xml:space="preserve"> SEQ MTSec \r 1 \h \* MERGEFORMAT </w:instrText>
            </w:r>
            <w:r w:rsidRPr="00A506C3">
              <w:rPr>
                <w:rFonts w:ascii="Times New Roman" w:hAnsi="Times New Roman" w:cs="Times New Roman"/>
                <w:sz w:val="20"/>
                <w:szCs w:val="20"/>
                <w:highlight w:val="yellow"/>
              </w:rPr>
              <w:fldChar w:fldCharType="end"/>
            </w:r>
            <w:r w:rsidRPr="00A506C3">
              <w:rPr>
                <w:rFonts w:ascii="Times New Roman" w:hAnsi="Times New Roman" w:cs="Times New Roman"/>
                <w:sz w:val="20"/>
                <w:szCs w:val="20"/>
                <w:highlight w:val="yellow"/>
              </w:rPr>
              <w:fldChar w:fldCharType="begin"/>
            </w:r>
            <w:r w:rsidRPr="00A506C3">
              <w:rPr>
                <w:rFonts w:ascii="Times New Roman" w:hAnsi="Times New Roman" w:cs="Times New Roman"/>
                <w:sz w:val="20"/>
                <w:szCs w:val="20"/>
                <w:highlight w:val="yellow"/>
              </w:rPr>
              <w:instrText xml:space="preserve"> SEQ MTChap \r 1 \h \* MERGEFORMAT </w:instrText>
            </w:r>
            <w:r w:rsidRPr="00A506C3">
              <w:rPr>
                <w:rFonts w:ascii="Times New Roman" w:hAnsi="Times New Roman" w:cs="Times New Roman"/>
                <w:sz w:val="20"/>
                <w:szCs w:val="20"/>
                <w:highlight w:val="yellow"/>
              </w:rPr>
              <w:fldChar w:fldCharType="end"/>
            </w:r>
            <w:r w:rsidRPr="00A506C3">
              <w:rPr>
                <w:rFonts w:ascii="Times New Roman" w:hAnsi="Times New Roman" w:cs="Times New Roman"/>
                <w:sz w:val="20"/>
                <w:szCs w:val="20"/>
                <w:highlight w:val="yellow"/>
              </w:rPr>
              <w:fldChar w:fldCharType="end"/>
            </w:r>
            <w:r w:rsidR="001F45CC" w:rsidRPr="00A506C3">
              <w:rPr>
                <w:rFonts w:ascii="Times New Roman" w:hAnsi="Times New Roman" w:cs="Times New Roman"/>
                <w:sz w:val="20"/>
                <w:szCs w:val="20"/>
              </w:rPr>
              <w:t xml:space="preserve">УДК </w:t>
            </w:r>
            <w:r w:rsidR="00056E96" w:rsidRPr="00A506C3">
              <w:rPr>
                <w:rFonts w:ascii="Times New Roman" w:hAnsi="Times New Roman" w:cs="Times New Roman"/>
                <w:sz w:val="20"/>
                <w:szCs w:val="20"/>
              </w:rPr>
              <w:t>621.928.6</w:t>
            </w:r>
          </w:p>
          <w:p w14:paraId="69BD1D29" w14:textId="77777777" w:rsidR="00A64F7D" w:rsidRPr="00A506C3" w:rsidRDefault="00A64F7D" w:rsidP="00A506C3">
            <w:pPr>
              <w:rPr>
                <w:rFonts w:ascii="Times New Roman" w:hAnsi="Times New Roman" w:cs="Times New Roman"/>
                <w:sz w:val="20"/>
                <w:szCs w:val="20"/>
              </w:rPr>
            </w:pPr>
          </w:p>
          <w:p w14:paraId="28DC8C82" w14:textId="68E665DB" w:rsidR="001F45CC" w:rsidRPr="00A506C3" w:rsidRDefault="001F45CC" w:rsidP="00A506C3">
            <w:pPr>
              <w:rPr>
                <w:rFonts w:ascii="Times New Roman" w:hAnsi="Times New Roman" w:cs="Times New Roman"/>
                <w:sz w:val="20"/>
                <w:szCs w:val="20"/>
              </w:rPr>
            </w:pPr>
            <w:r w:rsidRPr="00A506C3">
              <w:rPr>
                <w:rFonts w:ascii="Times New Roman" w:hAnsi="Times New Roman" w:cs="Times New Roman"/>
                <w:sz w:val="20"/>
                <w:szCs w:val="20"/>
              </w:rPr>
              <w:t>4.3.1. Технологии, машины и оборудование для агропромышленного комплекса</w:t>
            </w:r>
            <w:r w:rsidR="00AC4E63" w:rsidRPr="00A506C3">
              <w:rPr>
                <w:rFonts w:ascii="Times New Roman" w:hAnsi="Times New Roman" w:cs="Times New Roman"/>
                <w:sz w:val="20"/>
                <w:szCs w:val="20"/>
              </w:rPr>
              <w:t xml:space="preserve"> (технические науки)</w:t>
            </w:r>
          </w:p>
          <w:p w14:paraId="1D909AC2" w14:textId="77777777" w:rsidR="00A11346" w:rsidRPr="00A506C3" w:rsidRDefault="00A11346" w:rsidP="00A506C3">
            <w:pPr>
              <w:rPr>
                <w:rFonts w:ascii="Times New Roman" w:hAnsi="Times New Roman" w:cs="Times New Roman"/>
                <w:sz w:val="20"/>
                <w:szCs w:val="20"/>
                <w:highlight w:val="yellow"/>
              </w:rPr>
            </w:pPr>
          </w:p>
          <w:p w14:paraId="28F8E5A5" w14:textId="0AC135FF" w:rsidR="00E664BD" w:rsidRPr="00A506C3" w:rsidRDefault="00E664BD" w:rsidP="00A506C3">
            <w:pPr>
              <w:rPr>
                <w:rFonts w:ascii="Times New Roman" w:hAnsi="Times New Roman" w:cs="Times New Roman"/>
                <w:b/>
                <w:sz w:val="20"/>
                <w:szCs w:val="20"/>
              </w:rPr>
            </w:pPr>
            <w:bookmarkStart w:id="0" w:name="_Hlk173326146"/>
            <w:r w:rsidRPr="00A506C3">
              <w:rPr>
                <w:rFonts w:ascii="Times New Roman" w:hAnsi="Times New Roman" w:cs="Times New Roman"/>
                <w:b/>
                <w:sz w:val="20"/>
                <w:szCs w:val="20"/>
              </w:rPr>
              <w:t>ЧИСЛЕННОЕ МОДЕЛИРОВАНИЕ ПРОЦЕССА НАГРЕВА ТЕПЛОВОГО НАКОПИТЕЛЯ ЭНЕРГИИ ДЛЯ ТЕПЛИЧНОГО ХОЗЯЙСТВА</w:t>
            </w:r>
          </w:p>
          <w:p w14:paraId="506E1D5E" w14:textId="77777777" w:rsidR="00E664BD" w:rsidRPr="00A506C3" w:rsidRDefault="00E664BD" w:rsidP="00A506C3">
            <w:pPr>
              <w:rPr>
                <w:rFonts w:ascii="Times New Roman" w:hAnsi="Times New Roman" w:cs="Times New Roman"/>
                <w:sz w:val="20"/>
                <w:szCs w:val="20"/>
              </w:rPr>
            </w:pPr>
          </w:p>
          <w:bookmarkEnd w:id="0"/>
          <w:p w14:paraId="246432EF" w14:textId="745974F3" w:rsidR="002A2FE1" w:rsidRPr="00A506C3" w:rsidRDefault="00E60EC8" w:rsidP="00A506C3">
            <w:pPr>
              <w:rPr>
                <w:rFonts w:ascii="Times New Roman" w:hAnsi="Times New Roman" w:cs="Times New Roman"/>
                <w:sz w:val="20"/>
                <w:szCs w:val="20"/>
              </w:rPr>
            </w:pPr>
            <w:r w:rsidRPr="00A506C3">
              <w:rPr>
                <w:rFonts w:ascii="Times New Roman" w:hAnsi="Times New Roman" w:cs="Times New Roman"/>
                <w:sz w:val="20"/>
                <w:szCs w:val="20"/>
              </w:rPr>
              <w:t>Зинуров</w:t>
            </w:r>
            <w:r w:rsidR="00975BF1" w:rsidRPr="00A506C3">
              <w:rPr>
                <w:rFonts w:ascii="Times New Roman" w:hAnsi="Times New Roman" w:cs="Times New Roman"/>
                <w:sz w:val="20"/>
                <w:szCs w:val="20"/>
              </w:rPr>
              <w:t xml:space="preserve"> Вадим Эдуардович</w:t>
            </w:r>
          </w:p>
          <w:p w14:paraId="05346F54" w14:textId="77777777" w:rsidR="00975BF1" w:rsidRPr="00A506C3" w:rsidRDefault="00975BF1" w:rsidP="00A506C3">
            <w:pPr>
              <w:rPr>
                <w:rFonts w:ascii="Times New Roman" w:hAnsi="Times New Roman" w:cs="Times New Roman"/>
                <w:sz w:val="20"/>
                <w:szCs w:val="20"/>
              </w:rPr>
            </w:pPr>
            <w:r w:rsidRPr="00A506C3">
              <w:rPr>
                <w:rFonts w:ascii="Times New Roman" w:hAnsi="Times New Roman" w:cs="Times New Roman"/>
                <w:sz w:val="20"/>
                <w:szCs w:val="20"/>
              </w:rPr>
              <w:t xml:space="preserve">Канд. </w:t>
            </w:r>
            <w:proofErr w:type="spellStart"/>
            <w:r w:rsidRPr="00A506C3">
              <w:rPr>
                <w:rFonts w:ascii="Times New Roman" w:hAnsi="Times New Roman" w:cs="Times New Roman"/>
                <w:sz w:val="20"/>
                <w:szCs w:val="20"/>
              </w:rPr>
              <w:t>техн</w:t>
            </w:r>
            <w:proofErr w:type="spellEnd"/>
            <w:r w:rsidRPr="00A506C3">
              <w:rPr>
                <w:rFonts w:ascii="Times New Roman" w:hAnsi="Times New Roman" w:cs="Times New Roman"/>
                <w:sz w:val="20"/>
                <w:szCs w:val="20"/>
              </w:rPr>
              <w:t>. наук</w:t>
            </w:r>
          </w:p>
          <w:p w14:paraId="0D85DC5E" w14:textId="20FCE928" w:rsidR="002A2FE1" w:rsidRPr="00A506C3" w:rsidRDefault="002A2FE1" w:rsidP="00A506C3">
            <w:pPr>
              <w:rPr>
                <w:rFonts w:ascii="Times New Roman" w:hAnsi="Times New Roman" w:cs="Times New Roman"/>
                <w:sz w:val="20"/>
                <w:szCs w:val="20"/>
              </w:rPr>
            </w:pPr>
            <w:r w:rsidRPr="00A506C3">
              <w:rPr>
                <w:rFonts w:ascii="Times New Roman" w:hAnsi="Times New Roman" w:cs="Times New Roman"/>
                <w:sz w:val="20"/>
                <w:szCs w:val="20"/>
              </w:rPr>
              <w:t xml:space="preserve">SPIN – код автора: </w:t>
            </w:r>
            <w:r w:rsidR="00975BF1" w:rsidRPr="00A506C3">
              <w:rPr>
                <w:rFonts w:ascii="Times New Roman" w:hAnsi="Times New Roman" w:cs="Times New Roman"/>
                <w:sz w:val="20"/>
                <w:szCs w:val="20"/>
              </w:rPr>
              <w:t>1564-3438</w:t>
            </w:r>
          </w:p>
          <w:p w14:paraId="6363AB48" w14:textId="6A5B0844" w:rsidR="002A2FE1" w:rsidRPr="00A506C3" w:rsidRDefault="002A2FE1" w:rsidP="00A506C3">
            <w:pPr>
              <w:rPr>
                <w:rFonts w:ascii="Times New Roman" w:hAnsi="Times New Roman" w:cs="Times New Roman"/>
                <w:i/>
                <w:sz w:val="20"/>
                <w:szCs w:val="20"/>
              </w:rPr>
            </w:pPr>
            <w:r w:rsidRPr="00A506C3">
              <w:rPr>
                <w:rFonts w:ascii="Times New Roman" w:hAnsi="Times New Roman" w:cs="Times New Roman"/>
                <w:i/>
                <w:sz w:val="20"/>
                <w:szCs w:val="20"/>
              </w:rPr>
              <w:t>Казанский государственный энергетический университет</w:t>
            </w:r>
            <w:r w:rsidR="0043344A" w:rsidRPr="00A506C3">
              <w:rPr>
                <w:rFonts w:ascii="Times New Roman" w:hAnsi="Times New Roman" w:cs="Times New Roman"/>
                <w:i/>
                <w:sz w:val="20"/>
                <w:szCs w:val="20"/>
              </w:rPr>
              <w:t>, Казань, Россия</w:t>
            </w:r>
          </w:p>
          <w:p w14:paraId="19B13090" w14:textId="77777777" w:rsidR="002A2FE1" w:rsidRPr="00A506C3" w:rsidRDefault="002A2FE1" w:rsidP="00A506C3">
            <w:pPr>
              <w:rPr>
                <w:rFonts w:ascii="Times New Roman" w:hAnsi="Times New Roman" w:cs="Times New Roman"/>
                <w:sz w:val="20"/>
                <w:szCs w:val="20"/>
              </w:rPr>
            </w:pPr>
          </w:p>
          <w:p w14:paraId="04F690C9" w14:textId="08DF1B5D" w:rsidR="00AD1D86" w:rsidRPr="00A506C3" w:rsidRDefault="00AD1D86" w:rsidP="00A506C3">
            <w:pPr>
              <w:rPr>
                <w:rFonts w:ascii="Times New Roman" w:hAnsi="Times New Roman" w:cs="Times New Roman"/>
                <w:sz w:val="20"/>
                <w:szCs w:val="20"/>
              </w:rPr>
            </w:pPr>
            <w:r w:rsidRPr="00A506C3">
              <w:rPr>
                <w:rFonts w:ascii="Times New Roman" w:hAnsi="Times New Roman" w:cs="Times New Roman"/>
                <w:sz w:val="20"/>
                <w:szCs w:val="20"/>
              </w:rPr>
              <w:t>Антонов Максим Александрович</w:t>
            </w:r>
          </w:p>
          <w:p w14:paraId="30CFEA2F" w14:textId="31247427" w:rsidR="00AD1D86" w:rsidRPr="00A506C3" w:rsidRDefault="00AD1D86" w:rsidP="00A506C3">
            <w:pPr>
              <w:rPr>
                <w:rFonts w:ascii="Times New Roman" w:hAnsi="Times New Roman" w:cs="Times New Roman"/>
                <w:sz w:val="20"/>
                <w:szCs w:val="20"/>
              </w:rPr>
            </w:pPr>
            <w:r w:rsidRPr="00A506C3">
              <w:rPr>
                <w:rFonts w:ascii="Times New Roman" w:hAnsi="Times New Roman" w:cs="Times New Roman"/>
                <w:sz w:val="20"/>
                <w:szCs w:val="20"/>
              </w:rPr>
              <w:t>Исполнительный директор</w:t>
            </w:r>
          </w:p>
          <w:p w14:paraId="3357D682" w14:textId="6AEE7CF9" w:rsidR="00AD1D86" w:rsidRPr="00A506C3" w:rsidRDefault="00AD1D86" w:rsidP="00A506C3">
            <w:pPr>
              <w:rPr>
                <w:rFonts w:ascii="Times New Roman" w:hAnsi="Times New Roman" w:cs="Times New Roman"/>
                <w:i/>
                <w:sz w:val="20"/>
                <w:szCs w:val="20"/>
              </w:rPr>
            </w:pPr>
            <w:r w:rsidRPr="00A506C3">
              <w:rPr>
                <w:rFonts w:ascii="Times New Roman" w:hAnsi="Times New Roman" w:cs="Times New Roman"/>
                <w:i/>
                <w:sz w:val="20"/>
                <w:szCs w:val="20"/>
              </w:rPr>
              <w:t>ООО «</w:t>
            </w:r>
            <w:proofErr w:type="spellStart"/>
            <w:r w:rsidRPr="00A506C3">
              <w:rPr>
                <w:rFonts w:ascii="Times New Roman" w:hAnsi="Times New Roman" w:cs="Times New Roman"/>
                <w:i/>
                <w:sz w:val="20"/>
                <w:szCs w:val="20"/>
              </w:rPr>
              <w:t>Каюм</w:t>
            </w:r>
            <w:proofErr w:type="spellEnd"/>
            <w:r w:rsidRPr="00A506C3">
              <w:rPr>
                <w:rFonts w:ascii="Times New Roman" w:hAnsi="Times New Roman" w:cs="Times New Roman"/>
                <w:i/>
                <w:sz w:val="20"/>
                <w:szCs w:val="20"/>
              </w:rPr>
              <w:t xml:space="preserve"> </w:t>
            </w:r>
            <w:proofErr w:type="spellStart"/>
            <w:r w:rsidRPr="00A506C3">
              <w:rPr>
                <w:rFonts w:ascii="Times New Roman" w:hAnsi="Times New Roman" w:cs="Times New Roman"/>
                <w:i/>
                <w:sz w:val="20"/>
                <w:szCs w:val="20"/>
              </w:rPr>
              <w:t>Эдишн</w:t>
            </w:r>
            <w:proofErr w:type="spellEnd"/>
            <w:r w:rsidRPr="00A506C3">
              <w:rPr>
                <w:rFonts w:ascii="Times New Roman" w:hAnsi="Times New Roman" w:cs="Times New Roman"/>
                <w:i/>
                <w:sz w:val="20"/>
                <w:szCs w:val="20"/>
              </w:rPr>
              <w:t>», Набережные Челны, Россия</w:t>
            </w:r>
          </w:p>
          <w:p w14:paraId="7B80C641" w14:textId="1642AAD8" w:rsidR="00AC4E63" w:rsidRPr="00A506C3" w:rsidRDefault="00AC4E63" w:rsidP="00A506C3">
            <w:pPr>
              <w:rPr>
                <w:rFonts w:ascii="Times New Roman" w:hAnsi="Times New Roman" w:cs="Times New Roman"/>
                <w:sz w:val="20"/>
                <w:szCs w:val="20"/>
                <w:highlight w:val="yellow"/>
              </w:rPr>
            </w:pPr>
          </w:p>
          <w:p w14:paraId="77AB4E06" w14:textId="77777777" w:rsidR="00AD1D86" w:rsidRPr="00A506C3" w:rsidRDefault="00AD1D86" w:rsidP="00A506C3">
            <w:pPr>
              <w:rPr>
                <w:rFonts w:ascii="Times New Roman" w:hAnsi="Times New Roman" w:cs="Times New Roman"/>
                <w:sz w:val="20"/>
                <w:szCs w:val="20"/>
              </w:rPr>
            </w:pPr>
            <w:r w:rsidRPr="00A506C3">
              <w:rPr>
                <w:rFonts w:ascii="Times New Roman" w:hAnsi="Times New Roman" w:cs="Times New Roman"/>
                <w:sz w:val="20"/>
                <w:szCs w:val="20"/>
              </w:rPr>
              <w:t>Чадаев Алексей Николаевич</w:t>
            </w:r>
          </w:p>
          <w:p w14:paraId="01DD2E4D" w14:textId="77777777" w:rsidR="00AD1D86" w:rsidRPr="00A506C3" w:rsidRDefault="00AD1D86" w:rsidP="00A506C3">
            <w:pPr>
              <w:rPr>
                <w:rFonts w:ascii="Times New Roman" w:hAnsi="Times New Roman" w:cs="Times New Roman"/>
                <w:sz w:val="20"/>
                <w:szCs w:val="20"/>
              </w:rPr>
            </w:pPr>
            <w:r w:rsidRPr="00A506C3">
              <w:rPr>
                <w:rFonts w:ascii="Times New Roman" w:hAnsi="Times New Roman" w:cs="Times New Roman"/>
                <w:sz w:val="20"/>
                <w:szCs w:val="20"/>
              </w:rPr>
              <w:t>Аспирант</w:t>
            </w:r>
          </w:p>
          <w:p w14:paraId="1D886C40" w14:textId="77777777" w:rsidR="00AD1D86" w:rsidRPr="00A506C3" w:rsidRDefault="00AD1D86" w:rsidP="00A506C3">
            <w:pPr>
              <w:rPr>
                <w:rFonts w:ascii="Times New Roman" w:hAnsi="Times New Roman" w:cs="Times New Roman"/>
                <w:i/>
                <w:sz w:val="20"/>
                <w:szCs w:val="20"/>
              </w:rPr>
            </w:pPr>
            <w:r w:rsidRPr="00A506C3">
              <w:rPr>
                <w:rFonts w:ascii="Times New Roman" w:hAnsi="Times New Roman" w:cs="Times New Roman"/>
                <w:i/>
                <w:sz w:val="20"/>
                <w:szCs w:val="20"/>
              </w:rPr>
              <w:t>Казанский национальный исследовательский технологический университет, Казань, Россия</w:t>
            </w:r>
          </w:p>
          <w:p w14:paraId="484B7CDC" w14:textId="108794D2" w:rsidR="00AC4E63" w:rsidRPr="00A506C3" w:rsidRDefault="00AC4E63" w:rsidP="00A506C3">
            <w:pPr>
              <w:rPr>
                <w:rFonts w:ascii="Times New Roman" w:hAnsi="Times New Roman" w:cs="Times New Roman"/>
                <w:sz w:val="20"/>
                <w:szCs w:val="20"/>
                <w:highlight w:val="yellow"/>
              </w:rPr>
            </w:pPr>
          </w:p>
          <w:p w14:paraId="429078F3" w14:textId="694F7D9B" w:rsidR="00AD1D86" w:rsidRPr="00A506C3" w:rsidRDefault="00AD1D86" w:rsidP="00A506C3">
            <w:pPr>
              <w:rPr>
                <w:rFonts w:ascii="Times New Roman" w:hAnsi="Times New Roman" w:cs="Times New Roman"/>
                <w:sz w:val="20"/>
                <w:szCs w:val="20"/>
              </w:rPr>
            </w:pPr>
            <w:proofErr w:type="spellStart"/>
            <w:r w:rsidRPr="00A506C3">
              <w:rPr>
                <w:rFonts w:ascii="Times New Roman" w:hAnsi="Times New Roman" w:cs="Times New Roman"/>
                <w:sz w:val="20"/>
                <w:szCs w:val="20"/>
              </w:rPr>
              <w:t>Атлы</w:t>
            </w:r>
            <w:proofErr w:type="spellEnd"/>
            <w:r w:rsidRPr="00A506C3">
              <w:rPr>
                <w:rFonts w:ascii="Times New Roman" w:hAnsi="Times New Roman" w:cs="Times New Roman"/>
                <w:sz w:val="20"/>
                <w:szCs w:val="20"/>
              </w:rPr>
              <w:t xml:space="preserve"> Виктория </w:t>
            </w:r>
            <w:proofErr w:type="spellStart"/>
            <w:r w:rsidRPr="00A506C3">
              <w:rPr>
                <w:rFonts w:ascii="Times New Roman" w:hAnsi="Times New Roman" w:cs="Times New Roman"/>
                <w:sz w:val="20"/>
                <w:szCs w:val="20"/>
              </w:rPr>
              <w:t>Салиховна</w:t>
            </w:r>
            <w:proofErr w:type="spellEnd"/>
          </w:p>
          <w:p w14:paraId="3B7CEC60" w14:textId="7E558D61" w:rsidR="00AD1D86" w:rsidRPr="00A506C3" w:rsidRDefault="00AD1D86" w:rsidP="00A506C3">
            <w:pPr>
              <w:rPr>
                <w:rFonts w:ascii="Times New Roman" w:hAnsi="Times New Roman" w:cs="Times New Roman"/>
                <w:sz w:val="20"/>
                <w:szCs w:val="20"/>
              </w:rPr>
            </w:pPr>
            <w:r w:rsidRPr="00A506C3">
              <w:rPr>
                <w:rFonts w:ascii="Times New Roman" w:hAnsi="Times New Roman" w:cs="Times New Roman"/>
                <w:sz w:val="20"/>
                <w:szCs w:val="20"/>
              </w:rPr>
              <w:t>Студент</w:t>
            </w:r>
          </w:p>
          <w:p w14:paraId="186E52BA" w14:textId="77777777" w:rsidR="00AD1D86" w:rsidRPr="00A506C3" w:rsidRDefault="00AD1D86" w:rsidP="00A506C3">
            <w:pPr>
              <w:rPr>
                <w:rFonts w:ascii="Times New Roman" w:hAnsi="Times New Roman" w:cs="Times New Roman"/>
                <w:i/>
                <w:sz w:val="20"/>
                <w:szCs w:val="20"/>
              </w:rPr>
            </w:pPr>
            <w:r w:rsidRPr="00A506C3">
              <w:rPr>
                <w:rFonts w:ascii="Times New Roman" w:hAnsi="Times New Roman" w:cs="Times New Roman"/>
                <w:i/>
                <w:sz w:val="20"/>
                <w:szCs w:val="20"/>
              </w:rPr>
              <w:t>Казанский государственный энергетический университет, Казань, Россия</w:t>
            </w:r>
          </w:p>
          <w:p w14:paraId="3C64E8F2" w14:textId="06496FA6" w:rsidR="00AD1D86" w:rsidRPr="00A506C3" w:rsidRDefault="00AD1D86" w:rsidP="00A506C3">
            <w:pPr>
              <w:rPr>
                <w:rFonts w:ascii="Times New Roman" w:hAnsi="Times New Roman" w:cs="Times New Roman"/>
                <w:sz w:val="20"/>
                <w:szCs w:val="20"/>
                <w:highlight w:val="yellow"/>
              </w:rPr>
            </w:pPr>
          </w:p>
          <w:p w14:paraId="4A4CDDB7" w14:textId="3A41CDC7" w:rsidR="00AD1D86" w:rsidRPr="00A506C3" w:rsidRDefault="00E664BD" w:rsidP="00A506C3">
            <w:pPr>
              <w:rPr>
                <w:rFonts w:ascii="Times New Roman" w:hAnsi="Times New Roman" w:cs="Times New Roman"/>
                <w:sz w:val="20"/>
                <w:szCs w:val="20"/>
              </w:rPr>
            </w:pPr>
            <w:r w:rsidRPr="00A506C3">
              <w:rPr>
                <w:rFonts w:ascii="Times New Roman" w:hAnsi="Times New Roman" w:cs="Times New Roman"/>
                <w:sz w:val="20"/>
                <w:szCs w:val="20"/>
              </w:rPr>
              <w:t xml:space="preserve">Энергоэффективность тепличных хозяйств становится всё более важной задачей в условиях увеличивающихся затрат на энергоресурсы и необходимости перехода на возобновляемые источники энергии. В статье рассматривается численное моделирование процесса нагрева теплового накопителя энергии, применяемого для повышения энергоэффективности тепличных хозяйств. Тепловой накопитель состоит из сверхвысокотемпературной керамики и многослойной теплоизоляции, включающей в себя вольфрамовые экраны и асбест. Основным теплоносителем в системе является олово, циркулирующее с расходом 0,3 кг/с и начальной температурой 1700°C. Моделирование проводилось в программном комплексе </w:t>
            </w:r>
            <w:proofErr w:type="spellStart"/>
            <w:r w:rsidRPr="00A506C3">
              <w:rPr>
                <w:rFonts w:ascii="Times New Roman" w:hAnsi="Times New Roman" w:cs="Times New Roman"/>
                <w:sz w:val="20"/>
                <w:szCs w:val="20"/>
              </w:rPr>
              <w:t>SimInTech</w:t>
            </w:r>
            <w:proofErr w:type="spellEnd"/>
            <w:r w:rsidRPr="00A506C3">
              <w:rPr>
                <w:rFonts w:ascii="Times New Roman" w:hAnsi="Times New Roman" w:cs="Times New Roman"/>
                <w:sz w:val="20"/>
                <w:szCs w:val="20"/>
              </w:rPr>
              <w:t xml:space="preserve"> с использованием осесимметричной двухмерной модели, что позволило учесть тепловые потери и оценить эффективность различных конфигураций системы. Особое внимание уделялось количеству вольфрамовых экранов, обеспечивающих теплоизоляцию. Рассматривались три варианта: с 3, 8 и 12 экранами</w:t>
            </w:r>
            <w:r w:rsidR="00B103D7" w:rsidRPr="00A506C3">
              <w:rPr>
                <w:rFonts w:ascii="Times New Roman" w:hAnsi="Times New Roman" w:cs="Times New Roman"/>
                <w:sz w:val="20"/>
                <w:szCs w:val="20"/>
              </w:rPr>
              <w:t xml:space="preserve">. </w:t>
            </w:r>
            <w:r w:rsidRPr="00A506C3">
              <w:rPr>
                <w:rFonts w:ascii="Times New Roman" w:hAnsi="Times New Roman" w:cs="Times New Roman"/>
                <w:sz w:val="20"/>
                <w:szCs w:val="20"/>
              </w:rPr>
              <w:t xml:space="preserve">В ходе исследования было выявлено, что увеличение количества экранов замедляет рост температуры стенки изоляции, продлевая процесс аккумулирования тепла и снижая тепловые потери. Моделирование также </w:t>
            </w:r>
            <w:r w:rsidRPr="00A506C3">
              <w:rPr>
                <w:rFonts w:ascii="Times New Roman" w:hAnsi="Times New Roman" w:cs="Times New Roman"/>
                <w:sz w:val="20"/>
                <w:szCs w:val="20"/>
              </w:rPr>
              <w:lastRenderedPageBreak/>
              <w:t>позволило спрогнозировать время выхода системы на стационарное состояние, что соответствует полному заряду теплового накопителя. Результаты показали, что при 12 экранах стационарное состояние наступает через 155 часов, тогда как при 3 экранах это время составляет около 202 часов.</w:t>
            </w:r>
            <w:r w:rsidR="00B103D7" w:rsidRPr="00A506C3">
              <w:rPr>
                <w:rFonts w:ascii="Times New Roman" w:hAnsi="Times New Roman" w:cs="Times New Roman"/>
                <w:sz w:val="20"/>
                <w:szCs w:val="20"/>
              </w:rPr>
              <w:t xml:space="preserve"> </w:t>
            </w:r>
            <w:r w:rsidRPr="00A506C3">
              <w:rPr>
                <w:rFonts w:ascii="Times New Roman" w:hAnsi="Times New Roman" w:cs="Times New Roman"/>
                <w:sz w:val="20"/>
                <w:szCs w:val="20"/>
              </w:rPr>
              <w:t>Предложенная методика моделирования позволяет оценивать тепловые характеристики накопителя и прогнозировать его поведение в различных режимах эксплуатации</w:t>
            </w:r>
          </w:p>
          <w:p w14:paraId="49D291A4" w14:textId="77777777" w:rsidR="00BE36D9" w:rsidRPr="00A506C3" w:rsidRDefault="00BE36D9" w:rsidP="00A506C3">
            <w:pPr>
              <w:rPr>
                <w:rFonts w:ascii="Times New Roman" w:hAnsi="Times New Roman" w:cs="Times New Roman"/>
                <w:sz w:val="20"/>
                <w:szCs w:val="20"/>
              </w:rPr>
            </w:pPr>
          </w:p>
          <w:p w14:paraId="2A363AB9" w14:textId="77777777" w:rsidR="007814CB" w:rsidRDefault="007814CB" w:rsidP="00A506C3">
            <w:pPr>
              <w:rPr>
                <w:rFonts w:ascii="Times New Roman" w:hAnsi="Times New Roman" w:cs="Times New Roman"/>
                <w:sz w:val="20"/>
                <w:szCs w:val="20"/>
              </w:rPr>
            </w:pPr>
            <w:r w:rsidRPr="00A506C3">
              <w:rPr>
                <w:rFonts w:ascii="Times New Roman" w:hAnsi="Times New Roman" w:cs="Times New Roman"/>
                <w:sz w:val="20"/>
                <w:szCs w:val="20"/>
              </w:rPr>
              <w:t xml:space="preserve">Ключевые слова: </w:t>
            </w:r>
            <w:r w:rsidR="00B103D7" w:rsidRPr="00A506C3">
              <w:rPr>
                <w:rFonts w:ascii="Times New Roman" w:hAnsi="Times New Roman" w:cs="Times New Roman"/>
                <w:sz w:val="20"/>
                <w:szCs w:val="20"/>
              </w:rPr>
              <w:t>ТЕПЛОВОЙ НАКОПИТЕЛЬ, ВЫСОКОТЕМПЕРАТУРНЫЙ ТЕПЛОНОСИТЕЛЬ, ОЛОВО, ТЕПЛИЧНОЕ ХОЗЯЙСТВО, ЧИСЛЕННОЕ МОДЕЛИРОВАНИЕ, SIMINTECH, ТЕПЛОИЗОЛЯЦИЯ, ВОЛЬФРАМОВЫЕ ЭКРАНЫ, ЭНЕРГИЯ</w:t>
            </w:r>
          </w:p>
          <w:p w14:paraId="6E99B658" w14:textId="77777777" w:rsidR="00A91451" w:rsidRDefault="00A91451" w:rsidP="00A506C3">
            <w:pPr>
              <w:rPr>
                <w:rFonts w:ascii="Times New Roman" w:hAnsi="Times New Roman" w:cs="Times New Roman"/>
                <w:sz w:val="20"/>
                <w:szCs w:val="20"/>
                <w:highlight w:val="yellow"/>
              </w:rPr>
            </w:pPr>
          </w:p>
          <w:p w14:paraId="243C709B" w14:textId="7A506FEA" w:rsidR="00A91451" w:rsidRPr="00A506C3" w:rsidRDefault="00A91451" w:rsidP="00A506C3">
            <w:pPr>
              <w:rPr>
                <w:rFonts w:ascii="Times New Roman" w:hAnsi="Times New Roman" w:cs="Times New Roman"/>
                <w:sz w:val="20"/>
                <w:szCs w:val="20"/>
                <w:highlight w:val="yellow"/>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rPr>
                <w:t>19</w:t>
              </w:r>
            </w:hyperlink>
            <w:r>
              <w:rPr>
                <w:rFonts w:ascii="Times New Roman" w:hAnsi="Times New Roman" w:cs="Times New Roman"/>
                <w:sz w:val="20"/>
                <w:szCs w:val="20"/>
              </w:rPr>
              <w:t xml:space="preserve"> </w:t>
            </w:r>
          </w:p>
        </w:tc>
        <w:tc>
          <w:tcPr>
            <w:tcW w:w="4530" w:type="dxa"/>
          </w:tcPr>
          <w:p w14:paraId="4F937B29" w14:textId="5CBEF56B" w:rsidR="001F45CC" w:rsidRDefault="001F45CC"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lastRenderedPageBreak/>
              <w:t>UD</w:t>
            </w:r>
            <w:r w:rsidR="00A64F7D">
              <w:rPr>
                <w:rFonts w:ascii="Times New Roman" w:hAnsi="Times New Roman" w:cs="Times New Roman"/>
                <w:sz w:val="20"/>
                <w:szCs w:val="20"/>
              </w:rPr>
              <w:t>С</w:t>
            </w:r>
            <w:r w:rsidR="00056E96" w:rsidRPr="00A506C3">
              <w:rPr>
                <w:rFonts w:ascii="Times New Roman" w:hAnsi="Times New Roman" w:cs="Times New Roman"/>
                <w:sz w:val="20"/>
                <w:szCs w:val="20"/>
                <w:lang w:val="en-US"/>
              </w:rPr>
              <w:t xml:space="preserve"> 621.928.6</w:t>
            </w:r>
          </w:p>
          <w:p w14:paraId="24D9EAAE" w14:textId="77777777" w:rsidR="00A64F7D" w:rsidRPr="00A506C3" w:rsidRDefault="00A64F7D" w:rsidP="00A506C3">
            <w:pPr>
              <w:rPr>
                <w:rFonts w:ascii="Times New Roman" w:hAnsi="Times New Roman" w:cs="Times New Roman"/>
                <w:sz w:val="20"/>
                <w:szCs w:val="20"/>
                <w:lang w:val="en-US"/>
              </w:rPr>
            </w:pPr>
          </w:p>
          <w:p w14:paraId="0037FD94" w14:textId="77777777" w:rsidR="00AC4E63" w:rsidRPr="00A506C3" w:rsidRDefault="00AC4E63"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4.3.1. Technologies, machinery and equipment for</w:t>
            </w:r>
          </w:p>
          <w:p w14:paraId="12C21F54" w14:textId="7F07D2B4" w:rsidR="00AC4E63" w:rsidRPr="00A506C3" w:rsidRDefault="00AC4E63"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the agro-industrial complex (technical sciences)</w:t>
            </w:r>
          </w:p>
          <w:p w14:paraId="63825B8B" w14:textId="0E56D9C4" w:rsidR="00AC4E63" w:rsidRPr="00A506C3" w:rsidRDefault="00AC4E63" w:rsidP="00A506C3">
            <w:pPr>
              <w:rPr>
                <w:rFonts w:ascii="Times New Roman" w:hAnsi="Times New Roman" w:cs="Times New Roman"/>
                <w:sz w:val="20"/>
                <w:szCs w:val="20"/>
                <w:highlight w:val="yellow"/>
                <w:lang w:val="en-US"/>
              </w:rPr>
            </w:pPr>
          </w:p>
          <w:p w14:paraId="34ECDA1E" w14:textId="77777777" w:rsidR="00B103D7" w:rsidRPr="00A506C3" w:rsidRDefault="00B103D7" w:rsidP="00A506C3">
            <w:pPr>
              <w:rPr>
                <w:rFonts w:ascii="Times New Roman" w:hAnsi="Times New Roman" w:cs="Times New Roman"/>
                <w:sz w:val="20"/>
                <w:szCs w:val="20"/>
                <w:highlight w:val="yellow"/>
                <w:lang w:val="en-US"/>
              </w:rPr>
            </w:pPr>
          </w:p>
          <w:p w14:paraId="49277815" w14:textId="4E7F75FC" w:rsidR="00425560" w:rsidRPr="00A506C3" w:rsidRDefault="00B103D7" w:rsidP="00A506C3">
            <w:pPr>
              <w:rPr>
                <w:rFonts w:ascii="Times New Roman" w:hAnsi="Times New Roman" w:cs="Times New Roman"/>
                <w:b/>
                <w:sz w:val="20"/>
                <w:szCs w:val="20"/>
                <w:highlight w:val="yellow"/>
                <w:lang w:val="en-US"/>
              </w:rPr>
            </w:pPr>
            <w:r w:rsidRPr="00A506C3">
              <w:rPr>
                <w:rFonts w:ascii="Times New Roman" w:hAnsi="Times New Roman" w:cs="Times New Roman"/>
                <w:b/>
                <w:sz w:val="20"/>
                <w:szCs w:val="20"/>
                <w:lang w:val="en-US"/>
              </w:rPr>
              <w:t>NUMERICAL MODELING OF THE HEATING PROCESS OF A THERMAL ENERGY STORAGE SYSTEM FOR GREENHOUSE FARMING</w:t>
            </w:r>
          </w:p>
          <w:p w14:paraId="65F01251" w14:textId="0ADE2E20" w:rsidR="0076376F" w:rsidRPr="00A506C3" w:rsidRDefault="0076376F" w:rsidP="00A506C3">
            <w:pPr>
              <w:rPr>
                <w:rFonts w:ascii="Times New Roman" w:hAnsi="Times New Roman" w:cs="Times New Roman"/>
                <w:sz w:val="20"/>
                <w:szCs w:val="20"/>
                <w:highlight w:val="yellow"/>
                <w:lang w:val="en-US"/>
              </w:rPr>
            </w:pPr>
          </w:p>
          <w:p w14:paraId="7E189D96" w14:textId="0EB74A91" w:rsidR="0043344A" w:rsidRPr="00A506C3" w:rsidRDefault="00975BF1" w:rsidP="00A506C3">
            <w:pPr>
              <w:rPr>
                <w:rFonts w:ascii="Times New Roman" w:hAnsi="Times New Roman" w:cs="Times New Roman"/>
                <w:sz w:val="20"/>
                <w:szCs w:val="20"/>
                <w:lang w:val="en-US"/>
              </w:rPr>
            </w:pPr>
            <w:proofErr w:type="spellStart"/>
            <w:r w:rsidRPr="00A506C3">
              <w:rPr>
                <w:rFonts w:ascii="Times New Roman" w:hAnsi="Times New Roman" w:cs="Times New Roman"/>
                <w:sz w:val="20"/>
                <w:szCs w:val="20"/>
                <w:lang w:val="en-US"/>
              </w:rPr>
              <w:t>Zinurov</w:t>
            </w:r>
            <w:proofErr w:type="spellEnd"/>
            <w:r w:rsidRPr="00A506C3">
              <w:rPr>
                <w:rFonts w:ascii="Times New Roman" w:hAnsi="Times New Roman" w:cs="Times New Roman"/>
                <w:sz w:val="20"/>
                <w:szCs w:val="20"/>
                <w:lang w:val="en-US"/>
              </w:rPr>
              <w:t xml:space="preserve"> Vadim </w:t>
            </w:r>
            <w:proofErr w:type="spellStart"/>
            <w:r w:rsidRPr="00A506C3">
              <w:rPr>
                <w:rFonts w:ascii="Times New Roman" w:hAnsi="Times New Roman" w:cs="Times New Roman"/>
                <w:sz w:val="20"/>
                <w:szCs w:val="20"/>
                <w:lang w:val="en-US"/>
              </w:rPr>
              <w:t>Eduardovich</w:t>
            </w:r>
            <w:proofErr w:type="spellEnd"/>
          </w:p>
          <w:p w14:paraId="50EF129A" w14:textId="77777777" w:rsidR="00975BF1" w:rsidRPr="00A506C3" w:rsidRDefault="00975BF1" w:rsidP="00A506C3">
            <w:pPr>
              <w:rPr>
                <w:rFonts w:ascii="Times New Roman" w:hAnsi="Times New Roman" w:cs="Times New Roman"/>
                <w:sz w:val="20"/>
                <w:szCs w:val="20"/>
                <w:lang w:val="en-US"/>
              </w:rPr>
            </w:pPr>
            <w:proofErr w:type="spellStart"/>
            <w:r w:rsidRPr="00A506C3">
              <w:rPr>
                <w:rFonts w:ascii="Times New Roman" w:hAnsi="Times New Roman" w:cs="Times New Roman"/>
                <w:sz w:val="20"/>
                <w:szCs w:val="20"/>
                <w:lang w:val="en-US"/>
              </w:rPr>
              <w:t>Cand.Tech.Sci</w:t>
            </w:r>
            <w:proofErr w:type="spellEnd"/>
            <w:r w:rsidRPr="00A506C3">
              <w:rPr>
                <w:rFonts w:ascii="Times New Roman" w:hAnsi="Times New Roman" w:cs="Times New Roman"/>
                <w:sz w:val="20"/>
                <w:szCs w:val="20"/>
                <w:lang w:val="en-US"/>
              </w:rPr>
              <w:t>.</w:t>
            </w:r>
          </w:p>
          <w:p w14:paraId="0DAB067A" w14:textId="414FB0E3" w:rsidR="002A2FE1" w:rsidRPr="00A506C3" w:rsidRDefault="002A2FE1"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 xml:space="preserve">RSCI SPIN-code: </w:t>
            </w:r>
            <w:r w:rsidR="00975BF1" w:rsidRPr="00A506C3">
              <w:rPr>
                <w:rFonts w:ascii="Times New Roman" w:hAnsi="Times New Roman" w:cs="Times New Roman"/>
                <w:sz w:val="20"/>
                <w:szCs w:val="20"/>
                <w:lang w:val="en-US"/>
              </w:rPr>
              <w:t>1564-3438</w:t>
            </w:r>
          </w:p>
          <w:p w14:paraId="75241E08" w14:textId="2E4DAF92" w:rsidR="002A2FE1" w:rsidRPr="00A506C3" w:rsidRDefault="002A2FE1" w:rsidP="00A506C3">
            <w:pPr>
              <w:rPr>
                <w:rFonts w:ascii="Times New Roman" w:hAnsi="Times New Roman" w:cs="Times New Roman"/>
                <w:i/>
                <w:sz w:val="20"/>
                <w:szCs w:val="20"/>
                <w:lang w:val="en-US"/>
              </w:rPr>
            </w:pPr>
            <w:r w:rsidRPr="00A506C3">
              <w:rPr>
                <w:rFonts w:ascii="Times New Roman" w:hAnsi="Times New Roman" w:cs="Times New Roman"/>
                <w:i/>
                <w:sz w:val="20"/>
                <w:szCs w:val="20"/>
                <w:lang w:val="en-US"/>
              </w:rPr>
              <w:t>Kazan State Power Engineering University</w:t>
            </w:r>
            <w:r w:rsidR="0043344A" w:rsidRPr="00A506C3">
              <w:rPr>
                <w:rFonts w:ascii="Times New Roman" w:hAnsi="Times New Roman" w:cs="Times New Roman"/>
                <w:i/>
                <w:sz w:val="20"/>
                <w:szCs w:val="20"/>
                <w:lang w:val="en-US"/>
              </w:rPr>
              <w:t>, Kazan, Russia</w:t>
            </w:r>
          </w:p>
          <w:p w14:paraId="25832BFE" w14:textId="05A0FD17" w:rsidR="002A2FE1" w:rsidRPr="00A506C3" w:rsidRDefault="002A2FE1" w:rsidP="00A506C3">
            <w:pPr>
              <w:rPr>
                <w:rFonts w:ascii="Times New Roman" w:hAnsi="Times New Roman" w:cs="Times New Roman"/>
                <w:sz w:val="20"/>
                <w:szCs w:val="20"/>
                <w:lang w:val="en-US"/>
              </w:rPr>
            </w:pPr>
          </w:p>
          <w:p w14:paraId="46DF8FB2" w14:textId="60AFF360" w:rsidR="00AD1D86" w:rsidRPr="00A506C3" w:rsidRDefault="00AD1D86"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 xml:space="preserve">Antonov Maksim </w:t>
            </w:r>
            <w:proofErr w:type="spellStart"/>
            <w:r w:rsidRPr="00A506C3">
              <w:rPr>
                <w:rFonts w:ascii="Times New Roman" w:hAnsi="Times New Roman" w:cs="Times New Roman"/>
                <w:sz w:val="20"/>
                <w:szCs w:val="20"/>
                <w:lang w:val="en-US"/>
              </w:rPr>
              <w:t>Aleksandrovich</w:t>
            </w:r>
            <w:proofErr w:type="spellEnd"/>
          </w:p>
          <w:p w14:paraId="53AB9916" w14:textId="5968E8DF" w:rsidR="00AC4E63" w:rsidRPr="00A506C3" w:rsidRDefault="00AD1D86"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Executive Director</w:t>
            </w:r>
          </w:p>
          <w:p w14:paraId="2CD85DCB" w14:textId="43F2E28D" w:rsidR="00AD1D86" w:rsidRPr="00A506C3" w:rsidRDefault="00AD1D86" w:rsidP="00A506C3">
            <w:pPr>
              <w:rPr>
                <w:rFonts w:ascii="Times New Roman" w:hAnsi="Times New Roman" w:cs="Times New Roman"/>
                <w:i/>
                <w:sz w:val="20"/>
                <w:szCs w:val="20"/>
                <w:lang w:val="en-US"/>
              </w:rPr>
            </w:pPr>
            <w:r w:rsidRPr="00A506C3">
              <w:rPr>
                <w:rFonts w:ascii="Times New Roman" w:hAnsi="Times New Roman" w:cs="Times New Roman"/>
                <w:i/>
                <w:sz w:val="20"/>
                <w:szCs w:val="20"/>
                <w:lang w:val="en-US"/>
              </w:rPr>
              <w:t>LLC "</w:t>
            </w:r>
            <w:proofErr w:type="spellStart"/>
            <w:r w:rsidRPr="00A506C3">
              <w:rPr>
                <w:rFonts w:ascii="Times New Roman" w:hAnsi="Times New Roman" w:cs="Times New Roman"/>
                <w:i/>
                <w:sz w:val="20"/>
                <w:szCs w:val="20"/>
                <w:lang w:val="en-US"/>
              </w:rPr>
              <w:t>Kayum</w:t>
            </w:r>
            <w:proofErr w:type="spellEnd"/>
            <w:r w:rsidRPr="00A506C3">
              <w:rPr>
                <w:rFonts w:ascii="Times New Roman" w:hAnsi="Times New Roman" w:cs="Times New Roman"/>
                <w:i/>
                <w:sz w:val="20"/>
                <w:szCs w:val="20"/>
                <w:lang w:val="en-US"/>
              </w:rPr>
              <w:t xml:space="preserve"> Edition", </w:t>
            </w:r>
            <w:proofErr w:type="spellStart"/>
            <w:r w:rsidRPr="00A506C3">
              <w:rPr>
                <w:rFonts w:ascii="Times New Roman" w:hAnsi="Times New Roman" w:cs="Times New Roman"/>
                <w:i/>
                <w:sz w:val="20"/>
                <w:szCs w:val="20"/>
                <w:lang w:val="en-US"/>
              </w:rPr>
              <w:t>Naberezhnye</w:t>
            </w:r>
            <w:proofErr w:type="spellEnd"/>
            <w:r w:rsidRPr="00A506C3">
              <w:rPr>
                <w:rFonts w:ascii="Times New Roman" w:hAnsi="Times New Roman" w:cs="Times New Roman"/>
                <w:i/>
                <w:sz w:val="20"/>
                <w:szCs w:val="20"/>
                <w:lang w:val="en-US"/>
              </w:rPr>
              <w:t xml:space="preserve"> </w:t>
            </w:r>
            <w:proofErr w:type="spellStart"/>
            <w:r w:rsidRPr="00A506C3">
              <w:rPr>
                <w:rFonts w:ascii="Times New Roman" w:hAnsi="Times New Roman" w:cs="Times New Roman"/>
                <w:i/>
                <w:sz w:val="20"/>
                <w:szCs w:val="20"/>
                <w:lang w:val="en-US"/>
              </w:rPr>
              <w:t>Chelny</w:t>
            </w:r>
            <w:proofErr w:type="spellEnd"/>
            <w:r w:rsidRPr="00A506C3">
              <w:rPr>
                <w:rFonts w:ascii="Times New Roman" w:hAnsi="Times New Roman" w:cs="Times New Roman"/>
                <w:i/>
                <w:sz w:val="20"/>
                <w:szCs w:val="20"/>
                <w:lang w:val="en-US"/>
              </w:rPr>
              <w:t>, Russia</w:t>
            </w:r>
          </w:p>
          <w:p w14:paraId="67C586FF" w14:textId="57EA0420" w:rsidR="00AF019D" w:rsidRPr="00A506C3" w:rsidRDefault="00AF019D" w:rsidP="00A506C3">
            <w:pPr>
              <w:rPr>
                <w:rFonts w:ascii="Times New Roman" w:hAnsi="Times New Roman" w:cs="Times New Roman"/>
                <w:sz w:val="20"/>
                <w:szCs w:val="20"/>
                <w:highlight w:val="yellow"/>
                <w:lang w:val="en-US"/>
              </w:rPr>
            </w:pPr>
          </w:p>
          <w:p w14:paraId="47AD35B6" w14:textId="77777777" w:rsidR="00AD1D86" w:rsidRPr="00A506C3" w:rsidRDefault="00AD1D86" w:rsidP="00A506C3">
            <w:pPr>
              <w:rPr>
                <w:rFonts w:ascii="Times New Roman" w:hAnsi="Times New Roman" w:cs="Times New Roman"/>
                <w:sz w:val="20"/>
                <w:szCs w:val="20"/>
                <w:highlight w:val="yellow"/>
                <w:lang w:val="en-US"/>
              </w:rPr>
            </w:pPr>
          </w:p>
          <w:p w14:paraId="5AAB9544" w14:textId="77777777" w:rsidR="00AD1D86" w:rsidRPr="00A506C3" w:rsidRDefault="00AD1D86" w:rsidP="00A506C3">
            <w:pPr>
              <w:rPr>
                <w:rFonts w:ascii="Times New Roman" w:hAnsi="Times New Roman" w:cs="Times New Roman"/>
                <w:sz w:val="20"/>
                <w:szCs w:val="20"/>
                <w:lang w:val="en-US"/>
              </w:rPr>
            </w:pPr>
            <w:proofErr w:type="spellStart"/>
            <w:r w:rsidRPr="00A506C3">
              <w:rPr>
                <w:rFonts w:ascii="Times New Roman" w:hAnsi="Times New Roman" w:cs="Times New Roman"/>
                <w:sz w:val="20"/>
                <w:szCs w:val="20"/>
                <w:lang w:val="en-US"/>
              </w:rPr>
              <w:t>Chadaev</w:t>
            </w:r>
            <w:proofErr w:type="spellEnd"/>
            <w:r w:rsidRPr="00A506C3">
              <w:rPr>
                <w:rFonts w:ascii="Times New Roman" w:hAnsi="Times New Roman" w:cs="Times New Roman"/>
                <w:sz w:val="20"/>
                <w:szCs w:val="20"/>
                <w:lang w:val="en-US"/>
              </w:rPr>
              <w:t xml:space="preserve"> Alexey </w:t>
            </w:r>
            <w:proofErr w:type="spellStart"/>
            <w:r w:rsidRPr="00A506C3">
              <w:rPr>
                <w:rFonts w:ascii="Times New Roman" w:hAnsi="Times New Roman" w:cs="Times New Roman"/>
                <w:sz w:val="20"/>
                <w:szCs w:val="20"/>
                <w:lang w:val="en-US"/>
              </w:rPr>
              <w:t>Nikolaevich</w:t>
            </w:r>
            <w:proofErr w:type="spellEnd"/>
          </w:p>
          <w:p w14:paraId="038A2C72" w14:textId="77777777" w:rsidR="00AD1D86" w:rsidRPr="00A506C3" w:rsidRDefault="00AD1D86"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Post graduate student</w:t>
            </w:r>
          </w:p>
          <w:p w14:paraId="7E7852B2" w14:textId="77777777" w:rsidR="00AD1D86" w:rsidRPr="00A506C3" w:rsidRDefault="00AD1D86" w:rsidP="00A506C3">
            <w:pPr>
              <w:rPr>
                <w:rFonts w:ascii="Times New Roman" w:hAnsi="Times New Roman" w:cs="Times New Roman"/>
                <w:i/>
                <w:sz w:val="20"/>
                <w:szCs w:val="20"/>
                <w:lang w:val="en-US"/>
              </w:rPr>
            </w:pPr>
            <w:r w:rsidRPr="00A506C3">
              <w:rPr>
                <w:rFonts w:ascii="Times New Roman" w:hAnsi="Times New Roman" w:cs="Times New Roman"/>
                <w:i/>
                <w:sz w:val="20"/>
                <w:szCs w:val="20"/>
                <w:lang w:val="en-US"/>
              </w:rPr>
              <w:t>Kazan National Research Technological</w:t>
            </w:r>
          </w:p>
          <w:p w14:paraId="69096FBF" w14:textId="77777777" w:rsidR="00AD1D86" w:rsidRPr="00A506C3" w:rsidRDefault="00AD1D86" w:rsidP="00A506C3">
            <w:pPr>
              <w:rPr>
                <w:rFonts w:ascii="Times New Roman" w:hAnsi="Times New Roman" w:cs="Times New Roman"/>
                <w:i/>
                <w:sz w:val="20"/>
                <w:szCs w:val="20"/>
                <w:lang w:val="en-US"/>
              </w:rPr>
            </w:pPr>
            <w:r w:rsidRPr="00A506C3">
              <w:rPr>
                <w:rFonts w:ascii="Times New Roman" w:hAnsi="Times New Roman" w:cs="Times New Roman"/>
                <w:i/>
                <w:sz w:val="20"/>
                <w:szCs w:val="20"/>
                <w:lang w:val="en-US"/>
              </w:rPr>
              <w:t>University, Kazan, Russia</w:t>
            </w:r>
          </w:p>
          <w:p w14:paraId="71615712" w14:textId="01E287FB" w:rsidR="00D12056" w:rsidRPr="00A506C3" w:rsidRDefault="00D12056" w:rsidP="00A506C3">
            <w:pPr>
              <w:rPr>
                <w:rFonts w:ascii="Times New Roman" w:hAnsi="Times New Roman" w:cs="Times New Roman"/>
                <w:sz w:val="20"/>
                <w:szCs w:val="20"/>
                <w:highlight w:val="yellow"/>
                <w:lang w:val="en-US"/>
              </w:rPr>
            </w:pPr>
          </w:p>
          <w:p w14:paraId="06DCCD99" w14:textId="06436540" w:rsidR="00AD1D86" w:rsidRPr="00A506C3" w:rsidRDefault="00AD1D86" w:rsidP="00A506C3">
            <w:pPr>
              <w:rPr>
                <w:rFonts w:ascii="Times New Roman" w:hAnsi="Times New Roman" w:cs="Times New Roman"/>
                <w:sz w:val="20"/>
                <w:szCs w:val="20"/>
                <w:lang w:val="en-US"/>
              </w:rPr>
            </w:pPr>
            <w:proofErr w:type="spellStart"/>
            <w:r w:rsidRPr="00A506C3">
              <w:rPr>
                <w:rFonts w:ascii="Times New Roman" w:hAnsi="Times New Roman" w:cs="Times New Roman"/>
                <w:sz w:val="20"/>
                <w:szCs w:val="20"/>
                <w:lang w:val="en-US"/>
              </w:rPr>
              <w:t>Аtly</w:t>
            </w:r>
            <w:proofErr w:type="spellEnd"/>
            <w:r w:rsidRPr="00A506C3">
              <w:rPr>
                <w:rFonts w:ascii="Times New Roman" w:hAnsi="Times New Roman" w:cs="Times New Roman"/>
                <w:sz w:val="20"/>
                <w:szCs w:val="20"/>
                <w:lang w:val="en-US"/>
              </w:rPr>
              <w:t xml:space="preserve"> Viktoriya </w:t>
            </w:r>
            <w:proofErr w:type="spellStart"/>
            <w:r w:rsidRPr="00A506C3">
              <w:rPr>
                <w:rFonts w:ascii="Times New Roman" w:hAnsi="Times New Roman" w:cs="Times New Roman"/>
                <w:sz w:val="20"/>
                <w:szCs w:val="20"/>
                <w:lang w:val="en-US"/>
              </w:rPr>
              <w:t>Salikhovna</w:t>
            </w:r>
            <w:proofErr w:type="spellEnd"/>
          </w:p>
          <w:p w14:paraId="7AE70E23" w14:textId="1B22A9B7" w:rsidR="00AD1D86" w:rsidRPr="00A506C3" w:rsidRDefault="00AD1D86"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Student</w:t>
            </w:r>
          </w:p>
          <w:p w14:paraId="2B857B66" w14:textId="77777777" w:rsidR="00AD1D86" w:rsidRPr="00A506C3" w:rsidRDefault="00AD1D86" w:rsidP="00A506C3">
            <w:pPr>
              <w:rPr>
                <w:rFonts w:ascii="Times New Roman" w:hAnsi="Times New Roman" w:cs="Times New Roman"/>
                <w:i/>
                <w:sz w:val="20"/>
                <w:szCs w:val="20"/>
                <w:lang w:val="en-US"/>
              </w:rPr>
            </w:pPr>
            <w:r w:rsidRPr="00A506C3">
              <w:rPr>
                <w:rFonts w:ascii="Times New Roman" w:hAnsi="Times New Roman" w:cs="Times New Roman"/>
                <w:i/>
                <w:sz w:val="20"/>
                <w:szCs w:val="20"/>
                <w:lang w:val="en-US"/>
              </w:rPr>
              <w:t>Kazan State Power Engineering University, Kazan, Russia</w:t>
            </w:r>
          </w:p>
          <w:p w14:paraId="6A875B22" w14:textId="65C014F9" w:rsidR="00AD1D86" w:rsidRPr="00A506C3" w:rsidRDefault="00AD1D86" w:rsidP="00A506C3">
            <w:pPr>
              <w:rPr>
                <w:rFonts w:ascii="Times New Roman" w:hAnsi="Times New Roman" w:cs="Times New Roman"/>
                <w:sz w:val="20"/>
                <w:szCs w:val="20"/>
                <w:highlight w:val="yellow"/>
                <w:lang w:val="en-US"/>
              </w:rPr>
            </w:pPr>
          </w:p>
          <w:p w14:paraId="65930CAE" w14:textId="27FC8BC2" w:rsidR="00994D05" w:rsidRPr="00A506C3" w:rsidRDefault="00B103D7" w:rsidP="00A506C3">
            <w:pPr>
              <w:rPr>
                <w:rFonts w:ascii="Times New Roman" w:hAnsi="Times New Roman" w:cs="Times New Roman"/>
                <w:sz w:val="20"/>
                <w:szCs w:val="20"/>
                <w:lang w:val="en-US"/>
              </w:rPr>
            </w:pPr>
            <w:r w:rsidRPr="00A506C3">
              <w:rPr>
                <w:rFonts w:ascii="Times New Roman" w:hAnsi="Times New Roman" w:cs="Times New Roman"/>
                <w:sz w:val="20"/>
                <w:szCs w:val="20"/>
                <w:lang w:val="en-US"/>
              </w:rPr>
              <w:t xml:space="preserve">Energy efficiency in greenhouse farming is becoming an increasingly important challenge due to rising energy costs and the need to transition to renewable energy sources. This article presents a numerical simulation of the heating process of a thermal energy storage system used to improve the energy efficiency of greenhouses. The thermal storage system consists of ultra-high-temperature ceramics and a multilayer insulation that includes tungsten screens and asbestos. The primary heat transfer fluid in the system is tin, circulating at a flow rate of 0.3 kg/s and an initial temperature of 1700°C. The simulation was carried out in the </w:t>
            </w:r>
            <w:proofErr w:type="spellStart"/>
            <w:r w:rsidRPr="00A506C3">
              <w:rPr>
                <w:rFonts w:ascii="Times New Roman" w:hAnsi="Times New Roman" w:cs="Times New Roman"/>
                <w:sz w:val="20"/>
                <w:szCs w:val="20"/>
                <w:lang w:val="en-US"/>
              </w:rPr>
              <w:t>SimInTech</w:t>
            </w:r>
            <w:proofErr w:type="spellEnd"/>
            <w:r w:rsidRPr="00A506C3">
              <w:rPr>
                <w:rFonts w:ascii="Times New Roman" w:hAnsi="Times New Roman" w:cs="Times New Roman"/>
                <w:sz w:val="20"/>
                <w:szCs w:val="20"/>
                <w:lang w:val="en-US"/>
              </w:rPr>
              <w:t xml:space="preserve"> software package using a two-dimensional axisymmetric model, which allowed for the consideration of heat losses and evaluation of the efficiency of different system configurations. Special attention was given to the number of tungsten screens providing thermal insulation. Three configurations were considered: with 3, 8, and 12 screens. The study revealed that increasing the number of screens slows down the rise in insulation wall temperature, extending the heat accumulation process and reducing heat losses. The simulation also enabled the prediction of the system's time to reach steady-state conditions, which corresponds to the full charging of the thermal storage system. The results showed that with 12 screens, the system reaches a steady state in 155 </w:t>
            </w:r>
            <w:r w:rsidRPr="00A506C3">
              <w:rPr>
                <w:rFonts w:ascii="Times New Roman" w:hAnsi="Times New Roman" w:cs="Times New Roman"/>
                <w:sz w:val="20"/>
                <w:szCs w:val="20"/>
                <w:lang w:val="en-US"/>
              </w:rPr>
              <w:lastRenderedPageBreak/>
              <w:t>hours, whereas with 3 screens, it takes about 202 hours. The proposed simulation methodology allows for the evaluation of the thermal performance of the storage system and forecasting its behavior under various operating conditions</w:t>
            </w:r>
          </w:p>
          <w:p w14:paraId="04D0BC77" w14:textId="77777777" w:rsidR="00994D05" w:rsidRPr="00A506C3" w:rsidRDefault="00994D05" w:rsidP="00A506C3">
            <w:pPr>
              <w:rPr>
                <w:rFonts w:ascii="Times New Roman" w:hAnsi="Times New Roman" w:cs="Times New Roman"/>
                <w:sz w:val="20"/>
                <w:szCs w:val="20"/>
                <w:highlight w:val="yellow"/>
                <w:lang w:val="en-US"/>
              </w:rPr>
            </w:pPr>
          </w:p>
          <w:p w14:paraId="25892522" w14:textId="77777777" w:rsidR="00994D05" w:rsidRPr="00A506C3" w:rsidRDefault="00994D05" w:rsidP="00A506C3">
            <w:pPr>
              <w:rPr>
                <w:rFonts w:ascii="Times New Roman" w:hAnsi="Times New Roman" w:cs="Times New Roman"/>
                <w:sz w:val="20"/>
                <w:szCs w:val="20"/>
                <w:highlight w:val="yellow"/>
                <w:lang w:val="en-US"/>
              </w:rPr>
            </w:pPr>
          </w:p>
          <w:p w14:paraId="6B5F44AE" w14:textId="7D78874A" w:rsidR="00994D05" w:rsidRPr="00A506C3" w:rsidRDefault="00994D05" w:rsidP="00A506C3">
            <w:pPr>
              <w:rPr>
                <w:rFonts w:ascii="Times New Roman" w:hAnsi="Times New Roman" w:cs="Times New Roman"/>
                <w:sz w:val="20"/>
                <w:szCs w:val="20"/>
                <w:highlight w:val="yellow"/>
                <w:lang w:val="en-US"/>
              </w:rPr>
            </w:pPr>
          </w:p>
          <w:p w14:paraId="13EB0C49" w14:textId="3B42FD4C" w:rsidR="00B103D7" w:rsidRPr="00A506C3" w:rsidRDefault="00B103D7" w:rsidP="00A506C3">
            <w:pPr>
              <w:rPr>
                <w:rFonts w:ascii="Times New Roman" w:hAnsi="Times New Roman" w:cs="Times New Roman"/>
                <w:sz w:val="20"/>
                <w:szCs w:val="20"/>
                <w:highlight w:val="yellow"/>
                <w:lang w:val="en-US"/>
              </w:rPr>
            </w:pPr>
          </w:p>
          <w:p w14:paraId="13FC2FF8" w14:textId="4CC8EB06" w:rsidR="00B103D7" w:rsidRPr="00A506C3" w:rsidRDefault="00B103D7" w:rsidP="00A506C3">
            <w:pPr>
              <w:rPr>
                <w:rFonts w:ascii="Times New Roman" w:hAnsi="Times New Roman" w:cs="Times New Roman"/>
                <w:sz w:val="20"/>
                <w:szCs w:val="20"/>
                <w:highlight w:val="yellow"/>
                <w:lang w:val="en-US"/>
              </w:rPr>
            </w:pPr>
          </w:p>
          <w:p w14:paraId="52ED2C48" w14:textId="77777777" w:rsidR="00B103D7" w:rsidRPr="00A506C3" w:rsidRDefault="00B103D7" w:rsidP="00A506C3">
            <w:pPr>
              <w:rPr>
                <w:rFonts w:ascii="Times New Roman" w:hAnsi="Times New Roman" w:cs="Times New Roman"/>
                <w:sz w:val="20"/>
                <w:szCs w:val="20"/>
                <w:highlight w:val="yellow"/>
                <w:lang w:val="en-US"/>
              </w:rPr>
            </w:pPr>
          </w:p>
          <w:p w14:paraId="2482BADC" w14:textId="77777777" w:rsidR="00994D05" w:rsidRPr="00A506C3" w:rsidRDefault="00994D05" w:rsidP="00A506C3">
            <w:pPr>
              <w:rPr>
                <w:rFonts w:ascii="Times New Roman" w:hAnsi="Times New Roman" w:cs="Times New Roman"/>
                <w:sz w:val="20"/>
                <w:szCs w:val="20"/>
                <w:lang w:val="en-US"/>
              </w:rPr>
            </w:pPr>
          </w:p>
          <w:p w14:paraId="3DB8BD7B" w14:textId="0980213D" w:rsidR="00D13166" w:rsidRPr="00A506C3" w:rsidRDefault="00D13166" w:rsidP="00A506C3">
            <w:pPr>
              <w:rPr>
                <w:rFonts w:ascii="Times New Roman" w:hAnsi="Times New Roman" w:cs="Times New Roman"/>
                <w:sz w:val="20"/>
                <w:szCs w:val="20"/>
                <w:highlight w:val="yellow"/>
                <w:lang w:val="en-US"/>
              </w:rPr>
            </w:pPr>
            <w:r w:rsidRPr="00A506C3">
              <w:rPr>
                <w:rFonts w:ascii="Times New Roman" w:hAnsi="Times New Roman" w:cs="Times New Roman"/>
                <w:sz w:val="20"/>
                <w:szCs w:val="20"/>
                <w:lang w:val="en-US"/>
              </w:rPr>
              <w:t xml:space="preserve">Keywords: </w:t>
            </w:r>
            <w:r w:rsidR="00B103D7" w:rsidRPr="00A506C3">
              <w:rPr>
                <w:rFonts w:ascii="Times New Roman" w:hAnsi="Times New Roman" w:cs="Times New Roman"/>
                <w:sz w:val="20"/>
                <w:szCs w:val="20"/>
                <w:lang w:val="en-US"/>
              </w:rPr>
              <w:t>THERMAL ENERGY STORAGE, HIGH-TEMPERATURE HEAT TRANSFER FLUID, TIN, GREENHOUSE FARMING, NUMERICAL MODELING, SIMINTECH, THERMAL INSULATION, TUNGSTEN SCREENS, ENERGY</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567F3BEE" w14:textId="2429AB68" w:rsidR="002A2DA7" w:rsidRPr="002A2DA7" w:rsidRDefault="006B3AB7" w:rsidP="002A2DA7">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2A2DA7" w:rsidRPr="002A2DA7">
        <w:rPr>
          <w:rFonts w:ascii="Times New Roman" w:hAnsi="Times New Roman" w:cs="Times New Roman"/>
          <w:sz w:val="28"/>
          <w:szCs w:val="28"/>
        </w:rPr>
        <w:t>Энергетическая эффективность в сельском хозяйстве является одним из ключевых аспектов, влияющих на рентабельность и устойчивость агропромышленных предприятий. Увеличение спроса на тепличные комплексы диктует необходимость поиска новых подходов к энергообеспечению, учитывающих сезонные колебания и погодные условия. В связи с этим разработка решений для аккумулирования тепловой энергии становится важным направлением исследований. Это связано с тем, что стабильное поддержание температурного режима в теплицах позволяет увеличивать урожайность и продлевать вегетационный период, что особенно актуально для регионов с суровым климатом.</w:t>
      </w:r>
    </w:p>
    <w:p w14:paraId="6A2B0EDF" w14:textId="77777777" w:rsidR="002A2DA7" w:rsidRPr="002A2DA7" w:rsidRDefault="002A2DA7" w:rsidP="002A2DA7">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t xml:space="preserve">Традиционные методы поддержания температуры в тепличных хозяйствах включают в себя использование углеводородного топлива и электроэнергии, однако растущие затраты на энергоресурсы и их воздействие на окружающую среду подталкивают к внедрению альтернативных технологий. В этом контексте тепловые накопители играют ключевую роль, обеспечивая возможность хранения избыточной энергии и её использования в периоды повышенной потребности. </w:t>
      </w:r>
      <w:r w:rsidRPr="002A2DA7">
        <w:rPr>
          <w:rFonts w:ascii="Times New Roman" w:hAnsi="Times New Roman" w:cs="Times New Roman"/>
          <w:sz w:val="28"/>
          <w:szCs w:val="28"/>
        </w:rPr>
        <w:lastRenderedPageBreak/>
        <w:t>Применение таких технологий позволяет значительно снизить затраты на отопление и повысить экологическую безопасность тепличных хозяйств.</w:t>
      </w:r>
    </w:p>
    <w:p w14:paraId="10E6730E" w14:textId="77777777" w:rsidR="002A2DA7" w:rsidRPr="002A2DA7" w:rsidRDefault="002A2DA7" w:rsidP="002A2DA7">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t>Эффективное управление ресурсами, включая теплоэнергию, напрямую связано с возможностями снижения эксплуатационных расходов и повышения общей производительности сельскохозяйственных объектов. Современные разработки в области накопления тепловой энергии предлагают инновационные подходы, позволяющие аккумулировать и рационально использовать энергию, создавая потенциал для более широкого внедрения в различных областях агропромышленного комплекса.</w:t>
      </w:r>
    </w:p>
    <w:p w14:paraId="7A1C3E80" w14:textId="7D1F0E34" w:rsidR="002A2DA7" w:rsidRPr="002A2DA7" w:rsidRDefault="00F36967" w:rsidP="002A2DA7">
      <w:pPr>
        <w:spacing w:after="0" w:line="360" w:lineRule="auto"/>
        <w:ind w:firstLine="709"/>
        <w:jc w:val="both"/>
        <w:rPr>
          <w:rFonts w:ascii="Times New Roman" w:hAnsi="Times New Roman" w:cs="Times New Roman"/>
          <w:b/>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b/>
          <w:sz w:val="28"/>
          <w:szCs w:val="28"/>
        </w:rPr>
        <w:t xml:space="preserve"> </w:t>
      </w:r>
      <w:r w:rsidR="002A2DA7" w:rsidRPr="002A2DA7">
        <w:rPr>
          <w:rFonts w:ascii="Times New Roman" w:hAnsi="Times New Roman" w:cs="Times New Roman"/>
          <w:sz w:val="28"/>
          <w:szCs w:val="28"/>
        </w:rPr>
        <w:t>Исследования в области накопления тепловой энергии для нужд сельского хозяйства начали активно развиваться в последние десятилетия, в связи с потребностью в повышении энергоэффективности и снижении зависимости от традиционных источников топлива. Основное внимание уделяется поиску и созданию материалов и технологий, способных накапливать тепло с минимальными потерями и эффективно его распределять по заданным областям. Такие системы позволяют поддерживать оптимальные условия для роста растений в теплицах, что особенно важно для регионов с переменным климатом.</w:t>
      </w:r>
    </w:p>
    <w:p w14:paraId="361B4C1B" w14:textId="0D8C8A33" w:rsidR="002A2DA7" w:rsidRPr="002A2DA7" w:rsidRDefault="002A2DA7" w:rsidP="002A2DA7">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t>Тепловые накопители нашли широкое применение в различных отраслях, включая промышленное производство и энергетику, однако их адаптация для нужд сельского хозяйства требует учета специфики работы тепличных комплексов. Оптимизация процессов аккумулирования и передачи тепла, выбор материалов, способных выдерживать экстремальные температуры, а также разработка эффективных схем циркуляции теплоносителей – это задачи, которые продолжают оставаться в центре научных и инженерных исследований</w:t>
      </w:r>
      <w:r>
        <w:rPr>
          <w:rFonts w:ascii="Times New Roman" w:hAnsi="Times New Roman" w:cs="Times New Roman"/>
          <w:sz w:val="28"/>
          <w:szCs w:val="28"/>
        </w:rPr>
        <w:t xml:space="preserve"> </w:t>
      </w:r>
      <w:r w:rsidRPr="002A2DA7">
        <w:rPr>
          <w:rFonts w:ascii="Times New Roman" w:hAnsi="Times New Roman" w:cs="Times New Roman"/>
          <w:sz w:val="28"/>
          <w:szCs w:val="28"/>
        </w:rPr>
        <w:t>[1].</w:t>
      </w:r>
    </w:p>
    <w:p w14:paraId="4A279F96" w14:textId="77777777" w:rsidR="002A2DA7" w:rsidRPr="002A2DA7" w:rsidRDefault="002A2DA7" w:rsidP="002A2DA7">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lastRenderedPageBreak/>
        <w:t>Наряду с этим, актуальность проблемы связана с экологическими и экономическими вызовами. Постоянный рост цен на энергоносители стимулирует поиск решений, которые позволят использовать возобновляемые источники энергии, такие как солнечные и геотермальные системы. В сочетании с тепловыми накопителями они способны создать устойчивую и экологически чистую систему энергообеспечения для тепличных хозяйств. Достижения в данной области открывают новые возможности для повышения конкурентоспособности агропромышленного сектора и улучшения экологической ситуации.</w:t>
      </w:r>
    </w:p>
    <w:p w14:paraId="5BF8E048" w14:textId="0FF68C8E" w:rsidR="002A2DA7" w:rsidRDefault="002A2DA7" w:rsidP="002A2DA7">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t>Применение доступных технологий накопления тепла позволяет повысить независимость от внешних поставщиков энергии и увеличить рентабельность хозяйственной деятельности, особенно в удалённых регионах с ограниченным доступом к традиционным источникам энергии.</w:t>
      </w:r>
    </w:p>
    <w:p w14:paraId="21C96728" w14:textId="2A06CBB3" w:rsidR="002A0A92" w:rsidRPr="00BA6C32" w:rsidRDefault="004E2EA5" w:rsidP="002A0A92">
      <w:pPr>
        <w:spacing w:after="0" w:line="360" w:lineRule="auto"/>
        <w:jc w:val="center"/>
        <w:rPr>
          <w:rFonts w:ascii="Times New Roman" w:hAnsi="Times New Roman" w:cs="Times New Roman"/>
          <w:color w:val="000000" w:themeColor="text1"/>
          <w:sz w:val="28"/>
          <w:szCs w:val="28"/>
        </w:rPr>
      </w:pPr>
      <w:r w:rsidRPr="004E2EA5">
        <w:rPr>
          <w:noProof/>
          <w:lang w:val="en-US"/>
        </w:rPr>
        <w:drawing>
          <wp:inline distT="0" distB="0" distL="0" distR="0" wp14:anchorId="5CA179C8" wp14:editId="4E860ADF">
            <wp:extent cx="1451227" cy="219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1227" cy="2196000"/>
                    </a:xfrm>
                    <a:prstGeom prst="rect">
                      <a:avLst/>
                    </a:prstGeom>
                    <a:noFill/>
                    <a:ln>
                      <a:noFill/>
                    </a:ln>
                  </pic:spPr>
                </pic:pic>
              </a:graphicData>
            </a:graphic>
          </wp:inline>
        </w:drawing>
      </w:r>
    </w:p>
    <w:p w14:paraId="46872566" w14:textId="613FAEF2" w:rsidR="002A0A92" w:rsidRPr="004E2EA5" w:rsidRDefault="002A0A92" w:rsidP="002A0A92">
      <w:pPr>
        <w:spacing w:after="0" w:line="360" w:lineRule="auto"/>
        <w:jc w:val="center"/>
        <w:rPr>
          <w:rFonts w:ascii="Times New Roman" w:hAnsi="Times New Roman" w:cs="Times New Roman"/>
          <w:bCs/>
          <w:color w:val="000000" w:themeColor="text1"/>
          <w:sz w:val="24"/>
          <w:szCs w:val="24"/>
        </w:rPr>
      </w:pPr>
      <w:r w:rsidRPr="00BA6C32">
        <w:rPr>
          <w:rFonts w:ascii="Times New Roman" w:hAnsi="Times New Roman" w:cs="Times New Roman"/>
          <w:color w:val="000000" w:themeColor="text1"/>
          <w:sz w:val="24"/>
          <w:szCs w:val="24"/>
        </w:rPr>
        <w:t xml:space="preserve">Рисунок 1 – </w:t>
      </w:r>
      <w:r w:rsidR="004E2EA5">
        <w:rPr>
          <w:rFonts w:ascii="Times New Roman" w:hAnsi="Times New Roman" w:cs="Times New Roman"/>
          <w:color w:val="000000" w:themeColor="text1"/>
          <w:sz w:val="24"/>
          <w:szCs w:val="24"/>
        </w:rPr>
        <w:t>Тепловой накопитель энергии (</w:t>
      </w:r>
      <w:r w:rsidR="004E2EA5">
        <w:rPr>
          <w:rFonts w:ascii="Times New Roman" w:hAnsi="Times New Roman" w:cs="Times New Roman"/>
          <w:color w:val="000000" w:themeColor="text1"/>
          <w:sz w:val="24"/>
          <w:szCs w:val="24"/>
          <w:lang w:val="en-US"/>
        </w:rPr>
        <w:t>TES</w:t>
      </w:r>
      <w:r w:rsidR="004E2EA5">
        <w:rPr>
          <w:rFonts w:ascii="Times New Roman" w:hAnsi="Times New Roman" w:cs="Times New Roman"/>
          <w:color w:val="000000" w:themeColor="text1"/>
          <w:sz w:val="24"/>
          <w:szCs w:val="24"/>
        </w:rPr>
        <w:t>)</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1</w:t>
      </w:r>
      <w:r w:rsidR="004E2EA5">
        <w:rPr>
          <w:rFonts w:ascii="Times New Roman" w:hAnsi="Times New Roman" w:cs="Times New Roman"/>
          <w:color w:val="000000" w:themeColor="text1"/>
          <w:sz w:val="24"/>
          <w:szCs w:val="24"/>
        </w:rPr>
        <w:t> – теплоноситель</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2</w:t>
      </w:r>
      <w:r w:rsidR="004E2EA5">
        <w:rPr>
          <w:rFonts w:ascii="Times New Roman" w:hAnsi="Times New Roman" w:cs="Times New Roman"/>
          <w:color w:val="000000" w:themeColor="text1"/>
          <w:sz w:val="24"/>
          <w:szCs w:val="24"/>
        </w:rPr>
        <w:t> – канал</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3</w:t>
      </w:r>
      <w:r w:rsidR="004E2EA5">
        <w:rPr>
          <w:rFonts w:ascii="Times New Roman" w:hAnsi="Times New Roman" w:cs="Times New Roman"/>
          <w:color w:val="000000" w:themeColor="text1"/>
          <w:sz w:val="24"/>
          <w:szCs w:val="24"/>
        </w:rPr>
        <w:t> – аккумулятор тепловой энергии</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4</w:t>
      </w:r>
      <w:r w:rsidR="004E2EA5">
        <w:rPr>
          <w:rFonts w:ascii="Times New Roman" w:hAnsi="Times New Roman" w:cs="Times New Roman"/>
          <w:color w:val="000000" w:themeColor="text1"/>
          <w:sz w:val="24"/>
          <w:szCs w:val="24"/>
        </w:rPr>
        <w:t> – корпус</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5</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6</w:t>
      </w:r>
      <w:r w:rsidR="004E2EA5">
        <w:rPr>
          <w:rFonts w:ascii="Times New Roman" w:hAnsi="Times New Roman" w:cs="Times New Roman"/>
          <w:color w:val="000000" w:themeColor="text1"/>
          <w:sz w:val="24"/>
          <w:szCs w:val="24"/>
        </w:rPr>
        <w:t> – слои теплоизоляции</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7</w:t>
      </w:r>
      <w:r w:rsidR="004E2EA5">
        <w:rPr>
          <w:rFonts w:ascii="Times New Roman" w:hAnsi="Times New Roman" w:cs="Times New Roman"/>
          <w:color w:val="000000" w:themeColor="text1"/>
          <w:sz w:val="24"/>
          <w:szCs w:val="24"/>
        </w:rPr>
        <w:t> – обечайка</w:t>
      </w:r>
      <w:r w:rsidR="004E2EA5" w:rsidRPr="004E2EA5">
        <w:rPr>
          <w:rFonts w:ascii="Times New Roman" w:hAnsi="Times New Roman" w:cs="Times New Roman"/>
          <w:color w:val="000000" w:themeColor="text1"/>
          <w:sz w:val="24"/>
          <w:szCs w:val="24"/>
        </w:rPr>
        <w:t>;</w:t>
      </w:r>
      <w:r w:rsidR="004E2EA5">
        <w:rPr>
          <w:rFonts w:ascii="Times New Roman" w:hAnsi="Times New Roman" w:cs="Times New Roman"/>
          <w:color w:val="000000" w:themeColor="text1"/>
          <w:sz w:val="24"/>
          <w:szCs w:val="24"/>
        </w:rPr>
        <w:t xml:space="preserve"> </w:t>
      </w:r>
      <w:r w:rsidR="004E2EA5">
        <w:rPr>
          <w:rFonts w:ascii="Times New Roman" w:hAnsi="Times New Roman" w:cs="Times New Roman"/>
          <w:i/>
          <w:color w:val="000000" w:themeColor="text1"/>
          <w:sz w:val="24"/>
          <w:szCs w:val="24"/>
        </w:rPr>
        <w:t>8</w:t>
      </w:r>
      <w:r w:rsidR="004E2EA5">
        <w:rPr>
          <w:rFonts w:ascii="Times New Roman" w:hAnsi="Times New Roman" w:cs="Times New Roman"/>
          <w:color w:val="000000" w:themeColor="text1"/>
          <w:sz w:val="24"/>
          <w:szCs w:val="24"/>
        </w:rPr>
        <w:t> – патрубок</w:t>
      </w:r>
    </w:p>
    <w:p w14:paraId="4370E4DA" w14:textId="04533EEF" w:rsidR="00F36967" w:rsidRDefault="00F36967" w:rsidP="009C7156">
      <w:pPr>
        <w:spacing w:after="0" w:line="360" w:lineRule="auto"/>
        <w:ind w:firstLine="709"/>
        <w:jc w:val="center"/>
        <w:rPr>
          <w:rFonts w:ascii="Times New Roman" w:hAnsi="Times New Roman" w:cs="Times New Roman"/>
          <w:sz w:val="28"/>
          <w:szCs w:val="28"/>
        </w:rPr>
      </w:pPr>
    </w:p>
    <w:p w14:paraId="386578CA" w14:textId="77777777" w:rsidR="004D17ED" w:rsidRPr="002A2DA7" w:rsidRDefault="004D17ED" w:rsidP="004D17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статье предлагается накопитель энергии, представленный на рисунке 1. Его работа основана на </w:t>
      </w:r>
      <w:proofErr w:type="spellStart"/>
      <w:r w:rsidRPr="002A2DA7">
        <w:rPr>
          <w:rFonts w:ascii="Times New Roman" w:hAnsi="Times New Roman" w:cs="Times New Roman"/>
          <w:sz w:val="28"/>
          <w:szCs w:val="28"/>
        </w:rPr>
        <w:t>на</w:t>
      </w:r>
      <w:proofErr w:type="spellEnd"/>
      <w:r w:rsidRPr="002A2DA7">
        <w:rPr>
          <w:rFonts w:ascii="Times New Roman" w:hAnsi="Times New Roman" w:cs="Times New Roman"/>
          <w:sz w:val="28"/>
          <w:szCs w:val="28"/>
        </w:rPr>
        <w:t xml:space="preserve"> использовании высокотемпературного теплоносителя (олово) и материалов, способных выдерживать экстремальные температуры. Основной элемент системы </w:t>
      </w:r>
      <w:r>
        <w:rPr>
          <w:rFonts w:ascii="Times New Roman" w:hAnsi="Times New Roman" w:cs="Times New Roman"/>
          <w:sz w:val="28"/>
          <w:szCs w:val="28"/>
        </w:rPr>
        <w:t>–</w:t>
      </w:r>
      <w:r w:rsidRPr="002A2DA7">
        <w:rPr>
          <w:rFonts w:ascii="Times New Roman" w:hAnsi="Times New Roman" w:cs="Times New Roman"/>
          <w:sz w:val="28"/>
          <w:szCs w:val="28"/>
        </w:rPr>
        <w:t xml:space="preserve">теплоаккумулятор, выполненный из сверхвысокотемпературной керамики, </w:t>
      </w:r>
      <w:r w:rsidRPr="002A2DA7">
        <w:rPr>
          <w:rFonts w:ascii="Times New Roman" w:hAnsi="Times New Roman" w:cs="Times New Roman"/>
          <w:sz w:val="28"/>
          <w:szCs w:val="28"/>
        </w:rPr>
        <w:lastRenderedPageBreak/>
        <w:t xml:space="preserve">который аккумулирует тепло и медленно его отдает, обеспечивая стабильную работу системы даже при циклических нагрузках. Внутри накопителя расположены два слоя теплоизоляции: первый слой — экраны из вольфрама с аргоном, предотвращающие тепловое излучение и окисление; второй </w:t>
      </w:r>
      <w:r>
        <w:rPr>
          <w:rFonts w:ascii="Times New Roman" w:hAnsi="Times New Roman" w:cs="Times New Roman"/>
          <w:sz w:val="28"/>
          <w:szCs w:val="28"/>
        </w:rPr>
        <w:t>–</w:t>
      </w:r>
      <w:r w:rsidRPr="002A2DA7">
        <w:rPr>
          <w:rFonts w:ascii="Times New Roman" w:hAnsi="Times New Roman" w:cs="Times New Roman"/>
          <w:sz w:val="28"/>
          <w:szCs w:val="28"/>
        </w:rPr>
        <w:t xml:space="preserve"> асбестовый, сохраняющий тепло и выдерживающий высокие температуры.</w:t>
      </w:r>
    </w:p>
    <w:p w14:paraId="70DFBE05" w14:textId="03825386" w:rsidR="002A2DA7" w:rsidRDefault="002A2DA7" w:rsidP="00546B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Авторами предлагается использовать накопитель энергии (рис. 1) в схеме (рис. 2) для обогрева тепличного хозяйства. </w:t>
      </w:r>
    </w:p>
    <w:p w14:paraId="304987C6" w14:textId="79201E32" w:rsidR="004E2EA5" w:rsidRPr="00BA6C32" w:rsidRDefault="004E2EA5" w:rsidP="004E2EA5">
      <w:pPr>
        <w:spacing w:after="0" w:line="360" w:lineRule="auto"/>
        <w:jc w:val="center"/>
        <w:rPr>
          <w:rFonts w:ascii="Times New Roman" w:hAnsi="Times New Roman" w:cs="Times New Roman"/>
          <w:color w:val="000000" w:themeColor="text1"/>
          <w:sz w:val="28"/>
          <w:szCs w:val="28"/>
        </w:rPr>
      </w:pPr>
      <w:r w:rsidRPr="004E2EA5">
        <w:rPr>
          <w:noProof/>
          <w:lang w:val="en-US"/>
        </w:rPr>
        <w:drawing>
          <wp:inline distT="0" distB="0" distL="0" distR="0" wp14:anchorId="55810745" wp14:editId="033A871C">
            <wp:extent cx="3043125" cy="1800000"/>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3125" cy="1800000"/>
                    </a:xfrm>
                    <a:prstGeom prst="rect">
                      <a:avLst/>
                    </a:prstGeom>
                    <a:noFill/>
                    <a:ln>
                      <a:noFill/>
                    </a:ln>
                  </pic:spPr>
                </pic:pic>
              </a:graphicData>
            </a:graphic>
          </wp:inline>
        </w:drawing>
      </w:r>
    </w:p>
    <w:p w14:paraId="0FEA9412" w14:textId="19A245B2" w:rsidR="004E2EA5" w:rsidRPr="004E2EA5" w:rsidRDefault="004E2EA5" w:rsidP="004E2EA5">
      <w:pPr>
        <w:spacing w:after="0" w:line="360" w:lineRule="auto"/>
        <w:jc w:val="center"/>
        <w:rPr>
          <w:rFonts w:ascii="Times New Roman" w:hAnsi="Times New Roman" w:cs="Times New Roman"/>
          <w:bCs/>
          <w:color w:val="000000" w:themeColor="text1"/>
          <w:sz w:val="24"/>
          <w:szCs w:val="24"/>
        </w:rPr>
      </w:pPr>
      <w:r w:rsidRPr="00BA6C32">
        <w:rPr>
          <w:rFonts w:ascii="Times New Roman" w:hAnsi="Times New Roman" w:cs="Times New Roman"/>
          <w:color w:val="000000" w:themeColor="text1"/>
          <w:sz w:val="24"/>
          <w:szCs w:val="24"/>
        </w:rPr>
        <w:t xml:space="preserve">Рисунок </w:t>
      </w:r>
      <w:r>
        <w:rPr>
          <w:rFonts w:ascii="Times New Roman" w:hAnsi="Times New Roman" w:cs="Times New Roman"/>
          <w:color w:val="000000" w:themeColor="text1"/>
          <w:sz w:val="24"/>
          <w:szCs w:val="24"/>
        </w:rPr>
        <w:t>2</w:t>
      </w:r>
      <w:r w:rsidRPr="00BA6C32">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 xml:space="preserve">Применение </w:t>
      </w:r>
      <w:r>
        <w:rPr>
          <w:rFonts w:ascii="Times New Roman" w:hAnsi="Times New Roman" w:cs="Times New Roman"/>
          <w:color w:val="000000" w:themeColor="text1"/>
          <w:sz w:val="24"/>
          <w:szCs w:val="24"/>
          <w:lang w:val="en-US"/>
        </w:rPr>
        <w:t>TES</w:t>
      </w:r>
      <w:r>
        <w:rPr>
          <w:rFonts w:ascii="Times New Roman" w:hAnsi="Times New Roman" w:cs="Times New Roman"/>
          <w:color w:val="000000" w:themeColor="text1"/>
          <w:sz w:val="24"/>
          <w:szCs w:val="24"/>
        </w:rPr>
        <w:t xml:space="preserve"> для обогрева тепличного хозяйства</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1</w:t>
      </w:r>
      <w:r>
        <w:rPr>
          <w:rFonts w:ascii="Times New Roman" w:hAnsi="Times New Roman" w:cs="Times New Roman"/>
          <w:color w:val="000000" w:themeColor="text1"/>
          <w:sz w:val="24"/>
          <w:szCs w:val="24"/>
        </w:rPr>
        <w:t> – грунт</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2</w:t>
      </w:r>
      <w:r>
        <w:rPr>
          <w:rFonts w:ascii="Times New Roman" w:hAnsi="Times New Roman" w:cs="Times New Roman"/>
          <w:color w:val="000000" w:themeColor="text1"/>
          <w:sz w:val="24"/>
          <w:szCs w:val="24"/>
        </w:rPr>
        <w:t> – тепличное хозяйство</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3</w:t>
      </w:r>
      <w:r>
        <w:rPr>
          <w:rFonts w:ascii="Times New Roman" w:hAnsi="Times New Roman" w:cs="Times New Roman"/>
          <w:color w:val="000000" w:themeColor="text1"/>
          <w:sz w:val="24"/>
          <w:szCs w:val="24"/>
        </w:rPr>
        <w:t> – солнечные батареи</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4</w:t>
      </w:r>
      <w:r>
        <w:rPr>
          <w:rFonts w:ascii="Times New Roman" w:hAnsi="Times New Roman" w:cs="Times New Roman"/>
          <w:color w:val="000000" w:themeColor="text1"/>
          <w:sz w:val="24"/>
          <w:szCs w:val="24"/>
        </w:rPr>
        <w:t> – тепловые трубы</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5 – </w:t>
      </w:r>
      <w:r>
        <w:rPr>
          <w:rFonts w:ascii="Times New Roman" w:hAnsi="Times New Roman" w:cs="Times New Roman"/>
          <w:color w:val="000000" w:themeColor="text1"/>
          <w:sz w:val="24"/>
          <w:szCs w:val="24"/>
          <w:lang w:val="en-US"/>
        </w:rPr>
        <w:t>TES</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6</w:t>
      </w:r>
      <w:r>
        <w:rPr>
          <w:rFonts w:ascii="Times New Roman" w:hAnsi="Times New Roman" w:cs="Times New Roman"/>
          <w:color w:val="000000" w:themeColor="text1"/>
          <w:sz w:val="24"/>
          <w:szCs w:val="24"/>
        </w:rPr>
        <w:t> – олово</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7</w:t>
      </w:r>
      <w:r>
        <w:rPr>
          <w:rFonts w:ascii="Times New Roman" w:hAnsi="Times New Roman" w:cs="Times New Roman"/>
          <w:color w:val="000000" w:themeColor="text1"/>
          <w:sz w:val="24"/>
          <w:szCs w:val="24"/>
        </w:rPr>
        <w:t xml:space="preserve"> – МГД насос и </w:t>
      </w:r>
      <w:proofErr w:type="spellStart"/>
      <w:r>
        <w:rPr>
          <w:rFonts w:ascii="Times New Roman" w:hAnsi="Times New Roman" w:cs="Times New Roman"/>
          <w:color w:val="000000" w:themeColor="text1"/>
          <w:sz w:val="24"/>
          <w:szCs w:val="24"/>
        </w:rPr>
        <w:t>ТЭНы</w:t>
      </w:r>
      <w:proofErr w:type="spellEnd"/>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8</w:t>
      </w:r>
      <w:r>
        <w:rPr>
          <w:rFonts w:ascii="Times New Roman" w:hAnsi="Times New Roman" w:cs="Times New Roman"/>
          <w:color w:val="000000" w:themeColor="text1"/>
          <w:sz w:val="24"/>
          <w:szCs w:val="24"/>
        </w:rPr>
        <w:t> – теплообменный аппарат</w:t>
      </w:r>
      <w:r w:rsidRPr="004E2EA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9</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10</w:t>
      </w:r>
      <w:r>
        <w:rPr>
          <w:rFonts w:ascii="Times New Roman" w:hAnsi="Times New Roman" w:cs="Times New Roman"/>
          <w:color w:val="000000" w:themeColor="text1"/>
          <w:sz w:val="24"/>
          <w:szCs w:val="24"/>
        </w:rPr>
        <w:t> – трубы для циркуляции воды и пара соответственно</w:t>
      </w:r>
    </w:p>
    <w:p w14:paraId="6A66D2A1" w14:textId="05AB69CC" w:rsidR="004E2EA5" w:rsidRDefault="004E2EA5" w:rsidP="004E2EA5">
      <w:pPr>
        <w:spacing w:after="0" w:line="360" w:lineRule="auto"/>
        <w:ind w:firstLine="709"/>
        <w:jc w:val="center"/>
        <w:rPr>
          <w:rFonts w:ascii="Times New Roman" w:hAnsi="Times New Roman" w:cs="Times New Roman"/>
          <w:sz w:val="28"/>
          <w:szCs w:val="28"/>
        </w:rPr>
      </w:pPr>
    </w:p>
    <w:p w14:paraId="1C065B87" w14:textId="1FC321F3" w:rsidR="004E2EA5" w:rsidRDefault="00313ECB" w:rsidP="00546B4F">
      <w:pPr>
        <w:spacing w:after="0" w:line="360" w:lineRule="auto"/>
        <w:ind w:firstLine="709"/>
        <w:jc w:val="both"/>
        <w:rPr>
          <w:rFonts w:ascii="Times New Roman" w:hAnsi="Times New Roman" w:cs="Times New Roman"/>
          <w:sz w:val="28"/>
          <w:szCs w:val="28"/>
        </w:rPr>
      </w:pPr>
      <w:r w:rsidRPr="002A2DA7">
        <w:rPr>
          <w:rFonts w:ascii="Times New Roman" w:hAnsi="Times New Roman" w:cs="Times New Roman"/>
          <w:sz w:val="28"/>
          <w:szCs w:val="28"/>
        </w:rPr>
        <w:t>В предложенной схеме система включает два контура для эффективного аккумулирования и передачи тепловой энергии</w:t>
      </w:r>
      <w:r>
        <w:rPr>
          <w:rFonts w:ascii="Times New Roman" w:hAnsi="Times New Roman" w:cs="Times New Roman"/>
          <w:sz w:val="28"/>
          <w:szCs w:val="28"/>
        </w:rPr>
        <w:t>.</w:t>
      </w:r>
      <w:r w:rsidRPr="002A2DA7">
        <w:rPr>
          <w:rFonts w:ascii="Times New Roman" w:hAnsi="Times New Roman" w:cs="Times New Roman"/>
          <w:sz w:val="28"/>
          <w:szCs w:val="28"/>
        </w:rPr>
        <w:t xml:space="preserve"> В первом контуре олово нагревается до 1500-2000°C с помощью избыточной электроэнергии, вырабатываемой солнечными панелями. Нагретое олово циркулирует по системе при помощи электромагнитного насоса, предотвращающего механический износ. Во втором контуре вода нагревается через теплообменник, превращаясь в пар, который используется для обогрева почвы под теплицей. Пар поднимается по трубам, отапливая теплицу, затем конденсируется и возвращается в теплообменник, создавая замкнутый цикл обогрева.</w:t>
      </w:r>
    </w:p>
    <w:p w14:paraId="29E567E9" w14:textId="4B333FE7" w:rsidR="00954206" w:rsidRDefault="006B3AB7" w:rsidP="00DA306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lastRenderedPageBreak/>
        <w:t>Цель исследований.</w:t>
      </w:r>
      <w:r w:rsidRPr="003D309B">
        <w:rPr>
          <w:rFonts w:ascii="Times New Roman" w:hAnsi="Times New Roman" w:cs="Times New Roman"/>
          <w:sz w:val="28"/>
          <w:szCs w:val="28"/>
        </w:rPr>
        <w:t xml:space="preserve"> </w:t>
      </w:r>
      <w:r w:rsidR="00313ECB" w:rsidRPr="00313ECB">
        <w:rPr>
          <w:rFonts w:ascii="Times New Roman" w:hAnsi="Times New Roman" w:cs="Times New Roman"/>
          <w:sz w:val="28"/>
          <w:szCs w:val="28"/>
        </w:rPr>
        <w:t>Целью работы является численное моделирование теплового накопителя энергии, использующего высокотемпературный теплоноситель для эффективного обогрева тепличных хозяйств.</w:t>
      </w:r>
    </w:p>
    <w:p w14:paraId="2B809B18" w14:textId="20539DEB" w:rsidR="00313ECB" w:rsidRDefault="006B3AB7" w:rsidP="00313ECB">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Материалы и методы исследований.</w:t>
      </w:r>
      <w:r w:rsidRPr="003D309B">
        <w:rPr>
          <w:rFonts w:ascii="Times New Roman" w:hAnsi="Times New Roman" w:cs="Times New Roman"/>
          <w:sz w:val="28"/>
          <w:szCs w:val="28"/>
        </w:rPr>
        <w:t xml:space="preserve"> </w:t>
      </w:r>
      <w:r w:rsidR="00313ECB" w:rsidRPr="00313ECB">
        <w:rPr>
          <w:rFonts w:ascii="Times New Roman" w:hAnsi="Times New Roman" w:cs="Times New Roman"/>
          <w:sz w:val="28"/>
          <w:szCs w:val="28"/>
        </w:rPr>
        <w:t xml:space="preserve">Для проведения исследований процесса нагрева теплового накопителя энергии использовалось численное моделирование с применением программного комплекса </w:t>
      </w:r>
      <w:proofErr w:type="spellStart"/>
      <w:r w:rsidR="00313ECB" w:rsidRPr="00313ECB">
        <w:rPr>
          <w:rFonts w:ascii="Times New Roman" w:hAnsi="Times New Roman" w:cs="Times New Roman"/>
          <w:sz w:val="28"/>
          <w:szCs w:val="28"/>
        </w:rPr>
        <w:t>SimInTech</w:t>
      </w:r>
      <w:proofErr w:type="spellEnd"/>
      <w:r w:rsidR="00313ECB" w:rsidRPr="00313ECB">
        <w:rPr>
          <w:rFonts w:ascii="Times New Roman" w:hAnsi="Times New Roman" w:cs="Times New Roman"/>
          <w:sz w:val="28"/>
          <w:szCs w:val="28"/>
        </w:rPr>
        <w:t xml:space="preserve">. В модели использовался двухмерный осесимметричный подход, что позволило учесть характерные особенности теплообмена в системе. Основное внимание уделялось моделированию работы накопителя при использовании высокотемпературного теплоносителя </w:t>
      </w:r>
      <w:r w:rsidR="00313ECB">
        <w:rPr>
          <w:rFonts w:ascii="Times New Roman" w:hAnsi="Times New Roman" w:cs="Times New Roman"/>
          <w:sz w:val="28"/>
          <w:szCs w:val="28"/>
        </w:rPr>
        <w:t>–</w:t>
      </w:r>
      <w:r w:rsidR="00313ECB" w:rsidRPr="00313ECB">
        <w:rPr>
          <w:rFonts w:ascii="Times New Roman" w:hAnsi="Times New Roman" w:cs="Times New Roman"/>
          <w:sz w:val="28"/>
          <w:szCs w:val="28"/>
        </w:rPr>
        <w:t xml:space="preserve"> олова, циркулирующего по системе.</w:t>
      </w:r>
    </w:p>
    <w:p w14:paraId="66CB0CAB" w14:textId="32F63CA0" w:rsidR="00313ECB" w:rsidRDefault="00313ECB" w:rsidP="00313ECB">
      <w:pPr>
        <w:spacing w:after="0" w:line="360" w:lineRule="auto"/>
        <w:ind w:firstLine="709"/>
        <w:jc w:val="both"/>
        <w:rPr>
          <w:rFonts w:ascii="Times New Roman" w:hAnsi="Times New Roman" w:cs="Times New Roman"/>
          <w:sz w:val="28"/>
          <w:szCs w:val="28"/>
        </w:rPr>
      </w:pPr>
      <w:r w:rsidRPr="00313ECB">
        <w:rPr>
          <w:rFonts w:ascii="Times New Roman" w:hAnsi="Times New Roman" w:cs="Times New Roman"/>
          <w:sz w:val="28"/>
          <w:szCs w:val="28"/>
        </w:rPr>
        <w:t>Для расчета задавался начальный расход теплоносителя в размере 0,3 кг/с, что соответствовало реальным условиям эксплуатации. Исходная температура олова была установлена на уровне 1700°C, что характерно для работы системы при высоких температурах. Важным параметром, используемым в моделировании, была степень черноты материала, которая для олова составляла 0,8.</w:t>
      </w:r>
    </w:p>
    <w:p w14:paraId="45382D2D" w14:textId="27306DE8" w:rsidR="00313ECB" w:rsidRDefault="00313ECB" w:rsidP="00D50778">
      <w:pPr>
        <w:spacing w:after="0" w:line="360" w:lineRule="auto"/>
        <w:ind w:firstLine="709"/>
        <w:jc w:val="both"/>
        <w:rPr>
          <w:rFonts w:ascii="Times New Roman" w:hAnsi="Times New Roman" w:cs="Times New Roman"/>
          <w:sz w:val="28"/>
          <w:szCs w:val="28"/>
        </w:rPr>
      </w:pPr>
      <w:r w:rsidRPr="00313ECB">
        <w:rPr>
          <w:rFonts w:ascii="Times New Roman" w:hAnsi="Times New Roman" w:cs="Times New Roman"/>
          <w:sz w:val="28"/>
          <w:szCs w:val="28"/>
        </w:rPr>
        <w:t xml:space="preserve">Моделирование проводилось в нестационарном режиме с учетом динамики изменения температуры олова по мере его движения по вертикальной трубе. Учитывалось осесимметричное распределение тепла в </w:t>
      </w:r>
      <w:proofErr w:type="spellStart"/>
      <w:r w:rsidRPr="00313ECB">
        <w:rPr>
          <w:rFonts w:ascii="Times New Roman" w:hAnsi="Times New Roman" w:cs="Times New Roman"/>
          <w:sz w:val="28"/>
          <w:szCs w:val="28"/>
        </w:rPr>
        <w:t>теплоаккумуляторе</w:t>
      </w:r>
      <w:proofErr w:type="spellEnd"/>
      <w:r w:rsidRPr="00313ECB">
        <w:rPr>
          <w:rFonts w:ascii="Times New Roman" w:hAnsi="Times New Roman" w:cs="Times New Roman"/>
          <w:sz w:val="28"/>
          <w:szCs w:val="28"/>
        </w:rPr>
        <w:t>, что отражало характерную геометрию накопителя. По мере движения олова его температура снижалась за счет передачи тепла к керамическому теплоаккумулятору. На выходе из трубы задавалось атмосферное давление, что соответствовало реальным условиям работы системы.</w:t>
      </w:r>
    </w:p>
    <w:p w14:paraId="41AE923C" w14:textId="5EDE20C0" w:rsidR="00313ECB" w:rsidRDefault="00313ECB" w:rsidP="00D50778">
      <w:pPr>
        <w:spacing w:after="0" w:line="360" w:lineRule="auto"/>
        <w:ind w:firstLine="709"/>
        <w:jc w:val="both"/>
        <w:rPr>
          <w:rFonts w:ascii="Times New Roman" w:hAnsi="Times New Roman" w:cs="Times New Roman"/>
          <w:sz w:val="28"/>
          <w:szCs w:val="28"/>
        </w:rPr>
      </w:pPr>
      <w:r w:rsidRPr="00313ECB">
        <w:rPr>
          <w:rFonts w:ascii="Times New Roman" w:hAnsi="Times New Roman" w:cs="Times New Roman"/>
          <w:sz w:val="28"/>
          <w:szCs w:val="28"/>
        </w:rPr>
        <w:t xml:space="preserve">Особое внимание в ходе моделирования уделялось изучению влияния количества вольфрамовых экранов, используемых для теплоизоляции. Исследовалось изменение их числа от 3 до 12 штук, что </w:t>
      </w:r>
      <w:r w:rsidRPr="00313ECB">
        <w:rPr>
          <w:rFonts w:ascii="Times New Roman" w:hAnsi="Times New Roman" w:cs="Times New Roman"/>
          <w:sz w:val="28"/>
          <w:szCs w:val="28"/>
        </w:rPr>
        <w:lastRenderedPageBreak/>
        <w:t>позволило определить оптимальное количество экранов для минимизации тепловых потерь и повышения эффективности системы.</w:t>
      </w:r>
    </w:p>
    <w:p w14:paraId="0DFAC853" w14:textId="6C307189" w:rsidR="00A636C3" w:rsidRPr="00A636C3" w:rsidRDefault="006B3AB7" w:rsidP="007C7247">
      <w:pPr>
        <w:spacing w:after="0" w:line="360" w:lineRule="auto"/>
        <w:ind w:firstLine="709"/>
        <w:jc w:val="both"/>
        <w:rPr>
          <w:rFonts w:ascii="Times New Roman" w:hAnsi="Times New Roman" w:cs="Times New Roman"/>
          <w:sz w:val="28"/>
          <w:szCs w:val="28"/>
        </w:rPr>
      </w:pPr>
      <w:r w:rsidRPr="00F8598D">
        <w:rPr>
          <w:rFonts w:ascii="Times New Roman" w:hAnsi="Times New Roman" w:cs="Times New Roman"/>
          <w:b/>
          <w:sz w:val="28"/>
          <w:szCs w:val="28"/>
        </w:rPr>
        <w:t>Результаты исследований.</w:t>
      </w:r>
      <w:r w:rsidR="003D0AD3" w:rsidRPr="00F8598D">
        <w:rPr>
          <w:rFonts w:ascii="Times New Roman" w:hAnsi="Times New Roman" w:cs="Times New Roman"/>
          <w:b/>
          <w:sz w:val="28"/>
          <w:szCs w:val="28"/>
        </w:rPr>
        <w:t xml:space="preserve"> </w:t>
      </w:r>
      <w:r w:rsidR="00582CA0" w:rsidRPr="00582CA0">
        <w:rPr>
          <w:rFonts w:ascii="Times New Roman" w:hAnsi="Times New Roman" w:cs="Times New Roman"/>
          <w:sz w:val="28"/>
          <w:szCs w:val="28"/>
        </w:rPr>
        <w:t>На основе проведённого моделирования были получены данные о зависимости температуры стенки изоляции теплового накопителя от времени нагрева при различном количестве вольфрамовых экранов в теплоизоляции (рис. 3). Было рассмотрено три варианта: с 3, 8 и 12 вольфрамовыми экранами, что позволило выявить влияние количества экранов на эффективность теплоизоляции.</w:t>
      </w:r>
    </w:p>
    <w:p w14:paraId="09644220" w14:textId="4A7F1B54" w:rsidR="001C7755" w:rsidRPr="00670071" w:rsidRDefault="007C7247" w:rsidP="003B0562">
      <w:pPr>
        <w:spacing w:after="0" w:line="360" w:lineRule="auto"/>
        <w:jc w:val="center"/>
        <w:rPr>
          <w:rFonts w:ascii="Times New Roman" w:hAnsi="Times New Roman" w:cs="Times New Roman"/>
          <w:bCs/>
          <w:sz w:val="28"/>
          <w:szCs w:val="28"/>
        </w:rPr>
      </w:pPr>
      <w:r w:rsidRPr="007C7247">
        <w:rPr>
          <w:noProof/>
          <w:lang w:val="en-US"/>
        </w:rPr>
        <w:drawing>
          <wp:inline distT="0" distB="0" distL="0" distR="0" wp14:anchorId="02C62BE9" wp14:editId="71917794">
            <wp:extent cx="2389668" cy="208800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a:extLst>
                        <a:ext uri="{28A0092B-C50C-407E-A947-70E740481C1C}">
                          <a14:useLocalDpi xmlns:a14="http://schemas.microsoft.com/office/drawing/2010/main" val="0"/>
                        </a:ext>
                      </a:extLst>
                    </a:blip>
                    <a:srcRect t="7349"/>
                    <a:stretch/>
                  </pic:blipFill>
                  <pic:spPr bwMode="auto">
                    <a:xfrm>
                      <a:off x="0" y="0"/>
                      <a:ext cx="2389668" cy="2088000"/>
                    </a:xfrm>
                    <a:prstGeom prst="rect">
                      <a:avLst/>
                    </a:prstGeom>
                    <a:noFill/>
                    <a:ln>
                      <a:noFill/>
                    </a:ln>
                    <a:extLst>
                      <a:ext uri="{53640926-AAD7-44D8-BBD7-CCE9431645EC}">
                        <a14:shadowObscured xmlns:a14="http://schemas.microsoft.com/office/drawing/2010/main"/>
                      </a:ext>
                    </a:extLst>
                  </pic:spPr>
                </pic:pic>
              </a:graphicData>
            </a:graphic>
          </wp:inline>
        </w:drawing>
      </w:r>
    </w:p>
    <w:p w14:paraId="2F8F5FBC" w14:textId="4390C004" w:rsidR="001C7755" w:rsidRPr="007C7247" w:rsidRDefault="001C7755" w:rsidP="003B0562">
      <w:pPr>
        <w:spacing w:after="0" w:line="360" w:lineRule="auto"/>
        <w:jc w:val="center"/>
        <w:rPr>
          <w:rFonts w:ascii="Times New Roman" w:hAnsi="Times New Roman" w:cs="Times New Roman"/>
          <w:bCs/>
          <w:sz w:val="24"/>
          <w:szCs w:val="24"/>
        </w:rPr>
      </w:pPr>
      <w:r w:rsidRPr="00670071">
        <w:rPr>
          <w:rFonts w:ascii="Times New Roman" w:hAnsi="Times New Roman" w:cs="Times New Roman"/>
          <w:bCs/>
          <w:sz w:val="24"/>
          <w:szCs w:val="24"/>
        </w:rPr>
        <w:t xml:space="preserve">Рисунок </w:t>
      </w:r>
      <w:r w:rsidR="004E2EA5">
        <w:rPr>
          <w:rFonts w:ascii="Times New Roman" w:hAnsi="Times New Roman" w:cs="Times New Roman"/>
          <w:bCs/>
          <w:sz w:val="24"/>
          <w:szCs w:val="24"/>
        </w:rPr>
        <w:t>3</w:t>
      </w:r>
      <w:r w:rsidRPr="00670071">
        <w:rPr>
          <w:rFonts w:ascii="Times New Roman" w:hAnsi="Times New Roman" w:cs="Times New Roman"/>
          <w:bCs/>
          <w:sz w:val="24"/>
          <w:szCs w:val="24"/>
        </w:rPr>
        <w:t xml:space="preserve"> – </w:t>
      </w:r>
      <w:r w:rsidR="002A6AE3">
        <w:rPr>
          <w:rFonts w:ascii="Times New Roman" w:hAnsi="Times New Roman" w:cs="Times New Roman"/>
          <w:bCs/>
          <w:sz w:val="24"/>
          <w:szCs w:val="24"/>
        </w:rPr>
        <w:t xml:space="preserve">Зависимость </w:t>
      </w:r>
      <w:r w:rsidR="00CD78D1">
        <w:rPr>
          <w:rFonts w:ascii="Times New Roman" w:hAnsi="Times New Roman" w:cs="Times New Roman"/>
          <w:bCs/>
          <w:sz w:val="24"/>
          <w:szCs w:val="24"/>
        </w:rPr>
        <w:t>температуры стенки изоляции от времени нагрева при различном количестве вольфрамовых экранов в теплоизоляции, шт.</w:t>
      </w:r>
      <w:r w:rsidR="00CD78D1" w:rsidRPr="00CD78D1">
        <w:rPr>
          <w:rFonts w:ascii="Times New Roman" w:hAnsi="Times New Roman" w:cs="Times New Roman"/>
          <w:bCs/>
          <w:sz w:val="24"/>
          <w:szCs w:val="24"/>
        </w:rPr>
        <w:t>:</w:t>
      </w:r>
      <w:r w:rsidR="00CD78D1">
        <w:rPr>
          <w:rFonts w:ascii="Times New Roman" w:hAnsi="Times New Roman" w:cs="Times New Roman"/>
          <w:bCs/>
          <w:sz w:val="24"/>
          <w:szCs w:val="24"/>
        </w:rPr>
        <w:t xml:space="preserve"> </w:t>
      </w:r>
      <w:r w:rsidR="00CD78D1">
        <w:rPr>
          <w:rFonts w:ascii="Times New Roman" w:hAnsi="Times New Roman" w:cs="Times New Roman"/>
          <w:bCs/>
          <w:i/>
          <w:sz w:val="24"/>
          <w:szCs w:val="24"/>
        </w:rPr>
        <w:t>1</w:t>
      </w:r>
      <w:r w:rsidR="00CD78D1">
        <w:rPr>
          <w:rFonts w:ascii="Times New Roman" w:hAnsi="Times New Roman" w:cs="Times New Roman"/>
          <w:bCs/>
          <w:sz w:val="24"/>
          <w:szCs w:val="24"/>
        </w:rPr>
        <w:t> – </w:t>
      </w:r>
      <w:r w:rsidR="007C7247">
        <w:rPr>
          <w:rFonts w:ascii="Times New Roman" w:hAnsi="Times New Roman" w:cs="Times New Roman"/>
          <w:bCs/>
          <w:sz w:val="24"/>
          <w:szCs w:val="24"/>
        </w:rPr>
        <w:t>3</w:t>
      </w:r>
      <w:r w:rsidR="007C7247" w:rsidRPr="007C7247">
        <w:rPr>
          <w:rFonts w:ascii="Times New Roman" w:hAnsi="Times New Roman" w:cs="Times New Roman"/>
          <w:bCs/>
          <w:sz w:val="24"/>
          <w:szCs w:val="24"/>
        </w:rPr>
        <w:t>;</w:t>
      </w:r>
      <w:r w:rsidR="007C7247">
        <w:rPr>
          <w:rFonts w:ascii="Times New Roman" w:hAnsi="Times New Roman" w:cs="Times New Roman"/>
          <w:bCs/>
          <w:sz w:val="24"/>
          <w:szCs w:val="24"/>
        </w:rPr>
        <w:t xml:space="preserve"> </w:t>
      </w:r>
      <w:r w:rsidR="007C7247">
        <w:rPr>
          <w:rFonts w:ascii="Times New Roman" w:hAnsi="Times New Roman" w:cs="Times New Roman"/>
          <w:bCs/>
          <w:i/>
          <w:sz w:val="24"/>
          <w:szCs w:val="24"/>
        </w:rPr>
        <w:t>2</w:t>
      </w:r>
      <w:r w:rsidR="007C7247">
        <w:rPr>
          <w:rFonts w:ascii="Times New Roman" w:hAnsi="Times New Roman" w:cs="Times New Roman"/>
          <w:bCs/>
          <w:sz w:val="24"/>
          <w:szCs w:val="24"/>
        </w:rPr>
        <w:t> – 8</w:t>
      </w:r>
      <w:r w:rsidR="007C7247" w:rsidRPr="007C7247">
        <w:rPr>
          <w:rFonts w:ascii="Times New Roman" w:hAnsi="Times New Roman" w:cs="Times New Roman"/>
          <w:bCs/>
          <w:sz w:val="24"/>
          <w:szCs w:val="24"/>
        </w:rPr>
        <w:t>;</w:t>
      </w:r>
      <w:r w:rsidR="007C7247">
        <w:rPr>
          <w:rFonts w:ascii="Times New Roman" w:hAnsi="Times New Roman" w:cs="Times New Roman"/>
          <w:bCs/>
          <w:sz w:val="24"/>
          <w:szCs w:val="24"/>
        </w:rPr>
        <w:t xml:space="preserve"> </w:t>
      </w:r>
      <w:r w:rsidR="007C7247">
        <w:rPr>
          <w:rFonts w:ascii="Times New Roman" w:hAnsi="Times New Roman" w:cs="Times New Roman"/>
          <w:bCs/>
          <w:i/>
          <w:sz w:val="24"/>
          <w:szCs w:val="24"/>
        </w:rPr>
        <w:t>3</w:t>
      </w:r>
      <w:r w:rsidR="007C7247">
        <w:rPr>
          <w:rFonts w:ascii="Times New Roman" w:hAnsi="Times New Roman" w:cs="Times New Roman"/>
          <w:bCs/>
          <w:sz w:val="24"/>
          <w:szCs w:val="24"/>
        </w:rPr>
        <w:t> – 12</w:t>
      </w:r>
    </w:p>
    <w:p w14:paraId="4448BF0B" w14:textId="77777777" w:rsidR="001C7755" w:rsidRPr="00E20137" w:rsidRDefault="001C7755" w:rsidP="001C7755">
      <w:pPr>
        <w:spacing w:after="0" w:line="360" w:lineRule="auto"/>
        <w:ind w:firstLine="709"/>
        <w:jc w:val="center"/>
        <w:rPr>
          <w:rFonts w:ascii="Times New Roman" w:hAnsi="Times New Roman" w:cs="Times New Roman"/>
          <w:bCs/>
          <w:sz w:val="28"/>
          <w:szCs w:val="28"/>
          <w:highlight w:val="yellow"/>
        </w:rPr>
      </w:pPr>
    </w:p>
    <w:p w14:paraId="72114688" w14:textId="7C561933" w:rsidR="00582CA0" w:rsidRDefault="00582CA0" w:rsidP="00A856D2">
      <w:pPr>
        <w:spacing w:after="0" w:line="360" w:lineRule="auto"/>
        <w:ind w:firstLine="709"/>
        <w:jc w:val="both"/>
        <w:rPr>
          <w:rFonts w:ascii="Times New Roman" w:hAnsi="Times New Roman" w:cs="Times New Roman"/>
          <w:sz w:val="28"/>
          <w:szCs w:val="28"/>
        </w:rPr>
      </w:pPr>
      <w:r w:rsidRPr="00582CA0">
        <w:rPr>
          <w:rFonts w:ascii="Times New Roman" w:hAnsi="Times New Roman" w:cs="Times New Roman"/>
          <w:sz w:val="28"/>
          <w:szCs w:val="28"/>
        </w:rPr>
        <w:t xml:space="preserve">Анализ </w:t>
      </w:r>
      <w:r>
        <w:rPr>
          <w:rFonts w:ascii="Times New Roman" w:hAnsi="Times New Roman" w:cs="Times New Roman"/>
          <w:sz w:val="28"/>
          <w:szCs w:val="28"/>
        </w:rPr>
        <w:t>результатов показал</w:t>
      </w:r>
      <w:r w:rsidRPr="00582CA0">
        <w:rPr>
          <w:rFonts w:ascii="Times New Roman" w:hAnsi="Times New Roman" w:cs="Times New Roman"/>
          <w:sz w:val="28"/>
          <w:szCs w:val="28"/>
        </w:rPr>
        <w:t>, что при увеличении числа экранов температура стенки изоляции растёт медленнее. Это объясняется тем, что экраны эффективно предотвращают тепловое излучение и снижают потери тепла за счёт многослойной структуры с аргоном, обладающим низкой теплопроводностью.</w:t>
      </w:r>
    </w:p>
    <w:p w14:paraId="0E11AD38" w14:textId="502237BC" w:rsidR="00582CA0" w:rsidRPr="00E664BD" w:rsidRDefault="00E664BD" w:rsidP="00A856D2">
      <w:pPr>
        <w:spacing w:after="0" w:line="360" w:lineRule="auto"/>
        <w:ind w:firstLine="709"/>
        <w:jc w:val="both"/>
        <w:rPr>
          <w:rFonts w:ascii="Times New Roman" w:hAnsi="Times New Roman" w:cs="Times New Roman"/>
          <w:sz w:val="28"/>
          <w:szCs w:val="28"/>
        </w:rPr>
      </w:pPr>
      <w:r w:rsidRPr="00E664BD">
        <w:rPr>
          <w:rFonts w:ascii="Times New Roman" w:hAnsi="Times New Roman" w:cs="Times New Roman"/>
          <w:sz w:val="28"/>
          <w:szCs w:val="28"/>
        </w:rPr>
        <w:t>По графику можно определить момент выхода системы на стационарный режим, который соответствует полному заряду теплоаккумулятора. Стационарное состояние наступает, когда температура стенки изоляции стабилизируется и перестает существенно изменяться с течением времени, что указывает на завершение процесса аккумулирования тепла.</w:t>
      </w:r>
      <w:r>
        <w:rPr>
          <w:rFonts w:ascii="Times New Roman" w:hAnsi="Times New Roman" w:cs="Times New Roman"/>
          <w:sz w:val="28"/>
          <w:szCs w:val="28"/>
        </w:rPr>
        <w:t xml:space="preserve"> Время выхода на стационарное состояние </w:t>
      </w:r>
      <w:r>
        <w:rPr>
          <w:rFonts w:ascii="Times New Roman" w:hAnsi="Times New Roman" w:cs="Times New Roman"/>
          <w:sz w:val="28"/>
          <w:szCs w:val="28"/>
        </w:rPr>
        <w:lastRenderedPageBreak/>
        <w:t xml:space="preserve">составляет около </w:t>
      </w:r>
      <w:r w:rsidRPr="00E664BD">
        <w:rPr>
          <w:rFonts w:ascii="Times New Roman" w:hAnsi="Times New Roman" w:cs="Times New Roman"/>
          <w:sz w:val="28"/>
          <w:szCs w:val="28"/>
        </w:rPr>
        <w:t>202</w:t>
      </w:r>
      <w:r>
        <w:rPr>
          <w:rFonts w:ascii="Times New Roman" w:hAnsi="Times New Roman" w:cs="Times New Roman"/>
          <w:sz w:val="28"/>
          <w:szCs w:val="28"/>
        </w:rPr>
        <w:t>, 197 и 155 ч при 3, 8 и 12 экранов в тепловом накопителе энергии соответственно.</w:t>
      </w:r>
    </w:p>
    <w:p w14:paraId="42F3E907" w14:textId="2B307DEF" w:rsidR="007F54C9" w:rsidRDefault="006B3AB7" w:rsidP="00A856D2">
      <w:pPr>
        <w:spacing w:after="0" w:line="360" w:lineRule="auto"/>
        <w:ind w:firstLine="709"/>
        <w:jc w:val="both"/>
        <w:rPr>
          <w:rFonts w:ascii="Times New Roman" w:hAnsi="Times New Roman" w:cs="Times New Roman"/>
          <w:sz w:val="28"/>
          <w:szCs w:val="28"/>
        </w:rPr>
      </w:pPr>
      <w:r w:rsidRPr="00F57B36">
        <w:rPr>
          <w:rFonts w:ascii="Times New Roman" w:hAnsi="Times New Roman" w:cs="Times New Roman"/>
          <w:b/>
          <w:sz w:val="28"/>
          <w:szCs w:val="28"/>
        </w:rPr>
        <w:t xml:space="preserve">Выводы. </w:t>
      </w:r>
      <w:r w:rsidR="00A856D2" w:rsidRPr="00A856D2">
        <w:rPr>
          <w:rFonts w:ascii="Times New Roman" w:hAnsi="Times New Roman" w:cs="Times New Roman"/>
          <w:sz w:val="28"/>
          <w:szCs w:val="28"/>
        </w:rPr>
        <w:t xml:space="preserve">1. </w:t>
      </w:r>
      <w:r w:rsidR="00E664BD" w:rsidRPr="00E664BD">
        <w:rPr>
          <w:rFonts w:ascii="Times New Roman" w:hAnsi="Times New Roman" w:cs="Times New Roman"/>
          <w:sz w:val="28"/>
          <w:szCs w:val="28"/>
        </w:rPr>
        <w:t xml:space="preserve">Предложенная схема расчета в программном комплексе </w:t>
      </w:r>
      <w:proofErr w:type="spellStart"/>
      <w:r w:rsidR="00E664BD" w:rsidRPr="00E664BD">
        <w:rPr>
          <w:rFonts w:ascii="Times New Roman" w:hAnsi="Times New Roman" w:cs="Times New Roman"/>
          <w:sz w:val="28"/>
          <w:szCs w:val="28"/>
        </w:rPr>
        <w:t>SimInTech</w:t>
      </w:r>
      <w:proofErr w:type="spellEnd"/>
      <w:r w:rsidR="00E664BD" w:rsidRPr="00E664BD">
        <w:rPr>
          <w:rFonts w:ascii="Times New Roman" w:hAnsi="Times New Roman" w:cs="Times New Roman"/>
          <w:sz w:val="28"/>
          <w:szCs w:val="28"/>
        </w:rPr>
        <w:t xml:space="preserve"> позволила эффективно спрогнозировать процесс нагрева теплового накопителя энергии, а также оценить влияние количества вольфрамовых экранов на динамику изменения температуры стенки изоляции.</w:t>
      </w:r>
      <w:r w:rsidR="00E664BD">
        <w:rPr>
          <w:rFonts w:ascii="Times New Roman" w:hAnsi="Times New Roman" w:cs="Times New Roman"/>
          <w:sz w:val="28"/>
          <w:szCs w:val="28"/>
        </w:rPr>
        <w:t xml:space="preserve"> 2. </w:t>
      </w:r>
      <w:r w:rsidR="00E664BD" w:rsidRPr="00E664BD">
        <w:rPr>
          <w:rFonts w:ascii="Times New Roman" w:hAnsi="Times New Roman" w:cs="Times New Roman"/>
          <w:sz w:val="28"/>
          <w:szCs w:val="28"/>
        </w:rPr>
        <w:t>Исследование показало, что увеличение количества вольфрамовых экранов значительно замедляет рост температуры стенки изоляции, что позволяет продлить процесс аккумулирования тепла и улучшить теплоизоляционные свойства системы.</w:t>
      </w:r>
      <w:r w:rsidR="00E664BD">
        <w:rPr>
          <w:rFonts w:ascii="Times New Roman" w:hAnsi="Times New Roman" w:cs="Times New Roman"/>
          <w:sz w:val="28"/>
          <w:szCs w:val="28"/>
        </w:rPr>
        <w:t xml:space="preserve"> 3. </w:t>
      </w:r>
      <w:r w:rsidR="00E664BD" w:rsidRPr="00E664BD">
        <w:rPr>
          <w:rFonts w:ascii="Times New Roman" w:hAnsi="Times New Roman" w:cs="Times New Roman"/>
          <w:sz w:val="28"/>
          <w:szCs w:val="28"/>
        </w:rPr>
        <w:t>Время выхода на стационарное состояние уменьшается с увеличением количества экранов</w:t>
      </w:r>
      <w:r w:rsidR="00E664BD">
        <w:rPr>
          <w:rFonts w:ascii="Times New Roman" w:hAnsi="Times New Roman" w:cs="Times New Roman"/>
          <w:sz w:val="28"/>
          <w:szCs w:val="28"/>
        </w:rPr>
        <w:t>.</w:t>
      </w:r>
    </w:p>
    <w:p w14:paraId="18B43483" w14:textId="07E563C9" w:rsidR="00045531" w:rsidRPr="00F57B36" w:rsidRDefault="00A14655" w:rsidP="00A856D2">
      <w:pPr>
        <w:spacing w:after="0" w:line="360" w:lineRule="auto"/>
        <w:ind w:firstLine="709"/>
        <w:jc w:val="both"/>
        <w:rPr>
          <w:rFonts w:ascii="Times New Roman" w:hAnsi="Times New Roman" w:cs="Times New Roman"/>
          <w:sz w:val="28"/>
          <w:szCs w:val="28"/>
        </w:rPr>
      </w:pPr>
      <w:r w:rsidRPr="00A14655">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3EF9FA94" w14:textId="170ECF7E" w:rsidR="00F655E2" w:rsidRPr="00C17B3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2F486B" w:rsidRDefault="00F655E2" w:rsidP="00F655E2">
      <w:pPr>
        <w:spacing w:after="0" w:line="240" w:lineRule="auto"/>
        <w:ind w:firstLine="709"/>
        <w:jc w:val="center"/>
        <w:rPr>
          <w:rFonts w:ascii="Times New Roman" w:hAnsi="Times New Roman" w:cs="Times New Roman"/>
          <w:b/>
          <w:sz w:val="24"/>
          <w:szCs w:val="24"/>
          <w:lang w:val="en-US"/>
        </w:rPr>
      </w:pPr>
      <w:r w:rsidRPr="00D12056">
        <w:rPr>
          <w:rFonts w:ascii="Times New Roman" w:hAnsi="Times New Roman" w:cs="Times New Roman"/>
          <w:b/>
          <w:sz w:val="24"/>
          <w:szCs w:val="24"/>
        </w:rPr>
        <w:t>Библиографический</w:t>
      </w:r>
      <w:r w:rsidRPr="002F486B">
        <w:rPr>
          <w:rFonts w:ascii="Times New Roman" w:hAnsi="Times New Roman" w:cs="Times New Roman"/>
          <w:b/>
          <w:sz w:val="24"/>
          <w:szCs w:val="24"/>
          <w:lang w:val="en-US"/>
        </w:rPr>
        <w:t xml:space="preserve"> </w:t>
      </w:r>
      <w:r w:rsidRPr="00D12056">
        <w:rPr>
          <w:rFonts w:ascii="Times New Roman" w:hAnsi="Times New Roman" w:cs="Times New Roman"/>
          <w:b/>
          <w:sz w:val="24"/>
          <w:szCs w:val="24"/>
        </w:rPr>
        <w:t>список</w:t>
      </w:r>
    </w:p>
    <w:p w14:paraId="4379DEA9" w14:textId="77777777" w:rsidR="00AB3C77" w:rsidRPr="002F486B" w:rsidRDefault="00AB3C77" w:rsidP="00AB3C77">
      <w:pPr>
        <w:spacing w:after="0" w:line="240" w:lineRule="auto"/>
        <w:ind w:firstLine="709"/>
        <w:jc w:val="center"/>
        <w:rPr>
          <w:rFonts w:ascii="Times New Roman" w:hAnsi="Times New Roman" w:cs="Times New Roman"/>
          <w:sz w:val="24"/>
          <w:szCs w:val="24"/>
          <w:lang w:val="en-US"/>
        </w:rPr>
      </w:pPr>
    </w:p>
    <w:p w14:paraId="1DE18B68" w14:textId="7B7FB4E0" w:rsidR="002F47AA" w:rsidRPr="002A2DA7" w:rsidRDefault="00E618B9" w:rsidP="002A2DA7">
      <w:pPr>
        <w:spacing w:after="0" w:line="240" w:lineRule="auto"/>
        <w:ind w:firstLine="709"/>
        <w:jc w:val="both"/>
        <w:rPr>
          <w:rFonts w:ascii="Times New Roman" w:hAnsi="Times New Roman" w:cs="Times New Roman"/>
          <w:sz w:val="24"/>
          <w:szCs w:val="24"/>
          <w:lang w:val="en-US"/>
        </w:rPr>
      </w:pPr>
      <w:r w:rsidRPr="002A2DA7">
        <w:rPr>
          <w:rFonts w:ascii="Times New Roman" w:hAnsi="Times New Roman" w:cs="Times New Roman"/>
          <w:sz w:val="24"/>
          <w:szCs w:val="24"/>
          <w:lang w:val="en-US"/>
        </w:rPr>
        <w:t xml:space="preserve">1. </w:t>
      </w:r>
      <w:r w:rsidR="002A2DA7" w:rsidRPr="002A2DA7">
        <w:rPr>
          <w:rFonts w:ascii="Times New Roman" w:hAnsi="Times New Roman" w:cs="Times New Roman"/>
          <w:sz w:val="24"/>
          <w:szCs w:val="24"/>
          <w:lang w:val="en-US"/>
        </w:rPr>
        <w:t xml:space="preserve">Zinurov, V. Assessment of thermal storage technologies in Energy sector / V. Zinurov, M. </w:t>
      </w:r>
      <w:proofErr w:type="spellStart"/>
      <w:r w:rsidR="002A2DA7" w:rsidRPr="002A2DA7">
        <w:rPr>
          <w:rFonts w:ascii="Times New Roman" w:hAnsi="Times New Roman" w:cs="Times New Roman"/>
          <w:sz w:val="24"/>
          <w:szCs w:val="24"/>
          <w:lang w:val="en-US"/>
        </w:rPr>
        <w:t>Nikandrova</w:t>
      </w:r>
      <w:proofErr w:type="spellEnd"/>
      <w:r w:rsidR="002A2DA7" w:rsidRPr="002A2DA7">
        <w:rPr>
          <w:rFonts w:ascii="Times New Roman" w:hAnsi="Times New Roman" w:cs="Times New Roman"/>
          <w:sz w:val="24"/>
          <w:szCs w:val="24"/>
          <w:lang w:val="en-US"/>
        </w:rPr>
        <w:t xml:space="preserve">, V. Kharkov // Proceedings of the 2020 Ural Smart Energy Conference, USEC 2020, Ekaterinburg, 13–15 </w:t>
      </w:r>
      <w:r w:rsidR="002A2DA7" w:rsidRPr="002A2DA7">
        <w:rPr>
          <w:rFonts w:ascii="Times New Roman" w:hAnsi="Times New Roman" w:cs="Times New Roman"/>
          <w:sz w:val="24"/>
          <w:szCs w:val="24"/>
        </w:rPr>
        <w:t>ноября</w:t>
      </w:r>
      <w:r w:rsidR="002A2DA7" w:rsidRPr="002A2DA7">
        <w:rPr>
          <w:rFonts w:ascii="Times New Roman" w:hAnsi="Times New Roman" w:cs="Times New Roman"/>
          <w:sz w:val="24"/>
          <w:szCs w:val="24"/>
          <w:lang w:val="en-US"/>
        </w:rPr>
        <w:t xml:space="preserve"> 2020 </w:t>
      </w:r>
      <w:r w:rsidR="002A2DA7" w:rsidRPr="002A2DA7">
        <w:rPr>
          <w:rFonts w:ascii="Times New Roman" w:hAnsi="Times New Roman" w:cs="Times New Roman"/>
          <w:sz w:val="24"/>
          <w:szCs w:val="24"/>
        </w:rPr>
        <w:t>года</w:t>
      </w:r>
      <w:r w:rsidR="002A2DA7" w:rsidRPr="002A2DA7">
        <w:rPr>
          <w:rFonts w:ascii="Times New Roman" w:hAnsi="Times New Roman" w:cs="Times New Roman"/>
          <w:sz w:val="24"/>
          <w:szCs w:val="24"/>
          <w:lang w:val="en-US"/>
        </w:rPr>
        <w:t>. – Ekaterinburg, 2020. – P. 68-71. – DOI 10.1109/USEC50097.2020.9281236.</w:t>
      </w:r>
    </w:p>
    <w:p w14:paraId="6B28CC08" w14:textId="1F14FDC0" w:rsidR="00F655E2" w:rsidRPr="002F47AA" w:rsidRDefault="00F655E2" w:rsidP="00AB3C77">
      <w:pPr>
        <w:spacing w:after="0" w:line="240" w:lineRule="auto"/>
        <w:ind w:firstLine="709"/>
        <w:jc w:val="center"/>
        <w:rPr>
          <w:rFonts w:ascii="Times New Roman" w:hAnsi="Times New Roman" w:cs="Times New Roman"/>
          <w:sz w:val="24"/>
          <w:szCs w:val="24"/>
          <w:lang w:val="en-US"/>
        </w:rPr>
      </w:pPr>
    </w:p>
    <w:p w14:paraId="2916354D" w14:textId="7A2DDE62" w:rsidR="00AB3C77" w:rsidRPr="002F47AA" w:rsidRDefault="006E1B2C" w:rsidP="00AB3C77">
      <w:pPr>
        <w:spacing w:after="0" w:line="240" w:lineRule="auto"/>
        <w:ind w:firstLine="709"/>
        <w:jc w:val="center"/>
        <w:rPr>
          <w:rFonts w:ascii="Times New Roman" w:hAnsi="Times New Roman" w:cs="Times New Roman"/>
          <w:b/>
          <w:sz w:val="24"/>
          <w:szCs w:val="24"/>
          <w:lang w:val="en-US"/>
        </w:rPr>
      </w:pPr>
      <w:r w:rsidRPr="002F47AA">
        <w:rPr>
          <w:rFonts w:ascii="Times New Roman" w:hAnsi="Times New Roman" w:cs="Times New Roman"/>
          <w:b/>
          <w:sz w:val="24"/>
          <w:szCs w:val="24"/>
          <w:lang w:val="en-US"/>
        </w:rPr>
        <w:t>References</w:t>
      </w:r>
    </w:p>
    <w:p w14:paraId="18AD921A" w14:textId="55CAB534" w:rsidR="00AB3C77" w:rsidRPr="002F47AA" w:rsidRDefault="00AB3C77" w:rsidP="00AB3C77">
      <w:pPr>
        <w:spacing w:after="0" w:line="240" w:lineRule="auto"/>
        <w:ind w:firstLine="709"/>
        <w:jc w:val="center"/>
        <w:rPr>
          <w:rFonts w:ascii="Times New Roman" w:hAnsi="Times New Roman" w:cs="Times New Roman"/>
          <w:sz w:val="24"/>
          <w:szCs w:val="24"/>
          <w:lang w:val="en-US"/>
        </w:rPr>
      </w:pPr>
    </w:p>
    <w:p w14:paraId="6B2E0216" w14:textId="6A77354C" w:rsidR="00B469D5" w:rsidRPr="00D7188D" w:rsidRDefault="002A2DA7" w:rsidP="00B943A0">
      <w:pPr>
        <w:spacing w:after="0" w:line="240" w:lineRule="auto"/>
        <w:ind w:firstLine="709"/>
        <w:jc w:val="both"/>
        <w:rPr>
          <w:rFonts w:ascii="Times New Roman" w:hAnsi="Times New Roman" w:cs="Times New Roman"/>
          <w:sz w:val="24"/>
          <w:szCs w:val="24"/>
          <w:lang w:val="en-US"/>
        </w:rPr>
      </w:pPr>
      <w:r w:rsidRPr="002A2DA7">
        <w:rPr>
          <w:rFonts w:ascii="Times New Roman" w:hAnsi="Times New Roman" w:cs="Times New Roman"/>
          <w:sz w:val="24"/>
          <w:szCs w:val="24"/>
          <w:lang w:val="en-US"/>
        </w:rPr>
        <w:t>1</w:t>
      </w:r>
      <w:r w:rsidR="00B943A0" w:rsidRPr="002F47AA">
        <w:rPr>
          <w:rFonts w:ascii="Times New Roman" w:hAnsi="Times New Roman" w:cs="Times New Roman"/>
          <w:sz w:val="24"/>
          <w:szCs w:val="24"/>
          <w:lang w:val="en-US"/>
        </w:rPr>
        <w:t xml:space="preserve">. </w:t>
      </w:r>
      <w:r w:rsidRPr="002A2DA7">
        <w:rPr>
          <w:rFonts w:ascii="Times New Roman" w:hAnsi="Times New Roman" w:cs="Times New Roman"/>
          <w:sz w:val="24"/>
          <w:szCs w:val="24"/>
          <w:lang w:val="en-US"/>
        </w:rPr>
        <w:t xml:space="preserve">Zinurov, V. Assessment of thermal storage technologies in Energy sector / V. Zinurov, M. </w:t>
      </w:r>
      <w:proofErr w:type="spellStart"/>
      <w:r w:rsidRPr="002A2DA7">
        <w:rPr>
          <w:rFonts w:ascii="Times New Roman" w:hAnsi="Times New Roman" w:cs="Times New Roman"/>
          <w:sz w:val="24"/>
          <w:szCs w:val="24"/>
          <w:lang w:val="en-US"/>
        </w:rPr>
        <w:t>Nikandrova</w:t>
      </w:r>
      <w:proofErr w:type="spellEnd"/>
      <w:r w:rsidRPr="002A2DA7">
        <w:rPr>
          <w:rFonts w:ascii="Times New Roman" w:hAnsi="Times New Roman" w:cs="Times New Roman"/>
          <w:sz w:val="24"/>
          <w:szCs w:val="24"/>
          <w:lang w:val="en-US"/>
        </w:rPr>
        <w:t xml:space="preserve">, V. Kharkov // Proceedings of the 2020 Ural Smart Energy Conference, USEC 2020, Ekaterinburg, 13–15 </w:t>
      </w:r>
      <w:proofErr w:type="spellStart"/>
      <w:r w:rsidRPr="002A2DA7">
        <w:rPr>
          <w:rFonts w:ascii="Times New Roman" w:hAnsi="Times New Roman" w:cs="Times New Roman"/>
          <w:sz w:val="24"/>
          <w:szCs w:val="24"/>
          <w:lang w:val="en-US"/>
        </w:rPr>
        <w:t>ноября</w:t>
      </w:r>
      <w:proofErr w:type="spellEnd"/>
      <w:r w:rsidRPr="002A2DA7">
        <w:rPr>
          <w:rFonts w:ascii="Times New Roman" w:hAnsi="Times New Roman" w:cs="Times New Roman"/>
          <w:sz w:val="24"/>
          <w:szCs w:val="24"/>
          <w:lang w:val="en-US"/>
        </w:rPr>
        <w:t xml:space="preserve"> 2020 </w:t>
      </w:r>
      <w:proofErr w:type="spellStart"/>
      <w:r w:rsidRPr="002A2DA7">
        <w:rPr>
          <w:rFonts w:ascii="Times New Roman" w:hAnsi="Times New Roman" w:cs="Times New Roman"/>
          <w:sz w:val="24"/>
          <w:szCs w:val="24"/>
          <w:lang w:val="en-US"/>
        </w:rPr>
        <w:t>года</w:t>
      </w:r>
      <w:proofErr w:type="spellEnd"/>
      <w:r w:rsidRPr="002A2DA7">
        <w:rPr>
          <w:rFonts w:ascii="Times New Roman" w:hAnsi="Times New Roman" w:cs="Times New Roman"/>
          <w:sz w:val="24"/>
          <w:szCs w:val="24"/>
          <w:lang w:val="en-US"/>
        </w:rPr>
        <w:t>. – Ekaterinburg, 2020. – P. 68-71. – DOI 10.1109/USEC50097.2020.9281236.</w:t>
      </w:r>
    </w:p>
    <w:sectPr w:rsidR="00B469D5" w:rsidRPr="00D7188D"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AF7E" w14:textId="77777777" w:rsidR="00942277" w:rsidRDefault="00942277" w:rsidP="0051537B">
      <w:pPr>
        <w:spacing w:after="0" w:line="240" w:lineRule="auto"/>
      </w:pPr>
      <w:r>
        <w:separator/>
      </w:r>
    </w:p>
  </w:endnote>
  <w:endnote w:type="continuationSeparator" w:id="0">
    <w:p w14:paraId="5CBA20BD" w14:textId="77777777" w:rsidR="00942277" w:rsidRDefault="00942277"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E0B29" w14:textId="2A25F0D3" w:rsidR="001A6E19" w:rsidRPr="00952CE6" w:rsidRDefault="00952CE6">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19</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09D87" w14:textId="77777777" w:rsidR="00942277" w:rsidRDefault="00942277" w:rsidP="0051537B">
      <w:pPr>
        <w:spacing w:after="0" w:line="240" w:lineRule="auto"/>
      </w:pPr>
      <w:r>
        <w:separator/>
      </w:r>
    </w:p>
  </w:footnote>
  <w:footnote w:type="continuationSeparator" w:id="0">
    <w:p w14:paraId="1B525927" w14:textId="77777777" w:rsidR="00942277" w:rsidRDefault="00942277"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94201632"/>
      <w:docPartObj>
        <w:docPartGallery w:val="Page Numbers (Top of Page)"/>
        <w:docPartUnique/>
      </w:docPartObj>
    </w:sdtPr>
    <w:sdtContent>
      <w:p w14:paraId="445972A4" w14:textId="49D7580E" w:rsidR="001A6E19" w:rsidRDefault="001A6E19"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5A0E27" w14:textId="77777777" w:rsidR="001A6E19" w:rsidRDefault="001A6E19" w:rsidP="001A6E1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49186970"/>
      <w:docPartObj>
        <w:docPartGallery w:val="Page Numbers (Top of Page)"/>
        <w:docPartUnique/>
      </w:docPartObj>
    </w:sdtPr>
    <w:sdtContent>
      <w:p w14:paraId="1D8F0A30" w14:textId="15607C20" w:rsidR="001A6E19" w:rsidRPr="001A6E19" w:rsidRDefault="001A6E19" w:rsidP="00E155F8">
        <w:pPr>
          <w:pStyle w:val="Header"/>
          <w:framePr w:wrap="none" w:vAnchor="text" w:hAnchor="margin" w:xAlign="right" w:y="1"/>
          <w:rPr>
            <w:rStyle w:val="PageNumber"/>
            <w:rFonts w:ascii="Times New Roman" w:hAnsi="Times New Roman" w:cs="Times New Roman"/>
            <w:sz w:val="28"/>
            <w:szCs w:val="28"/>
          </w:rPr>
        </w:pPr>
        <w:r w:rsidRPr="001A6E19">
          <w:rPr>
            <w:rStyle w:val="PageNumber"/>
            <w:rFonts w:ascii="Times New Roman" w:hAnsi="Times New Roman" w:cs="Times New Roman"/>
            <w:sz w:val="28"/>
            <w:szCs w:val="28"/>
          </w:rPr>
          <w:fldChar w:fldCharType="begin"/>
        </w:r>
        <w:r w:rsidRPr="001A6E19">
          <w:rPr>
            <w:rStyle w:val="PageNumber"/>
            <w:rFonts w:ascii="Times New Roman" w:hAnsi="Times New Roman" w:cs="Times New Roman"/>
            <w:sz w:val="28"/>
            <w:szCs w:val="28"/>
          </w:rPr>
          <w:instrText xml:space="preserve"> PAGE </w:instrText>
        </w:r>
        <w:r w:rsidRPr="001A6E19">
          <w:rPr>
            <w:rStyle w:val="PageNumber"/>
            <w:rFonts w:ascii="Times New Roman" w:hAnsi="Times New Roman" w:cs="Times New Roman"/>
            <w:sz w:val="28"/>
            <w:szCs w:val="28"/>
          </w:rPr>
          <w:fldChar w:fldCharType="separate"/>
        </w:r>
        <w:r w:rsidRPr="001A6E19">
          <w:rPr>
            <w:rStyle w:val="PageNumber"/>
            <w:rFonts w:ascii="Times New Roman" w:hAnsi="Times New Roman" w:cs="Times New Roman"/>
            <w:noProof/>
            <w:sz w:val="28"/>
            <w:szCs w:val="28"/>
          </w:rPr>
          <w:t>1</w:t>
        </w:r>
        <w:r w:rsidRPr="001A6E19">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0C58D4E1" w:rsidR="00BA6C32" w:rsidRDefault="001A6E19" w:rsidP="001A6E19">
        <w:pPr>
          <w:pStyle w:val="Header"/>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p w14:paraId="12E66005" w14:textId="77777777" w:rsidR="00BA6C32" w:rsidRDefault="00BA6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5E82"/>
    <w:rsid w:val="00045531"/>
    <w:rsid w:val="000536EE"/>
    <w:rsid w:val="00056E96"/>
    <w:rsid w:val="0007394D"/>
    <w:rsid w:val="00073CB4"/>
    <w:rsid w:val="000827D1"/>
    <w:rsid w:val="00083ABF"/>
    <w:rsid w:val="0008699B"/>
    <w:rsid w:val="00091BE8"/>
    <w:rsid w:val="00093CE0"/>
    <w:rsid w:val="000A7173"/>
    <w:rsid w:val="000B12E0"/>
    <w:rsid w:val="000B3487"/>
    <w:rsid w:val="000B5170"/>
    <w:rsid w:val="000B749B"/>
    <w:rsid w:val="000D0A04"/>
    <w:rsid w:val="000D45EC"/>
    <w:rsid w:val="000E5DA2"/>
    <w:rsid w:val="000F1C16"/>
    <w:rsid w:val="001207C7"/>
    <w:rsid w:val="00121D6C"/>
    <w:rsid w:val="00122FEB"/>
    <w:rsid w:val="00126672"/>
    <w:rsid w:val="00130A47"/>
    <w:rsid w:val="001351B8"/>
    <w:rsid w:val="001366E9"/>
    <w:rsid w:val="001442F2"/>
    <w:rsid w:val="001622F4"/>
    <w:rsid w:val="00171897"/>
    <w:rsid w:val="00171A40"/>
    <w:rsid w:val="0017458F"/>
    <w:rsid w:val="001958AE"/>
    <w:rsid w:val="001A6E19"/>
    <w:rsid w:val="001B3848"/>
    <w:rsid w:val="001C6180"/>
    <w:rsid w:val="001C7755"/>
    <w:rsid w:val="001D0416"/>
    <w:rsid w:val="001D10FA"/>
    <w:rsid w:val="001D5FD0"/>
    <w:rsid w:val="001E36A0"/>
    <w:rsid w:val="001E5EAE"/>
    <w:rsid w:val="001F45CC"/>
    <w:rsid w:val="001F7681"/>
    <w:rsid w:val="002149D3"/>
    <w:rsid w:val="00220024"/>
    <w:rsid w:val="00232D27"/>
    <w:rsid w:val="00240FAB"/>
    <w:rsid w:val="00241F44"/>
    <w:rsid w:val="0024205E"/>
    <w:rsid w:val="00245518"/>
    <w:rsid w:val="00251721"/>
    <w:rsid w:val="00251FC0"/>
    <w:rsid w:val="002732FF"/>
    <w:rsid w:val="00290BB1"/>
    <w:rsid w:val="002A0A92"/>
    <w:rsid w:val="002A2DA7"/>
    <w:rsid w:val="002A2FE1"/>
    <w:rsid w:val="002A47EB"/>
    <w:rsid w:val="002A6AE3"/>
    <w:rsid w:val="002B18E7"/>
    <w:rsid w:val="002B22FE"/>
    <w:rsid w:val="002B3801"/>
    <w:rsid w:val="002C40A3"/>
    <w:rsid w:val="002C4987"/>
    <w:rsid w:val="002D3082"/>
    <w:rsid w:val="002F0A82"/>
    <w:rsid w:val="002F2BB4"/>
    <w:rsid w:val="002F3EFF"/>
    <w:rsid w:val="002F47AA"/>
    <w:rsid w:val="002F486B"/>
    <w:rsid w:val="002F7C3C"/>
    <w:rsid w:val="00300646"/>
    <w:rsid w:val="00313ECB"/>
    <w:rsid w:val="00317E58"/>
    <w:rsid w:val="00331D80"/>
    <w:rsid w:val="00334BD3"/>
    <w:rsid w:val="003634E8"/>
    <w:rsid w:val="003736D2"/>
    <w:rsid w:val="003766D4"/>
    <w:rsid w:val="00381BED"/>
    <w:rsid w:val="00387BDF"/>
    <w:rsid w:val="003A1513"/>
    <w:rsid w:val="003A40F4"/>
    <w:rsid w:val="003A6285"/>
    <w:rsid w:val="003A7995"/>
    <w:rsid w:val="003B0562"/>
    <w:rsid w:val="003C133D"/>
    <w:rsid w:val="003C2710"/>
    <w:rsid w:val="003D0AD3"/>
    <w:rsid w:val="003D309B"/>
    <w:rsid w:val="00401EA7"/>
    <w:rsid w:val="00403618"/>
    <w:rsid w:val="00412D5E"/>
    <w:rsid w:val="004148CB"/>
    <w:rsid w:val="004220B5"/>
    <w:rsid w:val="0042328B"/>
    <w:rsid w:val="00425560"/>
    <w:rsid w:val="00426FF3"/>
    <w:rsid w:val="00427D01"/>
    <w:rsid w:val="0043344A"/>
    <w:rsid w:val="00437AA4"/>
    <w:rsid w:val="0044073A"/>
    <w:rsid w:val="004413B1"/>
    <w:rsid w:val="00447FFC"/>
    <w:rsid w:val="0046207C"/>
    <w:rsid w:val="004772D1"/>
    <w:rsid w:val="00491DD7"/>
    <w:rsid w:val="00495907"/>
    <w:rsid w:val="004B6CC8"/>
    <w:rsid w:val="004C71F7"/>
    <w:rsid w:val="004D17ED"/>
    <w:rsid w:val="004E2C48"/>
    <w:rsid w:val="004E2EA5"/>
    <w:rsid w:val="004F3BDC"/>
    <w:rsid w:val="005061E3"/>
    <w:rsid w:val="0051537B"/>
    <w:rsid w:val="00540DA4"/>
    <w:rsid w:val="00546B4F"/>
    <w:rsid w:val="00566E2D"/>
    <w:rsid w:val="0057385C"/>
    <w:rsid w:val="00576864"/>
    <w:rsid w:val="00582CA0"/>
    <w:rsid w:val="00583C0F"/>
    <w:rsid w:val="00583D4A"/>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7F6E"/>
    <w:rsid w:val="006854F2"/>
    <w:rsid w:val="006A313D"/>
    <w:rsid w:val="006A6800"/>
    <w:rsid w:val="006B3AB7"/>
    <w:rsid w:val="006C2A6A"/>
    <w:rsid w:val="006D129C"/>
    <w:rsid w:val="006D7DB3"/>
    <w:rsid w:val="006E1B2C"/>
    <w:rsid w:val="006E4AB7"/>
    <w:rsid w:val="006F6534"/>
    <w:rsid w:val="00715E4D"/>
    <w:rsid w:val="00715F67"/>
    <w:rsid w:val="00724AC5"/>
    <w:rsid w:val="00726123"/>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0CE7"/>
    <w:rsid w:val="007814CB"/>
    <w:rsid w:val="007901DD"/>
    <w:rsid w:val="00793E50"/>
    <w:rsid w:val="007C7247"/>
    <w:rsid w:val="007C7BD4"/>
    <w:rsid w:val="007D172C"/>
    <w:rsid w:val="007D29B0"/>
    <w:rsid w:val="007F54C9"/>
    <w:rsid w:val="007F7B9D"/>
    <w:rsid w:val="00812A2E"/>
    <w:rsid w:val="00812D67"/>
    <w:rsid w:val="00823ABA"/>
    <w:rsid w:val="00826FD3"/>
    <w:rsid w:val="008279CB"/>
    <w:rsid w:val="008433E2"/>
    <w:rsid w:val="00844643"/>
    <w:rsid w:val="00856000"/>
    <w:rsid w:val="00861E68"/>
    <w:rsid w:val="008778BF"/>
    <w:rsid w:val="00887D70"/>
    <w:rsid w:val="00895C94"/>
    <w:rsid w:val="008A78CA"/>
    <w:rsid w:val="008B088F"/>
    <w:rsid w:val="008B2B45"/>
    <w:rsid w:val="008B73BD"/>
    <w:rsid w:val="008C17E0"/>
    <w:rsid w:val="008C4CF8"/>
    <w:rsid w:val="008D0513"/>
    <w:rsid w:val="008D38CD"/>
    <w:rsid w:val="008F6BDD"/>
    <w:rsid w:val="008F6E26"/>
    <w:rsid w:val="00901F35"/>
    <w:rsid w:val="009112D9"/>
    <w:rsid w:val="00925306"/>
    <w:rsid w:val="00932C11"/>
    <w:rsid w:val="00936FC9"/>
    <w:rsid w:val="00942277"/>
    <w:rsid w:val="00944E02"/>
    <w:rsid w:val="00952CE6"/>
    <w:rsid w:val="00954206"/>
    <w:rsid w:val="00954845"/>
    <w:rsid w:val="0095570C"/>
    <w:rsid w:val="00961E4B"/>
    <w:rsid w:val="00972235"/>
    <w:rsid w:val="00974656"/>
    <w:rsid w:val="00975BF1"/>
    <w:rsid w:val="0099001A"/>
    <w:rsid w:val="00990482"/>
    <w:rsid w:val="00994D05"/>
    <w:rsid w:val="009B3C01"/>
    <w:rsid w:val="009C2F3A"/>
    <w:rsid w:val="009C684A"/>
    <w:rsid w:val="009C7156"/>
    <w:rsid w:val="00A100C2"/>
    <w:rsid w:val="00A11346"/>
    <w:rsid w:val="00A14655"/>
    <w:rsid w:val="00A3256F"/>
    <w:rsid w:val="00A50180"/>
    <w:rsid w:val="00A506C3"/>
    <w:rsid w:val="00A527E5"/>
    <w:rsid w:val="00A578A5"/>
    <w:rsid w:val="00A631C5"/>
    <w:rsid w:val="00A636C3"/>
    <w:rsid w:val="00A64F7D"/>
    <w:rsid w:val="00A70C4E"/>
    <w:rsid w:val="00A7632B"/>
    <w:rsid w:val="00A856D2"/>
    <w:rsid w:val="00A90CDB"/>
    <w:rsid w:val="00A91451"/>
    <w:rsid w:val="00AA0556"/>
    <w:rsid w:val="00AA0A8A"/>
    <w:rsid w:val="00AB3C77"/>
    <w:rsid w:val="00AC4E63"/>
    <w:rsid w:val="00AD1D86"/>
    <w:rsid w:val="00AD3F5E"/>
    <w:rsid w:val="00AE5B21"/>
    <w:rsid w:val="00AF019D"/>
    <w:rsid w:val="00AF35A3"/>
    <w:rsid w:val="00AF6D2B"/>
    <w:rsid w:val="00AF6F4A"/>
    <w:rsid w:val="00B04F82"/>
    <w:rsid w:val="00B103D7"/>
    <w:rsid w:val="00B13D1D"/>
    <w:rsid w:val="00B369CB"/>
    <w:rsid w:val="00B42112"/>
    <w:rsid w:val="00B469D5"/>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45570"/>
    <w:rsid w:val="00C720B9"/>
    <w:rsid w:val="00C7798C"/>
    <w:rsid w:val="00C82E08"/>
    <w:rsid w:val="00C92CDA"/>
    <w:rsid w:val="00CA1964"/>
    <w:rsid w:val="00CA3836"/>
    <w:rsid w:val="00CA5D83"/>
    <w:rsid w:val="00CC2294"/>
    <w:rsid w:val="00CD00BA"/>
    <w:rsid w:val="00CD5C3E"/>
    <w:rsid w:val="00CD7491"/>
    <w:rsid w:val="00CD78D1"/>
    <w:rsid w:val="00CF45D1"/>
    <w:rsid w:val="00D12056"/>
    <w:rsid w:val="00D13166"/>
    <w:rsid w:val="00D30EE7"/>
    <w:rsid w:val="00D3445D"/>
    <w:rsid w:val="00D46BB2"/>
    <w:rsid w:val="00D50778"/>
    <w:rsid w:val="00D5458B"/>
    <w:rsid w:val="00D7188D"/>
    <w:rsid w:val="00D965D7"/>
    <w:rsid w:val="00DA3068"/>
    <w:rsid w:val="00DB1E85"/>
    <w:rsid w:val="00DB6704"/>
    <w:rsid w:val="00DD3A45"/>
    <w:rsid w:val="00DD6582"/>
    <w:rsid w:val="00DE354E"/>
    <w:rsid w:val="00DF704C"/>
    <w:rsid w:val="00E01C0F"/>
    <w:rsid w:val="00E043F7"/>
    <w:rsid w:val="00E11938"/>
    <w:rsid w:val="00E11CCC"/>
    <w:rsid w:val="00E20137"/>
    <w:rsid w:val="00E24E07"/>
    <w:rsid w:val="00E46A29"/>
    <w:rsid w:val="00E506E9"/>
    <w:rsid w:val="00E60EC8"/>
    <w:rsid w:val="00E618B9"/>
    <w:rsid w:val="00E661F7"/>
    <w:rsid w:val="00E664BD"/>
    <w:rsid w:val="00E7575B"/>
    <w:rsid w:val="00E7751F"/>
    <w:rsid w:val="00E852ED"/>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51F1"/>
    <w:rsid w:val="00F36967"/>
    <w:rsid w:val="00F53CE4"/>
    <w:rsid w:val="00F57B36"/>
    <w:rsid w:val="00F57E3D"/>
    <w:rsid w:val="00F655E2"/>
    <w:rsid w:val="00F674C6"/>
    <w:rsid w:val="00F7123D"/>
    <w:rsid w:val="00F7376C"/>
    <w:rsid w:val="00F85676"/>
    <w:rsid w:val="00F8598D"/>
    <w:rsid w:val="00F902C8"/>
    <w:rsid w:val="00F93EFB"/>
    <w:rsid w:val="00FA3AA2"/>
    <w:rsid w:val="00FC43C4"/>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F48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86B"/>
    <w:rPr>
      <w:rFonts w:ascii="Tahoma" w:hAnsi="Tahoma" w:cs="Tahoma"/>
      <w:sz w:val="16"/>
      <w:szCs w:val="16"/>
    </w:rPr>
  </w:style>
  <w:style w:type="character" w:styleId="UnresolvedMention">
    <w:name w:val="Unresolved Mention"/>
    <w:basedOn w:val="DefaultParagraphFont"/>
    <w:uiPriority w:val="99"/>
    <w:semiHidden/>
    <w:unhideWhenUsed/>
    <w:rsid w:val="00A91451"/>
    <w:rPr>
      <w:color w:val="605E5C"/>
      <w:shd w:val="clear" w:color="auto" w:fill="E1DFDD"/>
    </w:rPr>
  </w:style>
  <w:style w:type="character" w:styleId="PageNumber">
    <w:name w:val="page number"/>
    <w:basedOn w:val="DefaultParagraphFont"/>
    <w:uiPriority w:val="99"/>
    <w:semiHidden/>
    <w:unhideWhenUsed/>
    <w:rsid w:val="001A6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380738366">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3-019"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8</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13</cp:revision>
  <dcterms:created xsi:type="dcterms:W3CDTF">2024-07-31T11:29:00Z</dcterms:created>
  <dcterms:modified xsi:type="dcterms:W3CDTF">2024-11-27T23:25:00Z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