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insideH w:val="single" w:sz="4" w:space="0" w:color="auto"/>
        </w:tblBorders>
        <w:tblLook w:val="00A0" w:firstRow="1" w:lastRow="0" w:firstColumn="1" w:lastColumn="0" w:noHBand="0" w:noVBand="0"/>
      </w:tblPr>
      <w:tblGrid>
        <w:gridCol w:w="4530"/>
        <w:gridCol w:w="4530"/>
      </w:tblGrid>
      <w:tr w:rsidR="006E0B3E" w:rsidRPr="00B13104" w:rsidTr="00F474BF">
        <w:tc>
          <w:tcPr>
            <w:tcW w:w="4530" w:type="dxa"/>
          </w:tcPr>
          <w:p w:rsidR="006E0B3E" w:rsidRPr="00B13104"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УДК 663.256:573.2</w:t>
            </w:r>
          </w:p>
          <w:p w:rsidR="006E0B3E" w:rsidRPr="00B13104" w:rsidRDefault="006E0B3E" w:rsidP="007D18DE">
            <w:pPr>
              <w:spacing w:after="0" w:line="240" w:lineRule="auto"/>
              <w:rPr>
                <w:rFonts w:ascii="Times New Roman" w:hAnsi="Times New Roman"/>
                <w:bCs/>
                <w:iCs/>
                <w:sz w:val="20"/>
                <w:szCs w:val="20"/>
              </w:rPr>
            </w:pPr>
          </w:p>
          <w:p w:rsidR="006E0B3E" w:rsidRPr="007D18DE" w:rsidRDefault="006E0B3E" w:rsidP="007D18DE">
            <w:pPr>
              <w:spacing w:after="0" w:line="240" w:lineRule="auto"/>
              <w:rPr>
                <w:rFonts w:ascii="Times New Roman" w:hAnsi="Times New Roman"/>
                <w:sz w:val="20"/>
                <w:szCs w:val="20"/>
              </w:rPr>
            </w:pPr>
            <w:r w:rsidRPr="007D18DE">
              <w:rPr>
                <w:rFonts w:ascii="Times New Roman" w:hAnsi="Times New Roman"/>
                <w:sz w:val="20"/>
                <w:szCs w:val="20"/>
              </w:rPr>
              <w:t>06.01.01 Общее земледелие, растениеводство (сельскохозяйственные науки)</w:t>
            </w:r>
          </w:p>
          <w:p w:rsidR="006E0B3E" w:rsidRPr="007D18DE" w:rsidRDefault="006E0B3E" w:rsidP="007D18DE">
            <w:pPr>
              <w:spacing w:after="0" w:line="240" w:lineRule="auto"/>
              <w:rPr>
                <w:rFonts w:ascii="Times New Roman" w:hAnsi="Times New Roman"/>
                <w:b/>
                <w:bCs/>
                <w:iCs/>
                <w:caps/>
                <w:sz w:val="20"/>
                <w:szCs w:val="20"/>
              </w:rPr>
            </w:pPr>
          </w:p>
          <w:p w:rsidR="006E0B3E" w:rsidRPr="007D18DE" w:rsidRDefault="006E0B3E" w:rsidP="007D18DE">
            <w:pPr>
              <w:spacing w:after="0" w:line="240" w:lineRule="auto"/>
              <w:rPr>
                <w:rFonts w:ascii="Times New Roman" w:hAnsi="Times New Roman"/>
                <w:b/>
                <w:bCs/>
                <w:iCs/>
                <w:caps/>
                <w:sz w:val="20"/>
                <w:szCs w:val="20"/>
              </w:rPr>
            </w:pPr>
            <w:r w:rsidRPr="007D18DE">
              <w:rPr>
                <w:rFonts w:ascii="Times New Roman" w:hAnsi="Times New Roman"/>
                <w:b/>
                <w:bCs/>
                <w:iCs/>
                <w:caps/>
                <w:sz w:val="20"/>
                <w:szCs w:val="20"/>
              </w:rPr>
              <w:t>Влияние биологического азотопонижения на физико-химические показатели природно-полусладкого вина</w:t>
            </w:r>
          </w:p>
          <w:p w:rsidR="006E0B3E" w:rsidRPr="007D18DE" w:rsidRDefault="006E0B3E" w:rsidP="007D18DE">
            <w:pPr>
              <w:spacing w:after="0" w:line="240" w:lineRule="auto"/>
              <w:rPr>
                <w:rFonts w:ascii="Times New Roman" w:hAnsi="Times New Roman"/>
                <w:b/>
                <w:bCs/>
                <w:iCs/>
                <w:caps/>
                <w:sz w:val="20"/>
                <w:szCs w:val="20"/>
              </w:rPr>
            </w:pPr>
          </w:p>
          <w:p w:rsidR="006E0B3E" w:rsidRPr="00B13104" w:rsidRDefault="006E0B3E" w:rsidP="007D18DE">
            <w:pPr>
              <w:spacing w:after="0" w:line="240" w:lineRule="auto"/>
              <w:rPr>
                <w:rFonts w:ascii="Times New Roman" w:hAnsi="Times New Roman"/>
                <w:bCs/>
                <w:iCs/>
                <w:sz w:val="20"/>
                <w:szCs w:val="20"/>
              </w:rPr>
            </w:pPr>
            <w:r>
              <w:rPr>
                <w:rFonts w:ascii="Times New Roman" w:hAnsi="Times New Roman"/>
                <w:bCs/>
                <w:iCs/>
                <w:sz w:val="20"/>
                <w:szCs w:val="20"/>
              </w:rPr>
              <w:t>Прах Антон Владимирович</w:t>
            </w: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к.с.-х. н., старший научный сотрудник</w:t>
            </w: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РИНЦ SPIN-код: 6369-8889</w:t>
            </w:r>
          </w:p>
          <w:p w:rsidR="006E0B3E" w:rsidRPr="007D18DE" w:rsidRDefault="00B13104" w:rsidP="007D18DE">
            <w:pPr>
              <w:spacing w:after="0" w:line="240" w:lineRule="auto"/>
              <w:rPr>
                <w:rFonts w:ascii="Times New Roman" w:hAnsi="Times New Roman"/>
                <w:bCs/>
                <w:iCs/>
                <w:sz w:val="20"/>
                <w:szCs w:val="20"/>
              </w:rPr>
            </w:pPr>
            <w:hyperlink r:id="rId7" w:history="1">
              <w:r w:rsidR="006E0B3E" w:rsidRPr="007D18DE">
                <w:rPr>
                  <w:rStyle w:val="a6"/>
                  <w:rFonts w:ascii="Times New Roman" w:hAnsi="Times New Roman"/>
                  <w:bCs/>
                  <w:iCs/>
                  <w:sz w:val="20"/>
                  <w:szCs w:val="20"/>
                  <w:lang w:val="en-US"/>
                </w:rPr>
                <w:t>aprakh</w:t>
              </w:r>
              <w:r w:rsidR="006E0B3E" w:rsidRPr="007D18DE">
                <w:rPr>
                  <w:rStyle w:val="a6"/>
                  <w:rFonts w:ascii="Times New Roman" w:hAnsi="Times New Roman"/>
                  <w:bCs/>
                  <w:iCs/>
                  <w:sz w:val="20"/>
                  <w:szCs w:val="20"/>
                </w:rPr>
                <w:t>@</w:t>
              </w:r>
              <w:r w:rsidR="006E0B3E" w:rsidRPr="007D18DE">
                <w:rPr>
                  <w:rStyle w:val="a6"/>
                  <w:rFonts w:ascii="Times New Roman" w:hAnsi="Times New Roman"/>
                  <w:bCs/>
                  <w:iCs/>
                  <w:sz w:val="20"/>
                  <w:szCs w:val="20"/>
                  <w:lang w:val="en-US"/>
                </w:rPr>
                <w:t>yandex</w:t>
              </w:r>
              <w:r w:rsidR="006E0B3E" w:rsidRPr="007D18DE">
                <w:rPr>
                  <w:rStyle w:val="a6"/>
                  <w:rFonts w:ascii="Times New Roman" w:hAnsi="Times New Roman"/>
                  <w:bCs/>
                  <w:iCs/>
                  <w:sz w:val="20"/>
                  <w:szCs w:val="20"/>
                </w:rPr>
                <w:t>.</w:t>
              </w:r>
              <w:r w:rsidR="006E0B3E" w:rsidRPr="007D18DE">
                <w:rPr>
                  <w:rStyle w:val="a6"/>
                  <w:rFonts w:ascii="Times New Roman" w:hAnsi="Times New Roman"/>
                  <w:bCs/>
                  <w:iCs/>
                  <w:sz w:val="20"/>
                  <w:szCs w:val="20"/>
                  <w:lang w:val="en-US"/>
                </w:rPr>
                <w:t>ru</w:t>
              </w:r>
            </w:hyperlink>
          </w:p>
          <w:p w:rsidR="006E0B3E" w:rsidRPr="007D18DE" w:rsidRDefault="006E0B3E" w:rsidP="007D18DE">
            <w:pPr>
              <w:spacing w:after="0" w:line="240" w:lineRule="auto"/>
              <w:rPr>
                <w:rFonts w:ascii="Times New Roman" w:hAnsi="Times New Roman"/>
                <w:bCs/>
                <w:iCs/>
                <w:sz w:val="20"/>
                <w:szCs w:val="20"/>
              </w:rPr>
            </w:pP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Агеева Наталья Михайловна</w:t>
            </w: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 xml:space="preserve">д.т.н., профессор, главный научный сотрудник </w:t>
            </w: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РИНЦ SPIN-код: 3807-3865</w:t>
            </w:r>
          </w:p>
          <w:p w:rsidR="006E0B3E" w:rsidRPr="007D18DE" w:rsidRDefault="006E0B3E" w:rsidP="007D18DE">
            <w:pPr>
              <w:spacing w:after="0" w:line="240" w:lineRule="auto"/>
              <w:rPr>
                <w:rFonts w:ascii="Times New Roman" w:hAnsi="Times New Roman"/>
                <w:bCs/>
                <w:i/>
                <w:iCs/>
                <w:sz w:val="20"/>
                <w:szCs w:val="20"/>
              </w:rPr>
            </w:pPr>
            <w:r w:rsidRPr="007D18DE">
              <w:rPr>
                <w:rFonts w:ascii="Times New Roman" w:hAnsi="Times New Roman"/>
                <w:bCs/>
                <w:i/>
                <w:iCs/>
                <w:sz w:val="20"/>
                <w:szCs w:val="20"/>
              </w:rPr>
              <w:t>Федеральное государственное бюджетное научное учреждение «Северо-Кавказский федеральный научный центр садоводства, виноградарства, виноделия», Россия, 350901, Краснодар, 40 лет Победы, 39</w:t>
            </w:r>
          </w:p>
          <w:p w:rsidR="006E0B3E" w:rsidRPr="007D18DE" w:rsidRDefault="006E0B3E" w:rsidP="007D18DE">
            <w:pPr>
              <w:spacing w:after="0" w:line="240" w:lineRule="auto"/>
              <w:rPr>
                <w:rFonts w:ascii="Times New Roman" w:hAnsi="Times New Roman"/>
                <w:bCs/>
                <w:i/>
                <w:iCs/>
                <w:sz w:val="20"/>
                <w:szCs w:val="20"/>
              </w:rPr>
            </w:pPr>
          </w:p>
          <w:p w:rsidR="006E0B3E" w:rsidRPr="00B13104" w:rsidRDefault="006E0B3E" w:rsidP="007D18DE">
            <w:pPr>
              <w:spacing w:after="0" w:line="240" w:lineRule="auto"/>
              <w:rPr>
                <w:rFonts w:ascii="Times New Roman" w:hAnsi="Times New Roman"/>
                <w:bCs/>
                <w:iCs/>
                <w:sz w:val="20"/>
                <w:szCs w:val="20"/>
              </w:rPr>
            </w:pPr>
            <w:r>
              <w:rPr>
                <w:rFonts w:ascii="Times New Roman" w:hAnsi="Times New Roman"/>
                <w:bCs/>
                <w:iCs/>
                <w:sz w:val="20"/>
                <w:szCs w:val="20"/>
              </w:rPr>
              <w:t>Дергачев Дмитрий Владимирович</w:t>
            </w: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 xml:space="preserve">к.с.-х. н., директор </w:t>
            </w:r>
          </w:p>
          <w:p w:rsidR="006E0B3E" w:rsidRPr="00B13104" w:rsidRDefault="006E0B3E" w:rsidP="007D18DE">
            <w:pPr>
              <w:spacing w:after="0" w:line="240" w:lineRule="auto"/>
              <w:rPr>
                <w:rFonts w:ascii="Times New Roman" w:hAnsi="Times New Roman"/>
                <w:bCs/>
                <w:i/>
                <w:iCs/>
                <w:sz w:val="20"/>
                <w:szCs w:val="20"/>
              </w:rPr>
            </w:pPr>
            <w:r w:rsidRPr="007D18DE">
              <w:rPr>
                <w:rFonts w:ascii="Times New Roman" w:hAnsi="Times New Roman"/>
                <w:bCs/>
                <w:i/>
                <w:iCs/>
                <w:sz w:val="20"/>
                <w:szCs w:val="20"/>
              </w:rPr>
              <w:t>ООО «ИК»ТБЦ»</w:t>
            </w:r>
            <w:r w:rsidRPr="00B13104">
              <w:rPr>
                <w:rFonts w:ascii="Times New Roman" w:hAnsi="Times New Roman"/>
                <w:bCs/>
                <w:i/>
                <w:iCs/>
                <w:sz w:val="20"/>
                <w:szCs w:val="20"/>
              </w:rPr>
              <w:t xml:space="preserve">, </w:t>
            </w:r>
            <w:r>
              <w:rPr>
                <w:rFonts w:ascii="Times New Roman" w:hAnsi="Times New Roman"/>
                <w:bCs/>
                <w:i/>
                <w:iCs/>
                <w:sz w:val="20"/>
                <w:szCs w:val="20"/>
              </w:rPr>
              <w:t>Россия</w:t>
            </w:r>
          </w:p>
          <w:p w:rsidR="006E0B3E" w:rsidRPr="007D18DE" w:rsidRDefault="006E0B3E" w:rsidP="007D18DE">
            <w:pPr>
              <w:spacing w:after="0" w:line="240" w:lineRule="auto"/>
              <w:rPr>
                <w:rFonts w:ascii="Times New Roman" w:hAnsi="Times New Roman"/>
                <w:bCs/>
                <w:iCs/>
                <w:sz w:val="20"/>
                <w:szCs w:val="20"/>
              </w:rPr>
            </w:pPr>
          </w:p>
          <w:p w:rsidR="006E0B3E" w:rsidRPr="007D18DE" w:rsidRDefault="006E0B3E" w:rsidP="007D18DE">
            <w:pPr>
              <w:spacing w:after="0" w:line="240" w:lineRule="auto"/>
              <w:rPr>
                <w:rFonts w:ascii="Times New Roman" w:hAnsi="Times New Roman"/>
                <w:sz w:val="20"/>
                <w:szCs w:val="20"/>
              </w:rPr>
            </w:pPr>
            <w:r w:rsidRPr="007D18DE">
              <w:rPr>
                <w:rFonts w:ascii="Times New Roman" w:hAnsi="Times New Roman"/>
                <w:bCs/>
                <w:iCs/>
                <w:sz w:val="20"/>
                <w:szCs w:val="20"/>
              </w:rPr>
              <w:t xml:space="preserve">На примере двух сортов винограда – классического европейского Шардоне и межвидового гибрида Екатеринодарский – исследование влияние биологического азотопонижения на физико-химические показатели природно-полусладкого вина, в том числе аминокислоты и ароматобразующие компоненты. Установлено, что применение предлагаемой технологии способствует активному потреблению аминокислот дрожжами в стадии брожения. При этом дрожжевыми клетками наиболее активно потреблялись </w:t>
            </w:r>
            <w:r w:rsidRPr="007D18DE">
              <w:rPr>
                <w:rFonts w:ascii="Times New Roman" w:hAnsi="Times New Roman"/>
                <w:sz w:val="20"/>
                <w:szCs w:val="20"/>
              </w:rPr>
              <w:t xml:space="preserve">аланин, валин, фенилаланин, гистидин, аспарагиновая, аминомасляная, глютаминовая кислоты, лейцин, лизин, сирин, тирозин, треонин. </w:t>
            </w:r>
            <w:r w:rsidRPr="007D18DE">
              <w:rPr>
                <w:rFonts w:ascii="Times New Roman" w:hAnsi="Times New Roman"/>
                <w:bCs/>
                <w:iCs/>
                <w:sz w:val="20"/>
                <w:szCs w:val="20"/>
              </w:rPr>
              <w:t>Незначительное увеличение концентрации аминокислот отмечено по завершению брожения, когда клетки дрожжей перешли в стационарную фазу развития.</w:t>
            </w:r>
            <w:r w:rsidRPr="007D18DE">
              <w:rPr>
                <w:rFonts w:ascii="Times New Roman" w:hAnsi="Times New Roman"/>
                <w:sz w:val="20"/>
                <w:szCs w:val="20"/>
              </w:rPr>
              <w:t xml:space="preserve"> Однако содержание всех аминокислот, за исключением пролина, в виноматериале было меньше, чем в винограде и бродящем сусле. </w:t>
            </w:r>
            <w:r w:rsidRPr="007D18DE">
              <w:rPr>
                <w:rFonts w:ascii="Times New Roman" w:hAnsi="Times New Roman"/>
                <w:bCs/>
                <w:iCs/>
                <w:sz w:val="20"/>
                <w:szCs w:val="20"/>
              </w:rPr>
              <w:t xml:space="preserve">В результате биологического азотопонижения, </w:t>
            </w:r>
            <w:r w:rsidRPr="007D18DE">
              <w:rPr>
                <w:rFonts w:ascii="Times New Roman" w:hAnsi="Times New Roman"/>
                <w:sz w:val="20"/>
                <w:szCs w:val="20"/>
              </w:rPr>
              <w:t xml:space="preserve">в экспериментальных вариантах концентрация азотистых соединений (общего и аминного азота) была в три раза меньше, чем в контрольных. Установлено различие в концентрации ароматобразующих компонентов в винах, приготовленных из обоих сортов винограда по различным технологиям. В экспериментальных вариантах отмечено большее накопление практически всех компонентов </w:t>
            </w:r>
            <w:r w:rsidRPr="007D18DE">
              <w:rPr>
                <w:rFonts w:ascii="Times New Roman" w:hAnsi="Times New Roman"/>
                <w:sz w:val="20"/>
                <w:szCs w:val="20"/>
              </w:rPr>
              <w:lastRenderedPageBreak/>
              <w:t>ароматобразующего комплекса (особенно эфиров, терпеновых соединений, фенилэтанола, ионона) за исключением высших спиртов. Экспериментальные образцы природно-полусладких вин из сортов винограда Шардоне и Екатеринодарский характеризовались ярким цветочно-плодовым ароматом и имели более высокую дегустационную оценку в сравн</w:t>
            </w:r>
            <w:r>
              <w:rPr>
                <w:rFonts w:ascii="Times New Roman" w:hAnsi="Times New Roman"/>
                <w:sz w:val="20"/>
                <w:szCs w:val="20"/>
              </w:rPr>
              <w:t>ении с классической технологией</w:t>
            </w:r>
          </w:p>
          <w:p w:rsidR="006E0B3E" w:rsidRPr="007D18DE" w:rsidRDefault="006E0B3E" w:rsidP="007D18DE">
            <w:pPr>
              <w:spacing w:after="0" w:line="240" w:lineRule="auto"/>
              <w:rPr>
                <w:rFonts w:ascii="Times New Roman" w:hAnsi="Times New Roman"/>
                <w:sz w:val="20"/>
                <w:szCs w:val="20"/>
              </w:rPr>
            </w:pPr>
          </w:p>
          <w:p w:rsidR="006E0B3E" w:rsidRPr="007D18DE" w:rsidRDefault="006E0B3E" w:rsidP="007D18DE">
            <w:pPr>
              <w:spacing w:after="0" w:line="240" w:lineRule="auto"/>
              <w:rPr>
                <w:rFonts w:ascii="Times New Roman" w:hAnsi="Times New Roman"/>
                <w:bCs/>
                <w:iCs/>
                <w:sz w:val="20"/>
                <w:szCs w:val="20"/>
              </w:rPr>
            </w:pPr>
            <w:r w:rsidRPr="007D18DE">
              <w:rPr>
                <w:rFonts w:ascii="Times New Roman" w:hAnsi="Times New Roman"/>
                <w:bCs/>
                <w:iCs/>
                <w:sz w:val="20"/>
                <w:szCs w:val="20"/>
              </w:rPr>
              <w:t>Ключевые слова: БИОЛОГИЧЕСКОЕ АЗОТОПОНИЖЕНИЕ, АЗОТИСТЫЕ СОЕДИНЕНИЯ, АМИНОКИСЛОТЫ, АРОМАТОБРАЗУЮЩИЕ КОМПО</w:t>
            </w:r>
            <w:r>
              <w:rPr>
                <w:rFonts w:ascii="Times New Roman" w:hAnsi="Times New Roman"/>
                <w:bCs/>
                <w:iCs/>
                <w:sz w:val="20"/>
                <w:szCs w:val="20"/>
              </w:rPr>
              <w:t>НЕНТЫ, ОРГАНОЛЕПТИЧЕСКАЯ ОЦЕНКА</w:t>
            </w:r>
          </w:p>
          <w:p w:rsidR="006E0B3E" w:rsidRPr="00B13104" w:rsidRDefault="006E0B3E" w:rsidP="007D18DE">
            <w:pPr>
              <w:spacing w:after="0" w:line="240" w:lineRule="auto"/>
              <w:rPr>
                <w:rFonts w:ascii="Times New Roman" w:hAnsi="Times New Roman"/>
                <w:bCs/>
                <w:iCs/>
                <w:sz w:val="20"/>
                <w:szCs w:val="20"/>
              </w:rPr>
            </w:pPr>
          </w:p>
          <w:p w:rsidR="006E0B3E" w:rsidRPr="00B13104" w:rsidRDefault="00B13104" w:rsidP="00B13104">
            <w:pPr>
              <w:spacing w:after="0" w:line="240" w:lineRule="auto"/>
              <w:rPr>
                <w:rFonts w:ascii="Times New Roman" w:hAnsi="Times New Roman"/>
                <w:bCs/>
                <w:iCs/>
                <w:sz w:val="20"/>
                <w:szCs w:val="20"/>
                <w:lang w:val="en-US"/>
              </w:rPr>
            </w:pPr>
            <w:r w:rsidRPr="00A7112F">
              <w:rPr>
                <w:rFonts w:ascii="Times New Roman" w:eastAsia="Times New Roman" w:hAnsi="Times New Roman"/>
                <w:sz w:val="20"/>
                <w:szCs w:val="20"/>
                <w:lang w:val="en-US"/>
              </w:rPr>
              <w:t xml:space="preserve">DOI: </w:t>
            </w:r>
            <w:hyperlink r:id="rId8" w:history="1">
              <w:r w:rsidRPr="00B54E74">
                <w:rPr>
                  <w:rStyle w:val="a6"/>
                  <w:rFonts w:ascii="Times New Roman" w:eastAsia="Times New Roman" w:hAnsi="Times New Roman"/>
                  <w:sz w:val="20"/>
                  <w:szCs w:val="20"/>
                  <w:lang w:val="en-US" w:eastAsia="ar-SA"/>
                </w:rPr>
                <w:t>http://dx.doi.org/10.21515/1990-4665-159-015</w:t>
              </w:r>
            </w:hyperlink>
            <w:r w:rsidRPr="00B13104">
              <w:rPr>
                <w:rFonts w:ascii="Times New Roman" w:eastAsia="Times New Roman" w:hAnsi="Times New Roman"/>
                <w:color w:val="800080"/>
                <w:sz w:val="20"/>
                <w:szCs w:val="20"/>
                <w:u w:val="single"/>
                <w:lang w:val="en-US" w:eastAsia="ar-SA"/>
              </w:rPr>
              <w:t xml:space="preserve">  </w:t>
            </w:r>
          </w:p>
        </w:tc>
        <w:tc>
          <w:tcPr>
            <w:tcW w:w="4530" w:type="dxa"/>
          </w:tcPr>
          <w:p w:rsidR="006E0B3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lastRenderedPageBreak/>
              <w:t>UDC 663.256:573.2</w:t>
            </w: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06.01.01 General agriculture, crop production</w:t>
            </w: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 xml:space="preserve">(agricultural </w:t>
            </w:r>
            <w:r>
              <w:rPr>
                <w:rFonts w:ascii="Times New Roman" w:hAnsi="Times New Roman"/>
                <w:bCs/>
                <w:iCs/>
                <w:sz w:val="20"/>
                <w:szCs w:val="20"/>
                <w:lang w:val="en-US"/>
              </w:rPr>
              <w:t>s</w:t>
            </w:r>
            <w:r w:rsidRPr="007D18DE">
              <w:rPr>
                <w:rFonts w:ascii="Times New Roman" w:hAnsi="Times New Roman"/>
                <w:bCs/>
                <w:iCs/>
                <w:sz w:val="20"/>
                <w:szCs w:val="20"/>
                <w:lang w:val="en-US"/>
              </w:rPr>
              <w:t>ciences)</w:t>
            </w: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
                <w:bCs/>
                <w:iCs/>
                <w:sz w:val="20"/>
                <w:szCs w:val="20"/>
                <w:lang w:val="en-US"/>
              </w:rPr>
            </w:pPr>
            <w:r w:rsidRPr="007D18DE">
              <w:rPr>
                <w:rFonts w:ascii="Times New Roman" w:hAnsi="Times New Roman"/>
                <w:b/>
                <w:bCs/>
                <w:iCs/>
                <w:sz w:val="20"/>
                <w:szCs w:val="20"/>
                <w:lang w:val="en-US"/>
              </w:rPr>
              <w:t>INFLUENCE OF BIOLOGICAL NITROGEN DEPOSITION ON PHYSICAL AND CHEMICAL PARAMETERS OF NATURAL SEMI-SWEET WINE</w:t>
            </w:r>
          </w:p>
          <w:p w:rsidR="006E0B3E" w:rsidRPr="007D18DE" w:rsidRDefault="006E0B3E" w:rsidP="007D18DE">
            <w:pPr>
              <w:spacing w:after="0" w:line="240" w:lineRule="auto"/>
              <w:rPr>
                <w:rFonts w:ascii="Times New Roman" w:hAnsi="Times New Roman"/>
                <w:b/>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Prakh Anton Vladimirovich</w:t>
            </w:r>
          </w:p>
          <w:p w:rsidR="006E0B3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Cand.Agr.Sci., senior scientific worker</w:t>
            </w:r>
          </w:p>
          <w:p w:rsidR="006E0B3E" w:rsidRPr="007D18DE" w:rsidRDefault="006E0B3E" w:rsidP="007D18DE">
            <w:pPr>
              <w:spacing w:after="0" w:line="240" w:lineRule="auto"/>
              <w:rPr>
                <w:rFonts w:ascii="Times New Roman" w:hAnsi="Times New Roman"/>
                <w:bCs/>
                <w:iCs/>
                <w:sz w:val="20"/>
                <w:szCs w:val="20"/>
                <w:lang w:val="en-US"/>
              </w:rPr>
            </w:pPr>
            <w:r>
              <w:rPr>
                <w:rFonts w:ascii="Times New Roman" w:hAnsi="Times New Roman"/>
                <w:bCs/>
                <w:iCs/>
                <w:sz w:val="20"/>
                <w:szCs w:val="20"/>
                <w:lang w:val="en-US"/>
              </w:rPr>
              <w:t xml:space="preserve">RSCI </w:t>
            </w:r>
            <w:r w:rsidRPr="00B13104">
              <w:rPr>
                <w:rFonts w:ascii="Times New Roman" w:hAnsi="Times New Roman"/>
                <w:bCs/>
                <w:iCs/>
                <w:sz w:val="20"/>
                <w:szCs w:val="20"/>
                <w:lang w:val="en-US"/>
              </w:rPr>
              <w:t>SPIN-</w:t>
            </w:r>
            <w:r>
              <w:rPr>
                <w:rFonts w:ascii="Times New Roman" w:hAnsi="Times New Roman"/>
                <w:bCs/>
                <w:iCs/>
                <w:sz w:val="20"/>
                <w:szCs w:val="20"/>
                <w:lang w:val="en-US"/>
              </w:rPr>
              <w:t>code</w:t>
            </w:r>
            <w:r w:rsidRPr="00B13104">
              <w:rPr>
                <w:rFonts w:ascii="Times New Roman" w:hAnsi="Times New Roman"/>
                <w:bCs/>
                <w:iCs/>
                <w:sz w:val="20"/>
                <w:szCs w:val="20"/>
                <w:lang w:val="en-US"/>
              </w:rPr>
              <w:t>: 6369-8889</w:t>
            </w:r>
          </w:p>
          <w:p w:rsidR="006E0B3E" w:rsidRPr="007D18DE" w:rsidRDefault="00B13104" w:rsidP="007D18DE">
            <w:pPr>
              <w:spacing w:after="0" w:line="240" w:lineRule="auto"/>
              <w:rPr>
                <w:rFonts w:ascii="Times New Roman" w:hAnsi="Times New Roman"/>
                <w:bCs/>
                <w:iCs/>
                <w:sz w:val="20"/>
                <w:szCs w:val="20"/>
                <w:lang w:val="en-US"/>
              </w:rPr>
            </w:pPr>
            <w:hyperlink r:id="rId9" w:history="1">
              <w:r w:rsidR="006E0B3E" w:rsidRPr="007D18DE">
                <w:rPr>
                  <w:rStyle w:val="a6"/>
                  <w:rFonts w:ascii="Times New Roman" w:hAnsi="Times New Roman"/>
                  <w:bCs/>
                  <w:iCs/>
                  <w:sz w:val="20"/>
                  <w:szCs w:val="20"/>
                  <w:lang w:val="en-US"/>
                </w:rPr>
                <w:t>aprakh@yandex.ru</w:t>
              </w:r>
            </w:hyperlink>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Ageeva Natalia Mikhailovna</w:t>
            </w: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Dr.Sci.Tech., main scientific worker, professor</w:t>
            </w: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RSCI SPIN</w:t>
            </w:r>
            <w:r>
              <w:rPr>
                <w:rFonts w:ascii="Times New Roman" w:hAnsi="Times New Roman"/>
                <w:bCs/>
                <w:iCs/>
                <w:sz w:val="20"/>
                <w:szCs w:val="20"/>
                <w:lang w:val="en-US"/>
              </w:rPr>
              <w:t>-code</w:t>
            </w:r>
            <w:r w:rsidRPr="007D18DE">
              <w:rPr>
                <w:rFonts w:ascii="Times New Roman" w:hAnsi="Times New Roman"/>
                <w:bCs/>
                <w:iCs/>
                <w:sz w:val="20"/>
                <w:szCs w:val="20"/>
                <w:lang w:val="en-US"/>
              </w:rPr>
              <w:t>: 3807-3865</w:t>
            </w:r>
          </w:p>
          <w:p w:rsidR="006E0B3E" w:rsidRPr="007D18DE" w:rsidRDefault="006E0B3E" w:rsidP="007D18DE">
            <w:pPr>
              <w:spacing w:after="0" w:line="240" w:lineRule="auto"/>
              <w:rPr>
                <w:rFonts w:ascii="Times New Roman" w:hAnsi="Times New Roman"/>
                <w:bCs/>
                <w:i/>
                <w:iCs/>
                <w:sz w:val="20"/>
                <w:szCs w:val="20"/>
                <w:lang w:val="en-US"/>
              </w:rPr>
            </w:pPr>
            <w:r w:rsidRPr="007D18DE">
              <w:rPr>
                <w:rFonts w:ascii="Times New Roman" w:hAnsi="Times New Roman"/>
                <w:bCs/>
                <w:i/>
                <w:iCs/>
                <w:sz w:val="20"/>
                <w:szCs w:val="20"/>
                <w:lang w:val="en-US"/>
              </w:rPr>
              <w:t xml:space="preserve">North Caucasus Federal scientific center for horticulture, viticulture, winemaking, </w:t>
            </w:r>
            <w:r>
              <w:rPr>
                <w:rFonts w:ascii="Times New Roman" w:hAnsi="Times New Roman"/>
                <w:bCs/>
                <w:i/>
                <w:iCs/>
                <w:sz w:val="20"/>
                <w:szCs w:val="20"/>
                <w:lang w:val="en-US"/>
              </w:rPr>
              <w:t>Krasnodar, Russia</w:t>
            </w:r>
          </w:p>
          <w:p w:rsidR="006E0B3E" w:rsidRDefault="006E0B3E" w:rsidP="007D18DE">
            <w:pPr>
              <w:spacing w:after="0" w:line="240" w:lineRule="auto"/>
              <w:rPr>
                <w:rFonts w:ascii="Times New Roman" w:hAnsi="Times New Roman"/>
                <w:b/>
                <w:bCs/>
                <w:iCs/>
                <w:sz w:val="20"/>
                <w:szCs w:val="20"/>
                <w:lang w:val="en-US"/>
              </w:rPr>
            </w:pPr>
          </w:p>
          <w:p w:rsidR="006E0B3E" w:rsidRDefault="006E0B3E" w:rsidP="007D18DE">
            <w:pPr>
              <w:spacing w:after="0" w:line="240" w:lineRule="auto"/>
              <w:rPr>
                <w:rFonts w:ascii="Times New Roman" w:hAnsi="Times New Roman"/>
                <w:b/>
                <w:bCs/>
                <w:iCs/>
                <w:sz w:val="20"/>
                <w:szCs w:val="20"/>
                <w:lang w:val="en-US"/>
              </w:rPr>
            </w:pPr>
          </w:p>
          <w:p w:rsidR="006E0B3E" w:rsidRPr="007D18DE" w:rsidRDefault="006E0B3E" w:rsidP="007D18DE">
            <w:pPr>
              <w:spacing w:after="0" w:line="240" w:lineRule="auto"/>
              <w:rPr>
                <w:rFonts w:ascii="Times New Roman" w:hAnsi="Times New Roman"/>
                <w:b/>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Dergachev Dmitriy Vladimirovich</w:t>
            </w:r>
          </w:p>
          <w:p w:rsidR="006E0B3E" w:rsidRPr="007D18DE" w:rsidRDefault="006E0B3E" w:rsidP="007D18DE">
            <w:pPr>
              <w:spacing w:after="0" w:line="240" w:lineRule="auto"/>
              <w:rPr>
                <w:rFonts w:ascii="Times New Roman" w:hAnsi="Times New Roman"/>
                <w:bCs/>
                <w:iCs/>
                <w:sz w:val="20"/>
                <w:szCs w:val="20"/>
                <w:lang w:val="en-US"/>
              </w:rPr>
            </w:pPr>
            <w:r>
              <w:rPr>
                <w:rFonts w:ascii="Times New Roman" w:hAnsi="Times New Roman"/>
                <w:bCs/>
                <w:iCs/>
                <w:sz w:val="20"/>
                <w:szCs w:val="20"/>
                <w:lang w:val="en-US"/>
              </w:rPr>
              <w:t>Сand.</w:t>
            </w:r>
            <w:r w:rsidRPr="007D18DE">
              <w:rPr>
                <w:rFonts w:ascii="Times New Roman" w:hAnsi="Times New Roman"/>
                <w:bCs/>
                <w:iCs/>
                <w:sz w:val="20"/>
                <w:szCs w:val="20"/>
                <w:lang w:val="en-US"/>
              </w:rPr>
              <w:t>Аgr.Sci.</w:t>
            </w:r>
            <w:r>
              <w:rPr>
                <w:rFonts w:ascii="Times New Roman" w:hAnsi="Times New Roman"/>
                <w:bCs/>
                <w:iCs/>
                <w:sz w:val="20"/>
                <w:szCs w:val="20"/>
                <w:lang w:val="en-US"/>
              </w:rPr>
              <w:t xml:space="preserve">, </w:t>
            </w:r>
            <w:r w:rsidRPr="007D18DE">
              <w:rPr>
                <w:rFonts w:ascii="Times New Roman" w:hAnsi="Times New Roman"/>
                <w:bCs/>
                <w:iCs/>
                <w:sz w:val="20"/>
                <w:szCs w:val="20"/>
                <w:lang w:val="en-US"/>
              </w:rPr>
              <w:t>Director</w:t>
            </w:r>
          </w:p>
          <w:p w:rsidR="006E0B3E" w:rsidRPr="007D18DE" w:rsidRDefault="006E0B3E" w:rsidP="007D18DE">
            <w:pPr>
              <w:spacing w:after="0" w:line="240" w:lineRule="auto"/>
              <w:rPr>
                <w:rFonts w:ascii="Times New Roman" w:hAnsi="Times New Roman"/>
                <w:bCs/>
                <w:i/>
                <w:iCs/>
                <w:sz w:val="20"/>
                <w:szCs w:val="20"/>
                <w:lang w:val="en-US"/>
              </w:rPr>
            </w:pPr>
            <w:r w:rsidRPr="007D18DE">
              <w:rPr>
                <w:rFonts w:ascii="Times New Roman" w:hAnsi="Times New Roman"/>
                <w:bCs/>
                <w:i/>
                <w:iCs/>
                <w:sz w:val="20"/>
                <w:szCs w:val="20"/>
                <w:lang w:val="en-US"/>
              </w:rPr>
              <w:t xml:space="preserve">IK TBC, Ltd, </w:t>
            </w:r>
            <w:smartTag w:uri="urn:schemas-microsoft-com:office:smarttags" w:element="place">
              <w:smartTag w:uri="urn:schemas-microsoft-com:office:smarttags" w:element="country-region">
                <w:r w:rsidRPr="007D18DE">
                  <w:rPr>
                    <w:rFonts w:ascii="Times New Roman" w:hAnsi="Times New Roman"/>
                    <w:bCs/>
                    <w:i/>
                    <w:iCs/>
                    <w:sz w:val="20"/>
                    <w:szCs w:val="20"/>
                    <w:lang w:val="en-US"/>
                  </w:rPr>
                  <w:t>Russia</w:t>
                </w:r>
              </w:smartTag>
            </w:smartTag>
          </w:p>
          <w:p w:rsidR="006E0B3E" w:rsidRPr="007D18DE" w:rsidRDefault="006E0B3E" w:rsidP="007D18DE">
            <w:pPr>
              <w:spacing w:after="0" w:line="240" w:lineRule="auto"/>
              <w:rPr>
                <w:rFonts w:ascii="Times New Roman" w:hAnsi="Times New Roman"/>
                <w:b/>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Pr>
                <w:rFonts w:ascii="Times New Roman" w:hAnsi="Times New Roman"/>
                <w:bCs/>
                <w:iCs/>
                <w:sz w:val="20"/>
                <w:szCs w:val="20"/>
                <w:lang w:val="en-US"/>
              </w:rPr>
              <w:t xml:space="preserve">In the article, we have studied </w:t>
            </w:r>
            <w:r w:rsidRPr="007D18DE">
              <w:rPr>
                <w:rFonts w:ascii="Times New Roman" w:hAnsi="Times New Roman"/>
                <w:bCs/>
                <w:iCs/>
                <w:sz w:val="20"/>
                <w:szCs w:val="20"/>
                <w:lang w:val="en-US"/>
              </w:rPr>
              <w:t>the influence of biological nitrogen deposition on the physical and chemical parameters of natural semi-sweet wine,</w:t>
            </w:r>
            <w:r>
              <w:rPr>
                <w:rFonts w:ascii="Times New Roman" w:hAnsi="Times New Roman"/>
                <w:bCs/>
                <w:iCs/>
                <w:sz w:val="20"/>
                <w:szCs w:val="20"/>
                <w:lang w:val="en-US"/>
              </w:rPr>
              <w:t xml:space="preserve"> o</w:t>
            </w:r>
            <w:r w:rsidRPr="007D18DE">
              <w:rPr>
                <w:rFonts w:ascii="Times New Roman" w:hAnsi="Times New Roman"/>
                <w:bCs/>
                <w:iCs/>
                <w:sz w:val="20"/>
                <w:szCs w:val="20"/>
                <w:lang w:val="en-US"/>
              </w:rPr>
              <w:t>n the example of two grape varieties – classic European Chardonnay and interspecific hybrid Ekaterinodar</w:t>
            </w:r>
            <w:r>
              <w:rPr>
                <w:rFonts w:ascii="Times New Roman" w:hAnsi="Times New Roman"/>
                <w:bCs/>
                <w:iCs/>
                <w:sz w:val="20"/>
                <w:szCs w:val="20"/>
                <w:lang w:val="en-US"/>
              </w:rPr>
              <w:t xml:space="preserve">, </w:t>
            </w:r>
            <w:r w:rsidRPr="007D18DE">
              <w:rPr>
                <w:rFonts w:ascii="Times New Roman" w:hAnsi="Times New Roman"/>
                <w:bCs/>
                <w:iCs/>
                <w:sz w:val="20"/>
                <w:szCs w:val="20"/>
                <w:lang w:val="en-US"/>
              </w:rPr>
              <w:t>including amino acids and aroma-forming components. It is established</w:t>
            </w:r>
            <w:r>
              <w:rPr>
                <w:rFonts w:ascii="Times New Roman" w:hAnsi="Times New Roman"/>
                <w:bCs/>
                <w:iCs/>
                <w:sz w:val="20"/>
                <w:szCs w:val="20"/>
                <w:lang w:val="en-US"/>
              </w:rPr>
              <w:t>,</w:t>
            </w:r>
            <w:r w:rsidRPr="007D18DE">
              <w:rPr>
                <w:rFonts w:ascii="Times New Roman" w:hAnsi="Times New Roman"/>
                <w:bCs/>
                <w:iCs/>
                <w:sz w:val="20"/>
                <w:szCs w:val="20"/>
                <w:lang w:val="en-US"/>
              </w:rPr>
              <w:t xml:space="preserve"> that the use of the proposed technology contributes to the active consumption of amino acids by yeast in the fermentation stage. At the same time, yeast cells consumed most actively alanine, valine, phenylalanine, histidine, aspartic, aminobutyric, glutamic acids, leucine, lysine, Sirin, tyrosine, threonine. A slight increase in the concentration of amino acids was observed at the end of fermentation, when the yeast cells entered the stationary phase of development. However, the content of all amino acids, with the exception of Proline, in the wine material was less than in grapes and fermenting </w:t>
            </w:r>
            <w:r w:rsidR="00F71EBD" w:rsidRPr="007D18DE">
              <w:rPr>
                <w:rFonts w:ascii="Times New Roman" w:hAnsi="Times New Roman"/>
                <w:bCs/>
                <w:iCs/>
                <w:sz w:val="20"/>
                <w:szCs w:val="20"/>
                <w:lang w:val="en-US"/>
              </w:rPr>
              <w:t>wort</w:t>
            </w:r>
            <w:r w:rsidRPr="007D18DE">
              <w:rPr>
                <w:rFonts w:ascii="Times New Roman" w:hAnsi="Times New Roman"/>
                <w:bCs/>
                <w:iCs/>
                <w:sz w:val="20"/>
                <w:szCs w:val="20"/>
                <w:lang w:val="en-US"/>
              </w:rPr>
              <w:t>. As a result of biological nitrogen deposition in experimental versions, the concentration of nitrogen compounds (tot</w:t>
            </w:r>
            <w:bookmarkStart w:id="0" w:name="_GoBack"/>
            <w:bookmarkEnd w:id="0"/>
            <w:r w:rsidRPr="007D18DE">
              <w:rPr>
                <w:rFonts w:ascii="Times New Roman" w:hAnsi="Times New Roman"/>
                <w:bCs/>
                <w:iCs/>
                <w:sz w:val="20"/>
                <w:szCs w:val="20"/>
                <w:lang w:val="en-US"/>
              </w:rPr>
              <w:t xml:space="preserve">al and amine nitrogen) was three times less than in the control ones. There is a difference in the concentration of flavor-forming components in wines prepared from both grape varieties using different technologies. In experimental versions, </w:t>
            </w:r>
            <w:r>
              <w:rPr>
                <w:rFonts w:ascii="Times New Roman" w:hAnsi="Times New Roman"/>
                <w:bCs/>
                <w:iCs/>
                <w:sz w:val="20"/>
                <w:szCs w:val="20"/>
                <w:lang w:val="en-US"/>
              </w:rPr>
              <w:t xml:space="preserve">we observed </w:t>
            </w:r>
            <w:r w:rsidRPr="007D18DE">
              <w:rPr>
                <w:rFonts w:ascii="Times New Roman" w:hAnsi="Times New Roman"/>
                <w:bCs/>
                <w:iCs/>
                <w:sz w:val="20"/>
                <w:szCs w:val="20"/>
                <w:lang w:val="en-US"/>
              </w:rPr>
              <w:t xml:space="preserve">a greater accumulation of almost all components of the aroma-binding complex (especially esters, terpenes, phenylethanol, and ionone), with the exception of higher alcohols. Experimental samples of natural </w:t>
            </w:r>
            <w:r w:rsidRPr="007D18DE">
              <w:rPr>
                <w:rFonts w:ascii="Times New Roman" w:hAnsi="Times New Roman"/>
                <w:bCs/>
                <w:iCs/>
                <w:sz w:val="20"/>
                <w:szCs w:val="20"/>
                <w:lang w:val="en-US"/>
              </w:rPr>
              <w:lastRenderedPageBreak/>
              <w:t>semi-sweet wines from the Chardonnay and Ekaterinodar grape varieties were characterized by a bright floral and fruit aroma and had a higher tasting rating in compari</w:t>
            </w:r>
            <w:r>
              <w:rPr>
                <w:rFonts w:ascii="Times New Roman" w:hAnsi="Times New Roman"/>
                <w:bCs/>
                <w:iCs/>
                <w:sz w:val="20"/>
                <w:szCs w:val="20"/>
                <w:lang w:val="en-US"/>
              </w:rPr>
              <w:t>son with the classic technology</w:t>
            </w: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p>
          <w:p w:rsidR="006E0B3E" w:rsidRPr="007D18DE" w:rsidRDefault="006E0B3E" w:rsidP="007D18DE">
            <w:pPr>
              <w:spacing w:after="0" w:line="240" w:lineRule="auto"/>
              <w:rPr>
                <w:rFonts w:ascii="Times New Roman" w:hAnsi="Times New Roman"/>
                <w:bCs/>
                <w:iCs/>
                <w:sz w:val="20"/>
                <w:szCs w:val="20"/>
                <w:lang w:val="en-US"/>
              </w:rPr>
            </w:pPr>
            <w:r w:rsidRPr="007D18DE">
              <w:rPr>
                <w:rFonts w:ascii="Times New Roman" w:hAnsi="Times New Roman"/>
                <w:bCs/>
                <w:iCs/>
                <w:sz w:val="20"/>
                <w:szCs w:val="20"/>
                <w:lang w:val="en-US"/>
              </w:rPr>
              <w:t>Keywords: BIOLOGICAL NITROGEN REDUCTION, NITROGENOUS COMPOUNDS, AMINO ACIDS, AROMA COMP</w:t>
            </w:r>
            <w:r>
              <w:rPr>
                <w:rFonts w:ascii="Times New Roman" w:hAnsi="Times New Roman"/>
                <w:bCs/>
                <w:iCs/>
                <w:sz w:val="20"/>
                <w:szCs w:val="20"/>
                <w:lang w:val="en-US"/>
              </w:rPr>
              <w:t>ONENTS, ORGANOLEPTIC EVALUATION</w:t>
            </w:r>
          </w:p>
          <w:p w:rsidR="006E0B3E" w:rsidRPr="007D18DE" w:rsidRDefault="006E0B3E" w:rsidP="007D18DE">
            <w:pPr>
              <w:spacing w:after="0" w:line="240" w:lineRule="auto"/>
              <w:rPr>
                <w:rFonts w:ascii="Times New Roman" w:hAnsi="Times New Roman"/>
                <w:b/>
                <w:bCs/>
                <w:iCs/>
                <w:sz w:val="20"/>
                <w:szCs w:val="20"/>
                <w:lang w:val="en-US"/>
              </w:rPr>
            </w:pPr>
          </w:p>
        </w:tc>
      </w:tr>
    </w:tbl>
    <w:p w:rsidR="006E0B3E" w:rsidRPr="008B5A13" w:rsidRDefault="006E0B3E" w:rsidP="00846A62">
      <w:pPr>
        <w:pStyle w:val="20"/>
        <w:spacing w:line="360" w:lineRule="auto"/>
        <w:ind w:firstLine="680"/>
        <w:rPr>
          <w:b/>
          <w:i/>
          <w:color w:val="000000"/>
          <w:sz w:val="28"/>
          <w:szCs w:val="28"/>
          <w:lang w:val="en-US" w:eastAsia="ru-RU"/>
        </w:rPr>
      </w:pPr>
    </w:p>
    <w:p w:rsidR="006E0B3E" w:rsidRPr="00846A62" w:rsidRDefault="006E0B3E" w:rsidP="00846A62">
      <w:pPr>
        <w:pStyle w:val="20"/>
        <w:spacing w:line="360" w:lineRule="auto"/>
        <w:ind w:firstLine="680"/>
        <w:rPr>
          <w:color w:val="000000"/>
          <w:sz w:val="28"/>
          <w:szCs w:val="28"/>
          <w:lang w:eastAsia="ru-RU"/>
        </w:rPr>
      </w:pPr>
      <w:r w:rsidRPr="001E3D60">
        <w:rPr>
          <w:b/>
          <w:i/>
          <w:color w:val="000000"/>
          <w:sz w:val="28"/>
          <w:szCs w:val="28"/>
          <w:lang w:eastAsia="ru-RU"/>
        </w:rPr>
        <w:t>Введение.</w:t>
      </w:r>
      <w:r w:rsidRPr="001E3D60">
        <w:rPr>
          <w:color w:val="000000"/>
          <w:sz w:val="28"/>
          <w:szCs w:val="28"/>
          <w:lang w:eastAsia="ru-RU"/>
        </w:rPr>
        <w:t xml:space="preserve"> </w:t>
      </w:r>
      <w:r>
        <w:rPr>
          <w:color w:val="000000"/>
          <w:sz w:val="28"/>
          <w:szCs w:val="28"/>
          <w:lang w:eastAsia="ru-RU"/>
        </w:rPr>
        <w:t xml:space="preserve">Современная нормативная документация предусматривает производство вин с остаточным сахаром (природно-полусухих и природно-полусладких) путем остановки спиртового брожения одним из известных способов </w:t>
      </w:r>
      <w:r w:rsidRPr="000F59C7">
        <w:rPr>
          <w:color w:val="000000"/>
          <w:sz w:val="28"/>
          <w:szCs w:val="28"/>
          <w:lang w:eastAsia="ru-RU"/>
        </w:rPr>
        <w:t>[</w:t>
      </w:r>
      <w:r>
        <w:rPr>
          <w:color w:val="000000"/>
          <w:sz w:val="28"/>
          <w:szCs w:val="28"/>
          <w:lang w:eastAsia="ru-RU"/>
        </w:rPr>
        <w:t>1,2</w:t>
      </w:r>
      <w:r w:rsidRPr="000F59C7">
        <w:rPr>
          <w:color w:val="000000"/>
          <w:sz w:val="28"/>
          <w:szCs w:val="28"/>
          <w:lang w:eastAsia="ru-RU"/>
        </w:rPr>
        <w:t>]</w:t>
      </w:r>
      <w:r>
        <w:rPr>
          <w:color w:val="000000"/>
          <w:sz w:val="28"/>
          <w:szCs w:val="28"/>
          <w:lang w:eastAsia="ru-RU"/>
        </w:rPr>
        <w:t>: отделением активных дрожжей от бродящего сусла, применением сорбентов, термическими воздействиями, мембранной фильтрацией и т.п. К числу перспективных и недостаточно изученных</w:t>
      </w:r>
      <w:r w:rsidRPr="006152CE">
        <w:rPr>
          <w:color w:val="000000"/>
          <w:sz w:val="28"/>
          <w:szCs w:val="28"/>
          <w:lang w:eastAsia="ru-RU"/>
        </w:rPr>
        <w:t>,</w:t>
      </w:r>
      <w:r>
        <w:rPr>
          <w:color w:val="000000"/>
          <w:sz w:val="28"/>
          <w:szCs w:val="28"/>
          <w:lang w:eastAsia="ru-RU"/>
        </w:rPr>
        <w:t xml:space="preserve"> относится технология производства полусухих и полусладких вин путем биологического азотопонижения </w:t>
      </w:r>
      <w:r w:rsidRPr="000F59C7">
        <w:rPr>
          <w:color w:val="000000"/>
          <w:sz w:val="28"/>
          <w:szCs w:val="28"/>
          <w:lang w:eastAsia="ru-RU"/>
        </w:rPr>
        <w:t>[</w:t>
      </w:r>
      <w:r>
        <w:rPr>
          <w:color w:val="000000"/>
          <w:sz w:val="28"/>
          <w:szCs w:val="28"/>
          <w:lang w:eastAsia="ru-RU"/>
        </w:rPr>
        <w:t>3,4</w:t>
      </w:r>
      <w:r w:rsidRPr="000F59C7">
        <w:rPr>
          <w:color w:val="000000"/>
          <w:sz w:val="28"/>
          <w:szCs w:val="28"/>
          <w:lang w:eastAsia="ru-RU"/>
        </w:rPr>
        <w:t>]</w:t>
      </w:r>
      <w:r>
        <w:rPr>
          <w:color w:val="000000"/>
          <w:sz w:val="28"/>
          <w:szCs w:val="28"/>
          <w:lang w:eastAsia="ru-RU"/>
        </w:rPr>
        <w:t>,</w:t>
      </w:r>
      <w:r w:rsidRPr="00CD5ECC">
        <w:rPr>
          <w:color w:val="000000"/>
          <w:sz w:val="28"/>
          <w:szCs w:val="28"/>
          <w:lang w:eastAsia="ru-RU"/>
        </w:rPr>
        <w:t xml:space="preserve"> </w:t>
      </w:r>
      <w:r w:rsidRPr="003068E4">
        <w:rPr>
          <w:color w:val="000000"/>
          <w:sz w:val="28"/>
          <w:szCs w:val="28"/>
          <w:lang w:eastAsia="ru-RU"/>
        </w:rPr>
        <w:t>о</w:t>
      </w:r>
      <w:r w:rsidRPr="003068E4">
        <w:rPr>
          <w:color w:val="222222"/>
          <w:sz w:val="28"/>
          <w:szCs w:val="28"/>
          <w:shd w:val="clear" w:color="auto" w:fill="FFFFFF"/>
        </w:rPr>
        <w:t>снованная на усилении ассимиляции микроорганизмами усв</w:t>
      </w:r>
      <w:r>
        <w:rPr>
          <w:color w:val="222222"/>
          <w:sz w:val="28"/>
          <w:szCs w:val="28"/>
          <w:shd w:val="clear" w:color="auto" w:fill="FFFFFF"/>
        </w:rPr>
        <w:t>аивае</w:t>
      </w:r>
      <w:r w:rsidRPr="003068E4">
        <w:rPr>
          <w:color w:val="222222"/>
          <w:sz w:val="28"/>
          <w:szCs w:val="28"/>
          <w:shd w:val="clear" w:color="auto" w:fill="FFFFFF"/>
        </w:rPr>
        <w:t xml:space="preserve">мых азотсодержащих компонентов </w:t>
      </w:r>
      <w:r w:rsidRPr="003068E4">
        <w:rPr>
          <w:color w:val="000000"/>
          <w:sz w:val="28"/>
          <w:szCs w:val="28"/>
          <w:lang w:eastAsia="ru-RU"/>
        </w:rPr>
        <w:t>бродящей среды</w:t>
      </w:r>
      <w:r w:rsidRPr="003068E4">
        <w:rPr>
          <w:color w:val="222222"/>
          <w:sz w:val="28"/>
          <w:szCs w:val="28"/>
          <w:shd w:val="clear" w:color="auto" w:fill="FFFFFF"/>
        </w:rPr>
        <w:t>, необходимых клетке для поддержания активного физиологического состояния и биосинтетических функций</w:t>
      </w:r>
      <w:r w:rsidRPr="003068E4">
        <w:rPr>
          <w:color w:val="000000"/>
          <w:sz w:val="28"/>
          <w:szCs w:val="28"/>
          <w:lang w:eastAsia="ru-RU"/>
        </w:rPr>
        <w:t xml:space="preserve">. </w:t>
      </w:r>
      <w:r w:rsidRPr="00846A62">
        <w:rPr>
          <w:color w:val="222222"/>
          <w:sz w:val="28"/>
          <w:szCs w:val="28"/>
          <w:shd w:val="clear" w:color="auto" w:fill="FFFFFF"/>
        </w:rPr>
        <w:t xml:space="preserve">При брожении, с одной стороны, происходит потребление азотистых веществ размножающимися </w:t>
      </w:r>
      <w:r>
        <w:rPr>
          <w:color w:val="222222"/>
          <w:sz w:val="28"/>
          <w:szCs w:val="28"/>
          <w:shd w:val="clear" w:color="auto" w:fill="FFFFFF"/>
        </w:rPr>
        <w:t>дрожжами</w:t>
      </w:r>
      <w:r w:rsidRPr="00846A62">
        <w:rPr>
          <w:color w:val="222222"/>
          <w:sz w:val="28"/>
          <w:szCs w:val="28"/>
          <w:shd w:val="clear" w:color="auto" w:fill="FFFFFF"/>
        </w:rPr>
        <w:t>, главным образом на логарифмической фазе роста,</w:t>
      </w:r>
      <w:r>
        <w:rPr>
          <w:rFonts w:ascii="Verdana" w:hAnsi="Verdana"/>
          <w:color w:val="222222"/>
          <w:sz w:val="23"/>
          <w:szCs w:val="23"/>
          <w:shd w:val="clear" w:color="auto" w:fill="FFFFFF"/>
        </w:rPr>
        <w:t> </w:t>
      </w:r>
      <w:r w:rsidRPr="00846A62">
        <w:rPr>
          <w:color w:val="222222"/>
          <w:sz w:val="28"/>
          <w:szCs w:val="28"/>
          <w:shd w:val="clear" w:color="auto" w:fill="FFFFFF"/>
        </w:rPr>
        <w:t xml:space="preserve">а с другой </w:t>
      </w:r>
      <w:r>
        <w:rPr>
          <w:color w:val="222222"/>
          <w:sz w:val="28"/>
          <w:szCs w:val="28"/>
          <w:shd w:val="clear" w:color="auto" w:fill="FFFFFF"/>
        </w:rPr>
        <w:t>-</w:t>
      </w:r>
      <w:r w:rsidRPr="00846A62">
        <w:rPr>
          <w:color w:val="222222"/>
          <w:sz w:val="28"/>
          <w:szCs w:val="28"/>
          <w:shd w:val="clear" w:color="auto" w:fill="FFFFFF"/>
        </w:rPr>
        <w:t xml:space="preserve"> выделение их клетками в виномате</w:t>
      </w:r>
      <w:r>
        <w:rPr>
          <w:color w:val="222222"/>
          <w:sz w:val="28"/>
          <w:szCs w:val="28"/>
          <w:shd w:val="clear" w:color="auto" w:fill="FFFFFF"/>
        </w:rPr>
        <w:t>риал</w:t>
      </w:r>
      <w:r w:rsidRPr="00846A62">
        <w:rPr>
          <w:color w:val="222222"/>
          <w:sz w:val="28"/>
          <w:szCs w:val="28"/>
          <w:shd w:val="clear" w:color="auto" w:fill="FFFFFF"/>
        </w:rPr>
        <w:t xml:space="preserve"> в период стационарной фазы развития дрожжей и фазы отмирания.</w:t>
      </w:r>
      <w:r>
        <w:rPr>
          <w:color w:val="222222"/>
          <w:sz w:val="28"/>
          <w:szCs w:val="28"/>
          <w:shd w:val="clear" w:color="auto" w:fill="FFFFFF"/>
        </w:rPr>
        <w:t xml:space="preserve"> Задача специалистов – тщательный контроль азотистых веществ в период брожения. Необходимо отделить дрожжевые клетки от молодого виноматериала в тот момент, когда концентрация азотистых соединений достигла минимального значения. </w:t>
      </w:r>
    </w:p>
    <w:p w:rsidR="006E0B3E" w:rsidRDefault="006E0B3E" w:rsidP="00D52F77">
      <w:pPr>
        <w:spacing w:after="0" w:line="360" w:lineRule="auto"/>
        <w:ind w:firstLine="680"/>
        <w:jc w:val="both"/>
        <w:rPr>
          <w:rFonts w:ascii="Times New Roman" w:hAnsi="Times New Roman"/>
          <w:color w:val="000000"/>
          <w:sz w:val="28"/>
          <w:szCs w:val="28"/>
          <w:lang w:eastAsia="ru-RU"/>
        </w:rPr>
      </w:pPr>
      <w:r w:rsidRPr="00D52F77">
        <w:rPr>
          <w:rFonts w:ascii="Times New Roman" w:hAnsi="Times New Roman"/>
          <w:color w:val="000000"/>
          <w:sz w:val="28"/>
          <w:szCs w:val="28"/>
          <w:lang w:eastAsia="ru-RU"/>
        </w:rPr>
        <w:lastRenderedPageBreak/>
        <w:t>В процессе брожения аминокислоты претерпевают существенные изменения.</w:t>
      </w:r>
      <w:r w:rsidRPr="007D1A73">
        <w:rPr>
          <w:color w:val="000000"/>
          <w:sz w:val="28"/>
          <w:szCs w:val="28"/>
          <w:lang w:eastAsia="ru-RU"/>
        </w:rPr>
        <w:t xml:space="preserve"> </w:t>
      </w:r>
      <w:r>
        <w:rPr>
          <w:rFonts w:ascii="Times New Roman" w:hAnsi="Times New Roman"/>
          <w:color w:val="222222"/>
          <w:sz w:val="28"/>
          <w:szCs w:val="28"/>
          <w:shd w:val="clear" w:color="auto" w:fill="FFFFFF"/>
        </w:rPr>
        <w:t xml:space="preserve">Известно </w:t>
      </w:r>
      <w:r w:rsidRPr="002F710B">
        <w:rPr>
          <w:color w:val="000000"/>
          <w:sz w:val="28"/>
          <w:szCs w:val="28"/>
          <w:lang w:eastAsia="ru-RU"/>
        </w:rPr>
        <w:t>[</w:t>
      </w:r>
      <w:r w:rsidRPr="00354259">
        <w:rPr>
          <w:rFonts w:ascii="Times New Roman" w:hAnsi="Times New Roman"/>
          <w:color w:val="000000"/>
          <w:sz w:val="28"/>
          <w:szCs w:val="28"/>
          <w:lang w:eastAsia="ru-RU"/>
        </w:rPr>
        <w:t>5,6,7</w:t>
      </w:r>
      <w:r w:rsidRPr="002F710B">
        <w:rPr>
          <w:color w:val="000000"/>
          <w:sz w:val="28"/>
          <w:szCs w:val="28"/>
          <w:lang w:eastAsia="ru-RU"/>
        </w:rPr>
        <w:t>]</w:t>
      </w:r>
      <w:r>
        <w:rPr>
          <w:color w:val="000000"/>
          <w:sz w:val="28"/>
          <w:szCs w:val="28"/>
          <w:lang w:eastAsia="ru-RU"/>
        </w:rPr>
        <w:t xml:space="preserve">, </w:t>
      </w:r>
      <w:r w:rsidRPr="00D52F77">
        <w:rPr>
          <w:rFonts w:ascii="Times New Roman" w:hAnsi="Times New Roman"/>
          <w:color w:val="000000"/>
          <w:sz w:val="28"/>
          <w:szCs w:val="28"/>
          <w:lang w:eastAsia="ru-RU"/>
        </w:rPr>
        <w:t>что</w:t>
      </w:r>
      <w:r>
        <w:rPr>
          <w:rFonts w:ascii="Times New Roman" w:hAnsi="Times New Roman"/>
          <w:color w:val="000000"/>
          <w:sz w:val="28"/>
          <w:szCs w:val="28"/>
          <w:lang w:eastAsia="ru-RU"/>
        </w:rPr>
        <w:t xml:space="preserve"> </w:t>
      </w:r>
      <w:r>
        <w:rPr>
          <w:rFonts w:ascii="Times New Roman" w:hAnsi="Times New Roman"/>
          <w:color w:val="222222"/>
          <w:sz w:val="28"/>
          <w:szCs w:val="28"/>
          <w:shd w:val="clear" w:color="auto" w:fill="FFFFFF"/>
        </w:rPr>
        <w:t xml:space="preserve">дрожжами </w:t>
      </w:r>
      <w:r w:rsidRPr="00D52F77">
        <w:rPr>
          <w:rFonts w:ascii="Times New Roman" w:hAnsi="Times New Roman"/>
          <w:color w:val="222222"/>
          <w:sz w:val="28"/>
          <w:szCs w:val="28"/>
          <w:shd w:val="clear" w:color="auto" w:fill="FFFFFF"/>
        </w:rPr>
        <w:t xml:space="preserve">наиболее легко усваиваются изолейцин, триптофан, аргинин, валин, гистидин и аспарагиновая кислота, плохо </w:t>
      </w:r>
      <w:r>
        <w:rPr>
          <w:rFonts w:ascii="Times New Roman" w:hAnsi="Times New Roman"/>
          <w:color w:val="222222"/>
          <w:sz w:val="28"/>
          <w:szCs w:val="28"/>
          <w:shd w:val="clear" w:color="auto" w:fill="FFFFFF"/>
        </w:rPr>
        <w:t>-</w:t>
      </w:r>
      <w:r w:rsidRPr="00D52F77">
        <w:rPr>
          <w:rFonts w:ascii="Times New Roman" w:hAnsi="Times New Roman"/>
          <w:color w:val="222222"/>
          <w:sz w:val="28"/>
          <w:szCs w:val="28"/>
          <w:shd w:val="clear" w:color="auto" w:fill="FFFFFF"/>
        </w:rPr>
        <w:t xml:space="preserve"> треонин, фенилаланин, тирозин, метионин, серии, лизин, глицин, глутаминовая кислота, лейцин и пролин.</w:t>
      </w:r>
      <w:r>
        <w:rPr>
          <w:rFonts w:ascii="Times New Roman" w:hAnsi="Times New Roman"/>
          <w:color w:val="222222"/>
          <w:sz w:val="28"/>
          <w:szCs w:val="28"/>
          <w:shd w:val="clear" w:color="auto" w:fill="FFFFFF"/>
        </w:rPr>
        <w:t xml:space="preserve"> </w:t>
      </w:r>
      <w:r w:rsidRPr="00D52F77">
        <w:rPr>
          <w:rFonts w:ascii="Times New Roman" w:hAnsi="Times New Roman"/>
          <w:color w:val="000000"/>
          <w:sz w:val="28"/>
          <w:szCs w:val="28"/>
          <w:lang w:eastAsia="ru-RU"/>
        </w:rPr>
        <w:t>Как показывают результаты и</w:t>
      </w:r>
      <w:r>
        <w:rPr>
          <w:rFonts w:ascii="Times New Roman" w:hAnsi="Times New Roman"/>
          <w:color w:val="000000"/>
          <w:sz w:val="28"/>
          <w:szCs w:val="28"/>
          <w:lang w:eastAsia="ru-RU"/>
        </w:rPr>
        <w:t>сследований химического состава</w:t>
      </w:r>
      <w:r w:rsidRPr="00D52F77">
        <w:rPr>
          <w:rFonts w:ascii="Times New Roman" w:hAnsi="Times New Roman"/>
          <w:color w:val="000000"/>
          <w:sz w:val="28"/>
          <w:szCs w:val="28"/>
          <w:lang w:eastAsia="ru-RU"/>
        </w:rPr>
        <w:t xml:space="preserve"> виноматериалов [</w:t>
      </w:r>
      <w:r>
        <w:rPr>
          <w:rFonts w:ascii="Times New Roman" w:hAnsi="Times New Roman"/>
          <w:color w:val="000000"/>
          <w:sz w:val="28"/>
          <w:szCs w:val="28"/>
          <w:lang w:eastAsia="ru-RU"/>
        </w:rPr>
        <w:t>8,9</w:t>
      </w:r>
      <w:r w:rsidRPr="00D52F77">
        <w:rPr>
          <w:rFonts w:ascii="Times New Roman" w:hAnsi="Times New Roman"/>
          <w:color w:val="000000"/>
          <w:sz w:val="28"/>
          <w:szCs w:val="28"/>
          <w:lang w:eastAsia="ru-RU"/>
        </w:rPr>
        <w:t xml:space="preserve">], приготовленных с использованием различных рас дрожжей, </w:t>
      </w:r>
      <w:r>
        <w:rPr>
          <w:rFonts w:ascii="Times New Roman" w:hAnsi="Times New Roman"/>
          <w:color w:val="000000"/>
          <w:sz w:val="28"/>
          <w:szCs w:val="28"/>
          <w:lang w:eastAsia="ru-RU"/>
        </w:rPr>
        <w:t xml:space="preserve">динамика потребления аминокислот различными расами дрожжей неодинакова и зависит не только от генетических особенностей клеток, но и от условий брожения. </w:t>
      </w:r>
    </w:p>
    <w:p w:rsidR="006E0B3E" w:rsidRPr="00D52F77" w:rsidRDefault="006E0B3E" w:rsidP="00D52F77">
      <w:pPr>
        <w:spacing w:after="0" w:line="360" w:lineRule="auto"/>
        <w:ind w:firstLine="680"/>
        <w:jc w:val="both"/>
        <w:rPr>
          <w:rFonts w:ascii="Times New Roman" w:hAnsi="Times New Roman"/>
          <w:color w:val="000000"/>
          <w:sz w:val="28"/>
          <w:szCs w:val="28"/>
          <w:lang w:eastAsia="ru-RU"/>
        </w:rPr>
      </w:pPr>
      <w:r w:rsidRPr="00B20DD5">
        <w:rPr>
          <w:rFonts w:ascii="Times New Roman" w:hAnsi="Times New Roman"/>
          <w:b/>
          <w:color w:val="000000"/>
          <w:sz w:val="28"/>
          <w:szCs w:val="28"/>
          <w:lang w:eastAsia="ru-RU"/>
        </w:rPr>
        <w:t>Цель работы</w:t>
      </w:r>
      <w:r>
        <w:rPr>
          <w:rFonts w:ascii="Times New Roman" w:hAnsi="Times New Roman"/>
          <w:color w:val="000000"/>
          <w:sz w:val="28"/>
          <w:szCs w:val="28"/>
          <w:lang w:eastAsia="ru-RU"/>
        </w:rPr>
        <w:t xml:space="preserve"> – установить динамику изменения концентрации аминокислот при брожении виноградного сусла в технологии природно-полусладких вин.</w:t>
      </w:r>
    </w:p>
    <w:p w:rsidR="006E0B3E" w:rsidRDefault="006E0B3E" w:rsidP="00E2501E">
      <w:pPr>
        <w:pStyle w:val="20"/>
        <w:spacing w:line="360" w:lineRule="auto"/>
        <w:ind w:firstLine="680"/>
        <w:rPr>
          <w:color w:val="000000"/>
          <w:sz w:val="28"/>
          <w:szCs w:val="28"/>
          <w:lang w:eastAsia="ru-RU"/>
        </w:rPr>
      </w:pPr>
      <w:r w:rsidRPr="001E3D60">
        <w:rPr>
          <w:b/>
          <w:i/>
          <w:color w:val="000000"/>
          <w:sz w:val="28"/>
          <w:szCs w:val="28"/>
          <w:lang w:eastAsia="ru-RU"/>
        </w:rPr>
        <w:t>Объекты и методы исследований.</w:t>
      </w:r>
      <w:r>
        <w:rPr>
          <w:color w:val="000000"/>
          <w:sz w:val="28"/>
          <w:szCs w:val="28"/>
          <w:lang w:eastAsia="ru-RU"/>
        </w:rPr>
        <w:t xml:space="preserve"> Для проведения исследований использовали сус</w:t>
      </w:r>
      <w:r w:rsidRPr="005874A8">
        <w:rPr>
          <w:color w:val="000000"/>
          <w:sz w:val="28"/>
          <w:szCs w:val="28"/>
          <w:lang w:eastAsia="ru-RU"/>
        </w:rPr>
        <w:t>ло бел</w:t>
      </w:r>
      <w:r>
        <w:rPr>
          <w:color w:val="000000"/>
          <w:sz w:val="28"/>
          <w:szCs w:val="28"/>
          <w:lang w:eastAsia="ru-RU"/>
        </w:rPr>
        <w:t>ых</w:t>
      </w:r>
      <w:r w:rsidRPr="005874A8">
        <w:rPr>
          <w:color w:val="000000"/>
          <w:sz w:val="28"/>
          <w:szCs w:val="28"/>
          <w:lang w:eastAsia="ru-RU"/>
        </w:rPr>
        <w:t xml:space="preserve"> сорт</w:t>
      </w:r>
      <w:r>
        <w:rPr>
          <w:color w:val="000000"/>
          <w:sz w:val="28"/>
          <w:szCs w:val="28"/>
          <w:lang w:eastAsia="ru-RU"/>
        </w:rPr>
        <w:t>ов</w:t>
      </w:r>
      <w:r w:rsidRPr="005874A8">
        <w:rPr>
          <w:color w:val="000000"/>
          <w:sz w:val="28"/>
          <w:szCs w:val="28"/>
          <w:lang w:eastAsia="ru-RU"/>
        </w:rPr>
        <w:t xml:space="preserve"> винограда </w:t>
      </w:r>
      <w:r>
        <w:rPr>
          <w:color w:val="000000"/>
          <w:sz w:val="28"/>
          <w:szCs w:val="28"/>
          <w:lang w:eastAsia="ru-RU"/>
        </w:rPr>
        <w:t>Шардоне и Екатеринодарский,</w:t>
      </w:r>
      <w:r w:rsidRPr="00B02A59">
        <w:rPr>
          <w:sz w:val="28"/>
          <w:szCs w:val="28"/>
        </w:rPr>
        <w:t xml:space="preserve"> </w:t>
      </w:r>
      <w:r w:rsidRPr="00C92A03">
        <w:rPr>
          <w:sz w:val="28"/>
          <w:szCs w:val="28"/>
        </w:rPr>
        <w:t xml:space="preserve">урожай 2019 года, </w:t>
      </w:r>
      <w:r>
        <w:rPr>
          <w:sz w:val="28"/>
          <w:szCs w:val="28"/>
        </w:rPr>
        <w:t xml:space="preserve">опытный участок </w:t>
      </w:r>
      <w:r w:rsidRPr="00C92A03">
        <w:rPr>
          <w:sz w:val="28"/>
          <w:lang w:eastAsia="ru-RU"/>
        </w:rPr>
        <w:t>АЗОСВиВ</w:t>
      </w:r>
      <w:r>
        <w:rPr>
          <w:sz w:val="28"/>
          <w:lang w:eastAsia="ru-RU"/>
        </w:rPr>
        <w:t xml:space="preserve"> (</w:t>
      </w:r>
      <w:r w:rsidRPr="00C92A03">
        <w:rPr>
          <w:sz w:val="28"/>
          <w:lang w:eastAsia="ru-RU"/>
        </w:rPr>
        <w:t>филиал ФГБНУ СКФНЦСВВ</w:t>
      </w:r>
      <w:r>
        <w:rPr>
          <w:sz w:val="28"/>
          <w:lang w:eastAsia="ru-RU"/>
        </w:rPr>
        <w:t>)</w:t>
      </w:r>
      <w:r>
        <w:rPr>
          <w:color w:val="000000"/>
          <w:sz w:val="28"/>
          <w:szCs w:val="28"/>
          <w:lang w:eastAsia="ru-RU"/>
        </w:rPr>
        <w:t>:</w:t>
      </w:r>
    </w:p>
    <w:p w:rsidR="006E0B3E" w:rsidRDefault="006E0B3E" w:rsidP="009F6003">
      <w:pPr>
        <w:spacing w:after="0" w:line="360" w:lineRule="auto"/>
        <w:ind w:firstLine="680"/>
        <w:jc w:val="both"/>
        <w:rPr>
          <w:rFonts w:ascii="Times New Roman" w:hAnsi="Times New Roman"/>
          <w:sz w:val="28"/>
          <w:szCs w:val="28"/>
        </w:rPr>
      </w:pPr>
      <w:r>
        <w:rPr>
          <w:rFonts w:ascii="Times New Roman" w:hAnsi="Times New Roman"/>
          <w:iCs/>
          <w:sz w:val="28"/>
          <w:szCs w:val="28"/>
        </w:rPr>
        <w:t>-</w:t>
      </w:r>
      <w:r w:rsidRPr="000F70E1">
        <w:rPr>
          <w:rFonts w:ascii="Times New Roman" w:hAnsi="Times New Roman"/>
          <w:iCs/>
          <w:sz w:val="28"/>
          <w:szCs w:val="28"/>
        </w:rPr>
        <w:t>Шардоне – белоягодный</w:t>
      </w:r>
      <w:r>
        <w:rPr>
          <w:rFonts w:ascii="Times New Roman" w:hAnsi="Times New Roman"/>
          <w:iCs/>
          <w:sz w:val="28"/>
          <w:szCs w:val="28"/>
        </w:rPr>
        <w:t xml:space="preserve">, классический европейский </w:t>
      </w:r>
      <w:r w:rsidRPr="000F70E1">
        <w:rPr>
          <w:rFonts w:ascii="Times New Roman" w:hAnsi="Times New Roman"/>
          <w:sz w:val="28"/>
          <w:szCs w:val="28"/>
        </w:rPr>
        <w:t>технический сорт винограда, относится к эколого-географической группе западноевропейских сортов винограда</w:t>
      </w:r>
      <w:r>
        <w:rPr>
          <w:rFonts w:ascii="Times New Roman" w:hAnsi="Times New Roman"/>
          <w:sz w:val="28"/>
          <w:szCs w:val="28"/>
        </w:rPr>
        <w:t>;</w:t>
      </w:r>
    </w:p>
    <w:p w:rsidR="006E0B3E" w:rsidRPr="000F70E1" w:rsidRDefault="006E0B3E" w:rsidP="009F6003">
      <w:pPr>
        <w:spacing w:after="0" w:line="360" w:lineRule="auto"/>
        <w:ind w:firstLine="680"/>
        <w:jc w:val="both"/>
        <w:rPr>
          <w:rFonts w:ascii="Times New Roman" w:hAnsi="Times New Roman"/>
          <w:sz w:val="28"/>
          <w:szCs w:val="28"/>
        </w:rPr>
      </w:pPr>
      <w:r w:rsidRPr="000F70E1">
        <w:rPr>
          <w:rFonts w:ascii="Times New Roman" w:hAnsi="Times New Roman"/>
          <w:sz w:val="28"/>
          <w:szCs w:val="28"/>
        </w:rPr>
        <w:t xml:space="preserve"> </w:t>
      </w:r>
      <w:r>
        <w:rPr>
          <w:rFonts w:ascii="Times New Roman" w:hAnsi="Times New Roman"/>
          <w:sz w:val="28"/>
          <w:szCs w:val="28"/>
        </w:rPr>
        <w:t>-</w:t>
      </w:r>
      <w:r w:rsidRPr="000F70E1">
        <w:rPr>
          <w:rFonts w:ascii="Times New Roman" w:hAnsi="Times New Roman"/>
          <w:iCs/>
          <w:sz w:val="28"/>
          <w:szCs w:val="28"/>
        </w:rPr>
        <w:t xml:space="preserve">Екатеринодарский – белоягодный </w:t>
      </w:r>
      <w:r w:rsidRPr="000F70E1">
        <w:rPr>
          <w:rFonts w:ascii="Times New Roman" w:hAnsi="Times New Roman"/>
          <w:sz w:val="28"/>
          <w:szCs w:val="28"/>
        </w:rPr>
        <w:t xml:space="preserve">сорт селекции СКЗНИИСиВ (г. Краснодар), получен при скрещивании Каберне </w:t>
      </w:r>
      <w:r>
        <w:rPr>
          <w:rFonts w:ascii="Times New Roman" w:hAnsi="Times New Roman"/>
          <w:sz w:val="28"/>
          <w:szCs w:val="28"/>
        </w:rPr>
        <w:t xml:space="preserve">Совиньон </w:t>
      </w:r>
      <w:r w:rsidRPr="000F70E1">
        <w:rPr>
          <w:rFonts w:ascii="Times New Roman" w:hAnsi="Times New Roman"/>
          <w:sz w:val="28"/>
          <w:szCs w:val="28"/>
        </w:rPr>
        <w:t xml:space="preserve">х Саперави северный. </w:t>
      </w:r>
    </w:p>
    <w:p w:rsidR="006E0B3E" w:rsidRPr="000F70E1" w:rsidRDefault="006E0B3E" w:rsidP="005B542C">
      <w:pPr>
        <w:pStyle w:val="20"/>
        <w:spacing w:line="360" w:lineRule="auto"/>
        <w:ind w:firstLine="680"/>
        <w:rPr>
          <w:color w:val="000000"/>
          <w:sz w:val="28"/>
          <w:szCs w:val="28"/>
          <w:lang w:eastAsia="ru-RU"/>
        </w:rPr>
      </w:pPr>
      <w:r w:rsidRPr="005874A8">
        <w:rPr>
          <w:color w:val="000000"/>
          <w:sz w:val="28"/>
          <w:szCs w:val="28"/>
          <w:lang w:eastAsia="ru-RU"/>
        </w:rPr>
        <w:t xml:space="preserve">Для </w:t>
      </w:r>
      <w:r w:rsidRPr="000F70E1">
        <w:rPr>
          <w:color w:val="000000"/>
          <w:sz w:val="28"/>
          <w:szCs w:val="28"/>
          <w:lang w:eastAsia="ru-RU"/>
        </w:rPr>
        <w:t xml:space="preserve">сбраживания виноградного </w:t>
      </w:r>
      <w:r>
        <w:rPr>
          <w:sz w:val="28"/>
          <w:szCs w:val="28"/>
          <w:lang w:eastAsia="ru-RU"/>
        </w:rPr>
        <w:t>сусла применяли</w:t>
      </w:r>
      <w:r w:rsidRPr="005B542C">
        <w:rPr>
          <w:sz w:val="28"/>
          <w:szCs w:val="28"/>
          <w:lang w:eastAsia="ru-RU"/>
        </w:rPr>
        <w:t xml:space="preserve"> расу активных сухих </w:t>
      </w:r>
      <w:r w:rsidRPr="000F70E1">
        <w:rPr>
          <w:color w:val="000000"/>
          <w:sz w:val="28"/>
          <w:szCs w:val="28"/>
          <w:lang w:eastAsia="ru-RU"/>
        </w:rPr>
        <w:t xml:space="preserve">дрожжей Actiflore </w:t>
      </w:r>
      <w:r w:rsidRPr="000F70E1">
        <w:rPr>
          <w:color w:val="000000"/>
          <w:sz w:val="28"/>
          <w:szCs w:val="28"/>
          <w:lang w:val="en-US" w:eastAsia="ru-RU"/>
        </w:rPr>
        <w:t>BO</w:t>
      </w:r>
      <w:r w:rsidRPr="000F70E1">
        <w:rPr>
          <w:color w:val="000000"/>
          <w:sz w:val="28"/>
          <w:szCs w:val="28"/>
          <w:lang w:eastAsia="ru-RU"/>
        </w:rPr>
        <w:t xml:space="preserve"> 213 (вид Saccharomyces cerevisiae), производитель фирма LAFFORT</w:t>
      </w:r>
      <w:r>
        <w:rPr>
          <w:color w:val="000000"/>
          <w:sz w:val="28"/>
          <w:szCs w:val="28"/>
          <w:lang w:eastAsia="ru-RU"/>
        </w:rPr>
        <w:t>, Франция</w:t>
      </w:r>
      <w:r w:rsidRPr="000F70E1">
        <w:rPr>
          <w:color w:val="000000"/>
          <w:sz w:val="28"/>
          <w:szCs w:val="28"/>
          <w:lang w:eastAsia="ru-RU"/>
        </w:rPr>
        <w:t xml:space="preserve">. </w:t>
      </w:r>
    </w:p>
    <w:p w:rsidR="006E0B3E" w:rsidRDefault="006E0B3E" w:rsidP="009F6003">
      <w:pPr>
        <w:pStyle w:val="20"/>
        <w:spacing w:line="360" w:lineRule="auto"/>
        <w:ind w:firstLine="680"/>
        <w:rPr>
          <w:sz w:val="28"/>
          <w:szCs w:val="28"/>
        </w:rPr>
      </w:pPr>
      <w:r w:rsidRPr="000F70E1">
        <w:rPr>
          <w:color w:val="000000"/>
          <w:sz w:val="28"/>
          <w:szCs w:val="28"/>
          <w:lang w:eastAsia="ru-RU"/>
        </w:rPr>
        <w:t xml:space="preserve">Брожение проводили в анаэробных условиях с применением гидрозатворов. </w:t>
      </w:r>
      <w:r>
        <w:rPr>
          <w:sz w:val="28"/>
          <w:szCs w:val="28"/>
        </w:rPr>
        <w:t>По достижении активного забраживания, процесс подавлялся</w:t>
      </w:r>
      <w:r w:rsidRPr="003F7ECC">
        <w:rPr>
          <w:sz w:val="28"/>
          <w:szCs w:val="28"/>
        </w:rPr>
        <w:t xml:space="preserve"> </w:t>
      </w:r>
      <w:r>
        <w:rPr>
          <w:sz w:val="28"/>
          <w:szCs w:val="28"/>
        </w:rPr>
        <w:t xml:space="preserve">внесением сернистого ангидрида, последующего охлаждения </w:t>
      </w:r>
      <w:r>
        <w:rPr>
          <w:sz w:val="28"/>
          <w:szCs w:val="28"/>
        </w:rPr>
        <w:lastRenderedPageBreak/>
        <w:t xml:space="preserve">(+2 </w:t>
      </w:r>
      <w:r w:rsidRPr="003F7ECC">
        <w:rPr>
          <w:sz w:val="28"/>
          <w:szCs w:val="28"/>
          <w:vertAlign w:val="superscript"/>
        </w:rPr>
        <w:t>0</w:t>
      </w:r>
      <w:r>
        <w:rPr>
          <w:sz w:val="28"/>
          <w:szCs w:val="28"/>
        </w:rPr>
        <w:t xml:space="preserve">С) и фильтрацией. </w:t>
      </w:r>
      <w:r w:rsidRPr="00615192">
        <w:rPr>
          <w:sz w:val="28"/>
          <w:szCs w:val="28"/>
        </w:rPr>
        <w:t xml:space="preserve">При этом </w:t>
      </w:r>
      <w:r>
        <w:rPr>
          <w:sz w:val="28"/>
          <w:szCs w:val="28"/>
        </w:rPr>
        <w:t>было проведено</w:t>
      </w:r>
      <w:r w:rsidRPr="00615192">
        <w:rPr>
          <w:sz w:val="28"/>
          <w:szCs w:val="28"/>
        </w:rPr>
        <w:t xml:space="preserve"> 5 циклов забраживания-фильтрации с расходованием каждый раз на брожение 3-5 г/100 см</w:t>
      </w:r>
      <w:r w:rsidRPr="00615192">
        <w:rPr>
          <w:sz w:val="28"/>
          <w:szCs w:val="28"/>
          <w:vertAlign w:val="superscript"/>
        </w:rPr>
        <w:t>3</w:t>
      </w:r>
      <w:r w:rsidRPr="00615192">
        <w:rPr>
          <w:sz w:val="28"/>
          <w:szCs w:val="28"/>
        </w:rPr>
        <w:t xml:space="preserve"> сахаров.</w:t>
      </w:r>
    </w:p>
    <w:p w:rsidR="006E0B3E" w:rsidRPr="000F70E1" w:rsidRDefault="006E0B3E" w:rsidP="009F6003">
      <w:pPr>
        <w:pStyle w:val="20"/>
        <w:spacing w:line="360" w:lineRule="auto"/>
        <w:ind w:firstLine="680"/>
        <w:rPr>
          <w:iCs/>
          <w:sz w:val="28"/>
          <w:szCs w:val="28"/>
        </w:rPr>
      </w:pPr>
      <w:r>
        <w:rPr>
          <w:color w:val="000000"/>
          <w:sz w:val="28"/>
          <w:szCs w:val="28"/>
          <w:lang w:eastAsia="ru-RU"/>
        </w:rPr>
        <w:t xml:space="preserve">Для определения физико-химических показателей полусладких вин применяли методики </w:t>
      </w:r>
      <w:r w:rsidRPr="002F710B">
        <w:rPr>
          <w:color w:val="000000"/>
          <w:sz w:val="28"/>
          <w:szCs w:val="28"/>
          <w:lang w:eastAsia="ru-RU"/>
        </w:rPr>
        <w:t>[</w:t>
      </w:r>
      <w:r>
        <w:rPr>
          <w:color w:val="000000"/>
          <w:sz w:val="28"/>
          <w:szCs w:val="28"/>
          <w:lang w:eastAsia="ru-RU"/>
        </w:rPr>
        <w:t>10</w:t>
      </w:r>
      <w:r w:rsidRPr="002F710B">
        <w:rPr>
          <w:color w:val="000000"/>
          <w:sz w:val="28"/>
          <w:szCs w:val="28"/>
          <w:lang w:eastAsia="ru-RU"/>
        </w:rPr>
        <w:t>]</w:t>
      </w:r>
      <w:r>
        <w:rPr>
          <w:color w:val="000000"/>
          <w:sz w:val="28"/>
          <w:szCs w:val="28"/>
          <w:lang w:eastAsia="ru-RU"/>
        </w:rPr>
        <w:t xml:space="preserve">. Массовую концентрацию аминокислот определяли методом капиллярного электрофореза (Капель 105Р, Россия) </w:t>
      </w:r>
      <w:r w:rsidRPr="002F710B">
        <w:rPr>
          <w:color w:val="000000"/>
          <w:sz w:val="28"/>
          <w:szCs w:val="28"/>
          <w:lang w:eastAsia="ru-RU"/>
        </w:rPr>
        <w:t>[</w:t>
      </w:r>
      <w:r>
        <w:rPr>
          <w:color w:val="000000"/>
          <w:sz w:val="28"/>
          <w:szCs w:val="28"/>
          <w:lang w:eastAsia="ru-RU"/>
        </w:rPr>
        <w:t>11</w:t>
      </w:r>
      <w:r w:rsidRPr="002F710B">
        <w:rPr>
          <w:color w:val="000000"/>
          <w:sz w:val="28"/>
          <w:szCs w:val="28"/>
          <w:lang w:eastAsia="ru-RU"/>
        </w:rPr>
        <w:t>]</w:t>
      </w:r>
      <w:r>
        <w:rPr>
          <w:color w:val="000000"/>
          <w:sz w:val="28"/>
          <w:szCs w:val="28"/>
          <w:lang w:eastAsia="ru-RU"/>
        </w:rPr>
        <w:t>.</w:t>
      </w:r>
    </w:p>
    <w:p w:rsidR="006E0B3E" w:rsidRPr="00FA2A85" w:rsidRDefault="006E0B3E" w:rsidP="00FA2A85">
      <w:pPr>
        <w:pStyle w:val="a4"/>
        <w:shd w:val="clear" w:color="auto" w:fill="FFFFFF"/>
        <w:spacing w:before="0" w:beforeAutospacing="0" w:after="0" w:afterAutospacing="0" w:line="360" w:lineRule="auto"/>
        <w:ind w:firstLine="709"/>
        <w:jc w:val="both"/>
        <w:rPr>
          <w:color w:val="000000"/>
          <w:sz w:val="28"/>
          <w:szCs w:val="28"/>
        </w:rPr>
      </w:pPr>
      <w:r w:rsidRPr="00FA2A85">
        <w:rPr>
          <w:b/>
          <w:bCs/>
          <w:i/>
          <w:sz w:val="28"/>
          <w:szCs w:val="28"/>
        </w:rPr>
        <w:t xml:space="preserve">Обсуждение результатов. </w:t>
      </w:r>
      <w:r w:rsidRPr="00FA2A85">
        <w:rPr>
          <w:bCs/>
          <w:sz w:val="28"/>
          <w:szCs w:val="28"/>
        </w:rPr>
        <w:t>В таблице 1 приведены физико-химические показатели винограда, использованного в экспериментах. Следует отметить высокую концентрацию сахаров, которая позволяет приготовить природно-полусладкие вина. При проведении брожения</w:t>
      </w:r>
      <w:r>
        <w:rPr>
          <w:bCs/>
          <w:sz w:val="28"/>
          <w:szCs w:val="28"/>
        </w:rPr>
        <w:t xml:space="preserve"> высокосахаристого</w:t>
      </w:r>
      <w:r w:rsidRPr="00FA2A85">
        <w:rPr>
          <w:bCs/>
          <w:sz w:val="28"/>
          <w:szCs w:val="28"/>
        </w:rPr>
        <w:t xml:space="preserve"> сусла нами использована технология азотопонижения, позволяющая создать в бродящей среде недостаток легко усваиваемых питательных компонентов</w:t>
      </w:r>
      <w:r>
        <w:rPr>
          <w:bCs/>
          <w:sz w:val="28"/>
          <w:szCs w:val="28"/>
        </w:rPr>
        <w:t xml:space="preserve">, прежде всего </w:t>
      </w:r>
      <w:r w:rsidRPr="00FA2A85">
        <w:rPr>
          <w:bCs/>
          <w:sz w:val="28"/>
          <w:szCs w:val="28"/>
        </w:rPr>
        <w:t>аминокислот, в результате чего бродильная активность клеток значительно снижается.</w:t>
      </w:r>
      <w:r>
        <w:rPr>
          <w:bCs/>
          <w:sz w:val="28"/>
          <w:szCs w:val="28"/>
        </w:rPr>
        <w:t xml:space="preserve"> Это позволяет сначала замедлить, а затем остановить брожение с сохранением сахаров природных винограда. Идентичную технологию широко применяют при производстве </w:t>
      </w:r>
      <w:r w:rsidRPr="00FA2A85">
        <w:rPr>
          <w:color w:val="000000"/>
          <w:sz w:val="28"/>
          <w:szCs w:val="28"/>
        </w:rPr>
        <w:t>итальянско</w:t>
      </w:r>
      <w:r>
        <w:rPr>
          <w:color w:val="000000"/>
          <w:sz w:val="28"/>
          <w:szCs w:val="28"/>
        </w:rPr>
        <w:t>го</w:t>
      </w:r>
      <w:r w:rsidRPr="00FA2A85">
        <w:rPr>
          <w:color w:val="000000"/>
          <w:sz w:val="28"/>
          <w:szCs w:val="28"/>
        </w:rPr>
        <w:t xml:space="preserve"> игристо</w:t>
      </w:r>
      <w:r>
        <w:rPr>
          <w:color w:val="000000"/>
          <w:sz w:val="28"/>
          <w:szCs w:val="28"/>
        </w:rPr>
        <w:t>го</w:t>
      </w:r>
      <w:r w:rsidRPr="00FA2A85">
        <w:rPr>
          <w:color w:val="000000"/>
          <w:sz w:val="28"/>
          <w:szCs w:val="28"/>
        </w:rPr>
        <w:t xml:space="preserve"> вин</w:t>
      </w:r>
      <w:r>
        <w:rPr>
          <w:color w:val="000000"/>
          <w:sz w:val="28"/>
          <w:szCs w:val="28"/>
        </w:rPr>
        <w:t>а</w:t>
      </w:r>
      <w:r w:rsidRPr="00FA2A85">
        <w:rPr>
          <w:color w:val="000000"/>
          <w:sz w:val="28"/>
          <w:szCs w:val="28"/>
        </w:rPr>
        <w:t xml:space="preserve"> Асти Спуманте</w:t>
      </w:r>
      <w:r>
        <w:rPr>
          <w:color w:val="000000"/>
          <w:sz w:val="28"/>
          <w:szCs w:val="28"/>
        </w:rPr>
        <w:t>:</w:t>
      </w:r>
      <w:r w:rsidRPr="00FA2A85">
        <w:rPr>
          <w:color w:val="000000"/>
          <w:sz w:val="28"/>
          <w:szCs w:val="28"/>
        </w:rPr>
        <w:t xml:space="preserve"> именно по причине многократного забраживания и фильтрации формируется своеобразный букет с оттенками цветов липы и акациевого меда</w:t>
      </w:r>
      <w:r>
        <w:rPr>
          <w:color w:val="000000"/>
          <w:sz w:val="28"/>
          <w:szCs w:val="28"/>
        </w:rPr>
        <w:t xml:space="preserve"> </w:t>
      </w:r>
      <w:r w:rsidRPr="002F710B">
        <w:rPr>
          <w:color w:val="000000"/>
          <w:sz w:val="28"/>
          <w:szCs w:val="28"/>
        </w:rPr>
        <w:t>[</w:t>
      </w:r>
      <w:r>
        <w:rPr>
          <w:color w:val="000000"/>
          <w:sz w:val="28"/>
          <w:szCs w:val="28"/>
        </w:rPr>
        <w:t>12,13</w:t>
      </w:r>
      <w:r w:rsidRPr="002F710B">
        <w:rPr>
          <w:color w:val="000000"/>
          <w:sz w:val="28"/>
          <w:szCs w:val="28"/>
        </w:rPr>
        <w:t>]</w:t>
      </w:r>
      <w:r w:rsidRPr="00FA2A85">
        <w:rPr>
          <w:color w:val="000000"/>
          <w:sz w:val="28"/>
          <w:szCs w:val="28"/>
        </w:rPr>
        <w:t>.</w:t>
      </w:r>
    </w:p>
    <w:p w:rsidR="006E0B3E" w:rsidRPr="00C92A03" w:rsidRDefault="006E0B3E" w:rsidP="00E2501E">
      <w:pPr>
        <w:spacing w:after="0" w:line="360" w:lineRule="auto"/>
        <w:jc w:val="both"/>
        <w:rPr>
          <w:rFonts w:ascii="Times New Roman" w:hAnsi="Times New Roman"/>
          <w:sz w:val="28"/>
          <w:szCs w:val="28"/>
        </w:rPr>
      </w:pPr>
      <w:r w:rsidRPr="00C92A03">
        <w:rPr>
          <w:rFonts w:ascii="Times New Roman" w:hAnsi="Times New Roman"/>
          <w:sz w:val="28"/>
          <w:szCs w:val="28"/>
        </w:rPr>
        <w:t xml:space="preserve">Таблица 1 – </w:t>
      </w:r>
      <w:r>
        <w:rPr>
          <w:rFonts w:ascii="Times New Roman" w:hAnsi="Times New Roman"/>
          <w:sz w:val="28"/>
          <w:szCs w:val="28"/>
        </w:rPr>
        <w:t xml:space="preserve">Физико-химические показатели винограда и виноматериалов </w:t>
      </w:r>
    </w:p>
    <w:tbl>
      <w:tblPr>
        <w:tblW w:w="9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firstRow="1" w:lastRow="1" w:firstColumn="1" w:lastColumn="1" w:noHBand="0" w:noVBand="0"/>
      </w:tblPr>
      <w:tblGrid>
        <w:gridCol w:w="426"/>
        <w:gridCol w:w="2121"/>
        <w:gridCol w:w="1559"/>
        <w:gridCol w:w="1701"/>
        <w:gridCol w:w="1559"/>
        <w:gridCol w:w="1741"/>
      </w:tblGrid>
      <w:tr w:rsidR="006E0B3E" w:rsidRPr="00F474BF" w:rsidTr="008F7236">
        <w:trPr>
          <w:trHeight w:val="485"/>
          <w:jc w:val="center"/>
        </w:trPr>
        <w:tc>
          <w:tcPr>
            <w:tcW w:w="426" w:type="dxa"/>
            <w:vMerge w:val="restart"/>
            <w:shd w:val="clear" w:color="auto" w:fill="FFFFFF"/>
          </w:tcPr>
          <w:p w:rsidR="006E0B3E" w:rsidRPr="00F474BF" w:rsidRDefault="006E0B3E" w:rsidP="00CD390F">
            <w:pPr>
              <w:spacing w:after="0" w:line="240" w:lineRule="auto"/>
              <w:jc w:val="center"/>
              <w:rPr>
                <w:rFonts w:ascii="Times New Roman" w:hAnsi="Times New Roman"/>
                <w:bCs/>
                <w:sz w:val="24"/>
                <w:szCs w:val="24"/>
              </w:rPr>
            </w:pPr>
            <w:r w:rsidRPr="00F474BF">
              <w:rPr>
                <w:rFonts w:ascii="Times New Roman" w:hAnsi="Times New Roman"/>
                <w:bCs/>
                <w:sz w:val="24"/>
                <w:szCs w:val="24"/>
              </w:rPr>
              <w:t>№</w:t>
            </w:r>
          </w:p>
          <w:p w:rsidR="006E0B3E" w:rsidRPr="00F474BF" w:rsidRDefault="006E0B3E" w:rsidP="00CD390F">
            <w:pPr>
              <w:spacing w:after="0" w:line="240" w:lineRule="auto"/>
              <w:jc w:val="center"/>
              <w:rPr>
                <w:rFonts w:ascii="Times New Roman" w:hAnsi="Times New Roman"/>
                <w:bCs/>
                <w:sz w:val="24"/>
                <w:szCs w:val="24"/>
              </w:rPr>
            </w:pPr>
            <w:r w:rsidRPr="00F474BF">
              <w:rPr>
                <w:rFonts w:ascii="Times New Roman" w:hAnsi="Times New Roman"/>
                <w:bCs/>
                <w:sz w:val="24"/>
                <w:szCs w:val="24"/>
              </w:rPr>
              <w:t>п/п</w:t>
            </w:r>
          </w:p>
        </w:tc>
        <w:tc>
          <w:tcPr>
            <w:tcW w:w="2121" w:type="dxa"/>
            <w:vMerge w:val="restart"/>
            <w:shd w:val="clear" w:color="auto" w:fill="FFFFFF"/>
          </w:tcPr>
          <w:p w:rsidR="006E0B3E" w:rsidRPr="00F474BF" w:rsidRDefault="006E0B3E" w:rsidP="00CD390F">
            <w:pPr>
              <w:spacing w:after="0" w:line="240" w:lineRule="auto"/>
              <w:jc w:val="center"/>
              <w:rPr>
                <w:rFonts w:ascii="Times New Roman" w:hAnsi="Times New Roman"/>
                <w:sz w:val="24"/>
                <w:szCs w:val="24"/>
              </w:rPr>
            </w:pPr>
            <w:r w:rsidRPr="00F474BF">
              <w:rPr>
                <w:rFonts w:ascii="Times New Roman" w:hAnsi="Times New Roman"/>
                <w:sz w:val="24"/>
                <w:szCs w:val="24"/>
              </w:rPr>
              <w:t xml:space="preserve">Сорт </w:t>
            </w:r>
          </w:p>
          <w:p w:rsidR="006E0B3E" w:rsidRPr="00F474BF" w:rsidRDefault="006E0B3E" w:rsidP="00CD390F">
            <w:pPr>
              <w:spacing w:after="0" w:line="240" w:lineRule="auto"/>
              <w:jc w:val="center"/>
              <w:rPr>
                <w:rFonts w:ascii="Times New Roman" w:hAnsi="Times New Roman"/>
                <w:sz w:val="24"/>
                <w:szCs w:val="24"/>
              </w:rPr>
            </w:pPr>
            <w:r w:rsidRPr="00F474BF">
              <w:rPr>
                <w:rFonts w:ascii="Times New Roman" w:hAnsi="Times New Roman"/>
                <w:sz w:val="24"/>
                <w:szCs w:val="24"/>
              </w:rPr>
              <w:t>винограда</w:t>
            </w:r>
          </w:p>
        </w:tc>
        <w:tc>
          <w:tcPr>
            <w:tcW w:w="3260" w:type="dxa"/>
            <w:gridSpan w:val="2"/>
            <w:shd w:val="clear" w:color="auto" w:fill="FFFFFF"/>
          </w:tcPr>
          <w:p w:rsidR="006E0B3E" w:rsidRPr="00F474BF" w:rsidRDefault="006E0B3E" w:rsidP="00CD390F">
            <w:pPr>
              <w:spacing w:after="0" w:line="240" w:lineRule="auto"/>
              <w:jc w:val="center"/>
              <w:rPr>
                <w:rFonts w:ascii="Times New Roman" w:hAnsi="Times New Roman"/>
                <w:sz w:val="24"/>
                <w:szCs w:val="24"/>
              </w:rPr>
            </w:pPr>
            <w:r w:rsidRPr="00F474BF">
              <w:rPr>
                <w:rFonts w:ascii="Times New Roman" w:hAnsi="Times New Roman"/>
                <w:sz w:val="24"/>
                <w:szCs w:val="24"/>
              </w:rPr>
              <w:t>Виноград</w:t>
            </w:r>
          </w:p>
        </w:tc>
        <w:tc>
          <w:tcPr>
            <w:tcW w:w="3300" w:type="dxa"/>
            <w:gridSpan w:val="2"/>
            <w:shd w:val="clear" w:color="auto" w:fill="FFFFFF"/>
          </w:tcPr>
          <w:p w:rsidR="006E0B3E" w:rsidRPr="00F474BF" w:rsidRDefault="006E0B3E" w:rsidP="00CD390F">
            <w:pPr>
              <w:spacing w:after="0" w:line="240" w:lineRule="auto"/>
              <w:jc w:val="center"/>
              <w:rPr>
                <w:rFonts w:ascii="Times New Roman" w:hAnsi="Times New Roman"/>
                <w:bCs/>
                <w:sz w:val="24"/>
                <w:szCs w:val="24"/>
              </w:rPr>
            </w:pPr>
            <w:r w:rsidRPr="00F474BF">
              <w:rPr>
                <w:rFonts w:ascii="Times New Roman" w:hAnsi="Times New Roman"/>
                <w:bCs/>
                <w:sz w:val="24"/>
                <w:szCs w:val="24"/>
              </w:rPr>
              <w:t>Массовая концентрация азота, мг/дм</w:t>
            </w:r>
            <w:r w:rsidRPr="00F474BF">
              <w:rPr>
                <w:rFonts w:ascii="Times New Roman" w:hAnsi="Times New Roman"/>
                <w:bCs/>
                <w:sz w:val="24"/>
                <w:szCs w:val="24"/>
                <w:vertAlign w:val="superscript"/>
              </w:rPr>
              <w:t>3</w:t>
            </w:r>
          </w:p>
        </w:tc>
      </w:tr>
      <w:tr w:rsidR="006E0B3E" w:rsidRPr="00F474BF" w:rsidTr="008F7236">
        <w:trPr>
          <w:trHeight w:val="485"/>
          <w:jc w:val="center"/>
        </w:trPr>
        <w:tc>
          <w:tcPr>
            <w:tcW w:w="426" w:type="dxa"/>
            <w:vMerge/>
            <w:shd w:val="clear" w:color="auto" w:fill="FFFFFF"/>
          </w:tcPr>
          <w:p w:rsidR="006E0B3E" w:rsidRPr="00F474BF" w:rsidRDefault="006E0B3E" w:rsidP="00CD390F">
            <w:pPr>
              <w:spacing w:after="0" w:line="240" w:lineRule="auto"/>
              <w:jc w:val="center"/>
              <w:rPr>
                <w:rFonts w:ascii="Times New Roman" w:hAnsi="Times New Roman"/>
                <w:bCs/>
                <w:sz w:val="24"/>
                <w:szCs w:val="24"/>
              </w:rPr>
            </w:pPr>
          </w:p>
        </w:tc>
        <w:tc>
          <w:tcPr>
            <w:tcW w:w="2121" w:type="dxa"/>
            <w:vMerge/>
            <w:shd w:val="clear" w:color="auto" w:fill="FFFFFF"/>
          </w:tcPr>
          <w:p w:rsidR="006E0B3E" w:rsidRPr="00F474BF" w:rsidRDefault="006E0B3E" w:rsidP="00CD390F">
            <w:pPr>
              <w:spacing w:after="0" w:line="240" w:lineRule="auto"/>
              <w:jc w:val="center"/>
              <w:rPr>
                <w:rFonts w:ascii="Times New Roman" w:hAnsi="Times New Roman"/>
                <w:sz w:val="24"/>
                <w:szCs w:val="24"/>
              </w:rPr>
            </w:pPr>
          </w:p>
        </w:tc>
        <w:tc>
          <w:tcPr>
            <w:tcW w:w="3260" w:type="dxa"/>
            <w:gridSpan w:val="2"/>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массовая концентрация</w:t>
            </w:r>
          </w:p>
        </w:tc>
        <w:tc>
          <w:tcPr>
            <w:tcW w:w="1559" w:type="dxa"/>
            <w:vMerge w:val="restart"/>
            <w:shd w:val="clear" w:color="auto" w:fill="FFFFFF"/>
          </w:tcPr>
          <w:p w:rsidR="006E0B3E" w:rsidRPr="00F474BF" w:rsidRDefault="006E0B3E" w:rsidP="00CD390F">
            <w:pPr>
              <w:spacing w:after="0" w:line="240" w:lineRule="auto"/>
              <w:jc w:val="center"/>
              <w:rPr>
                <w:rFonts w:ascii="Times New Roman" w:hAnsi="Times New Roman"/>
                <w:bCs/>
                <w:sz w:val="24"/>
                <w:szCs w:val="24"/>
              </w:rPr>
            </w:pPr>
            <w:r w:rsidRPr="00F474BF">
              <w:rPr>
                <w:rFonts w:ascii="Times New Roman" w:hAnsi="Times New Roman"/>
                <w:bCs/>
                <w:sz w:val="24"/>
                <w:szCs w:val="24"/>
              </w:rPr>
              <w:t>общего</w:t>
            </w:r>
          </w:p>
        </w:tc>
        <w:tc>
          <w:tcPr>
            <w:tcW w:w="1741" w:type="dxa"/>
            <w:vMerge w:val="restart"/>
            <w:shd w:val="clear" w:color="auto" w:fill="FFFFFF"/>
          </w:tcPr>
          <w:p w:rsidR="006E0B3E" w:rsidRPr="00F474BF" w:rsidRDefault="006E0B3E" w:rsidP="00CD390F">
            <w:pPr>
              <w:spacing w:after="0" w:line="240" w:lineRule="auto"/>
              <w:jc w:val="center"/>
              <w:rPr>
                <w:rFonts w:ascii="Times New Roman" w:hAnsi="Times New Roman"/>
                <w:bCs/>
                <w:sz w:val="24"/>
                <w:szCs w:val="24"/>
              </w:rPr>
            </w:pPr>
            <w:r w:rsidRPr="00F474BF">
              <w:rPr>
                <w:rFonts w:ascii="Times New Roman" w:hAnsi="Times New Roman"/>
                <w:bCs/>
                <w:sz w:val="24"/>
                <w:szCs w:val="24"/>
              </w:rPr>
              <w:t>Аминного</w:t>
            </w:r>
          </w:p>
        </w:tc>
      </w:tr>
      <w:tr w:rsidR="006E0B3E" w:rsidRPr="00F474BF" w:rsidTr="00D607AD">
        <w:trPr>
          <w:trHeight w:val="1104"/>
          <w:jc w:val="center"/>
        </w:trPr>
        <w:tc>
          <w:tcPr>
            <w:tcW w:w="426" w:type="dxa"/>
            <w:vMerge/>
            <w:shd w:val="clear" w:color="auto" w:fill="FFFFFF"/>
          </w:tcPr>
          <w:p w:rsidR="006E0B3E" w:rsidRPr="00F474BF" w:rsidRDefault="006E0B3E" w:rsidP="008F7236">
            <w:pPr>
              <w:spacing w:after="0" w:line="240" w:lineRule="auto"/>
              <w:jc w:val="center"/>
              <w:rPr>
                <w:rFonts w:ascii="Times New Roman" w:hAnsi="Times New Roman"/>
                <w:bCs/>
                <w:sz w:val="24"/>
                <w:szCs w:val="24"/>
              </w:rPr>
            </w:pPr>
          </w:p>
        </w:tc>
        <w:tc>
          <w:tcPr>
            <w:tcW w:w="2121" w:type="dxa"/>
            <w:vMerge/>
            <w:shd w:val="clear" w:color="auto" w:fill="FFFFFF"/>
          </w:tcPr>
          <w:p w:rsidR="006E0B3E" w:rsidRPr="00F474BF" w:rsidRDefault="006E0B3E" w:rsidP="008F7236">
            <w:pPr>
              <w:spacing w:after="0" w:line="240" w:lineRule="auto"/>
              <w:jc w:val="center"/>
              <w:rPr>
                <w:rFonts w:ascii="Times New Roman" w:hAnsi="Times New Roman"/>
                <w:sz w:val="24"/>
                <w:szCs w:val="24"/>
              </w:rPr>
            </w:pPr>
          </w:p>
        </w:tc>
        <w:tc>
          <w:tcPr>
            <w:tcW w:w="1559" w:type="dxa"/>
            <w:shd w:val="clear" w:color="auto" w:fill="FFFFFF"/>
          </w:tcPr>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sz w:val="24"/>
                <w:szCs w:val="24"/>
              </w:rPr>
              <w:t>сахаров, г/100см</w:t>
            </w:r>
            <w:r w:rsidRPr="00F474BF">
              <w:rPr>
                <w:rFonts w:ascii="Times New Roman" w:hAnsi="Times New Roman"/>
                <w:sz w:val="24"/>
                <w:szCs w:val="24"/>
                <w:vertAlign w:val="superscript"/>
              </w:rPr>
              <w:t>3</w:t>
            </w:r>
          </w:p>
        </w:tc>
        <w:tc>
          <w:tcPr>
            <w:tcW w:w="1701"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 xml:space="preserve">титруемых кислот, </w:t>
            </w:r>
          </w:p>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sz w:val="24"/>
                <w:szCs w:val="24"/>
              </w:rPr>
              <w:t>г/дм</w:t>
            </w:r>
            <w:r w:rsidRPr="00F474BF">
              <w:rPr>
                <w:rFonts w:ascii="Times New Roman" w:hAnsi="Times New Roman"/>
                <w:sz w:val="24"/>
                <w:szCs w:val="24"/>
                <w:vertAlign w:val="superscript"/>
              </w:rPr>
              <w:t>3</w:t>
            </w:r>
          </w:p>
        </w:tc>
        <w:tc>
          <w:tcPr>
            <w:tcW w:w="1559" w:type="dxa"/>
            <w:vMerge/>
            <w:shd w:val="clear" w:color="auto" w:fill="FFFFFF"/>
          </w:tcPr>
          <w:p w:rsidR="006E0B3E" w:rsidRPr="00F474BF" w:rsidRDefault="006E0B3E" w:rsidP="008F7236">
            <w:pPr>
              <w:spacing w:after="0" w:line="240" w:lineRule="auto"/>
              <w:jc w:val="center"/>
              <w:rPr>
                <w:rFonts w:ascii="Times New Roman" w:hAnsi="Times New Roman"/>
                <w:sz w:val="24"/>
                <w:szCs w:val="24"/>
              </w:rPr>
            </w:pPr>
          </w:p>
        </w:tc>
        <w:tc>
          <w:tcPr>
            <w:tcW w:w="1741" w:type="dxa"/>
            <w:vMerge/>
            <w:shd w:val="clear" w:color="auto" w:fill="FFFFFF"/>
          </w:tcPr>
          <w:p w:rsidR="006E0B3E" w:rsidRPr="00F474BF" w:rsidRDefault="006E0B3E" w:rsidP="008F7236">
            <w:pPr>
              <w:spacing w:after="0" w:line="240" w:lineRule="auto"/>
              <w:jc w:val="center"/>
              <w:rPr>
                <w:rFonts w:ascii="Times New Roman" w:hAnsi="Times New Roman"/>
                <w:bCs/>
                <w:sz w:val="24"/>
                <w:szCs w:val="24"/>
              </w:rPr>
            </w:pPr>
          </w:p>
        </w:tc>
      </w:tr>
      <w:tr w:rsidR="006E0B3E" w:rsidRPr="00F474BF" w:rsidTr="00D607AD">
        <w:trPr>
          <w:trHeight w:val="377"/>
          <w:jc w:val="center"/>
        </w:trPr>
        <w:tc>
          <w:tcPr>
            <w:tcW w:w="426" w:type="dxa"/>
            <w:shd w:val="clear" w:color="auto" w:fill="FFFFFF"/>
            <w:vAlign w:val="center"/>
          </w:tcPr>
          <w:p w:rsidR="006E0B3E" w:rsidRPr="00F474BF" w:rsidRDefault="006E0B3E" w:rsidP="00D607AD">
            <w:pPr>
              <w:spacing w:after="0" w:line="240" w:lineRule="auto"/>
              <w:jc w:val="center"/>
              <w:rPr>
                <w:rFonts w:ascii="Times New Roman" w:hAnsi="Times New Roman"/>
                <w:bCs/>
                <w:sz w:val="24"/>
                <w:szCs w:val="24"/>
              </w:rPr>
            </w:pPr>
            <w:r w:rsidRPr="00F474BF">
              <w:rPr>
                <w:rFonts w:ascii="Times New Roman" w:hAnsi="Times New Roman"/>
                <w:bCs/>
                <w:sz w:val="24"/>
                <w:szCs w:val="24"/>
              </w:rPr>
              <w:t>1</w:t>
            </w:r>
          </w:p>
        </w:tc>
        <w:tc>
          <w:tcPr>
            <w:tcW w:w="2121" w:type="dxa"/>
            <w:shd w:val="clear" w:color="auto" w:fill="FFFFFF"/>
            <w:vAlign w:val="center"/>
          </w:tcPr>
          <w:p w:rsidR="006E0B3E" w:rsidRPr="00F474BF" w:rsidRDefault="006E0B3E" w:rsidP="00D607AD">
            <w:pPr>
              <w:spacing w:after="0" w:line="240" w:lineRule="auto"/>
              <w:rPr>
                <w:rFonts w:ascii="Times New Roman" w:hAnsi="Times New Roman"/>
                <w:sz w:val="24"/>
                <w:szCs w:val="24"/>
              </w:rPr>
            </w:pPr>
            <w:r w:rsidRPr="00F474BF">
              <w:rPr>
                <w:rFonts w:ascii="Times New Roman" w:hAnsi="Times New Roman"/>
                <w:sz w:val="24"/>
                <w:szCs w:val="24"/>
              </w:rPr>
              <w:t>Екатеринодарский</w:t>
            </w:r>
          </w:p>
        </w:tc>
        <w:tc>
          <w:tcPr>
            <w:tcW w:w="1559"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24,5</w:t>
            </w:r>
          </w:p>
        </w:tc>
        <w:tc>
          <w:tcPr>
            <w:tcW w:w="1701"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5,1</w:t>
            </w:r>
          </w:p>
        </w:tc>
        <w:tc>
          <w:tcPr>
            <w:tcW w:w="1559"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1360</w:t>
            </w:r>
          </w:p>
        </w:tc>
        <w:tc>
          <w:tcPr>
            <w:tcW w:w="1741" w:type="dxa"/>
            <w:shd w:val="clear" w:color="auto" w:fill="FFFFFF"/>
            <w:vAlign w:val="center"/>
          </w:tcPr>
          <w:p w:rsidR="006E0B3E" w:rsidRPr="00F474BF" w:rsidRDefault="006E0B3E" w:rsidP="00D607AD">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216</w:t>
            </w:r>
          </w:p>
        </w:tc>
      </w:tr>
      <w:tr w:rsidR="006E0B3E" w:rsidRPr="00F474BF" w:rsidTr="00D607AD">
        <w:trPr>
          <w:trHeight w:val="445"/>
          <w:jc w:val="center"/>
        </w:trPr>
        <w:tc>
          <w:tcPr>
            <w:tcW w:w="426" w:type="dxa"/>
            <w:shd w:val="clear" w:color="auto" w:fill="FFFFFF"/>
            <w:vAlign w:val="center"/>
          </w:tcPr>
          <w:p w:rsidR="006E0B3E" w:rsidRPr="00F474BF" w:rsidRDefault="006E0B3E" w:rsidP="00D607AD">
            <w:pPr>
              <w:spacing w:after="0" w:line="240" w:lineRule="auto"/>
              <w:jc w:val="center"/>
              <w:rPr>
                <w:rFonts w:ascii="Times New Roman" w:hAnsi="Times New Roman"/>
                <w:bCs/>
                <w:sz w:val="24"/>
                <w:szCs w:val="24"/>
              </w:rPr>
            </w:pPr>
            <w:r w:rsidRPr="00F474BF">
              <w:rPr>
                <w:rFonts w:ascii="Times New Roman" w:hAnsi="Times New Roman"/>
                <w:bCs/>
                <w:sz w:val="24"/>
                <w:szCs w:val="24"/>
              </w:rPr>
              <w:t>2</w:t>
            </w:r>
          </w:p>
        </w:tc>
        <w:tc>
          <w:tcPr>
            <w:tcW w:w="2121" w:type="dxa"/>
            <w:shd w:val="clear" w:color="auto" w:fill="FFFFFF"/>
            <w:vAlign w:val="center"/>
          </w:tcPr>
          <w:p w:rsidR="006E0B3E" w:rsidRPr="00F474BF" w:rsidRDefault="006E0B3E" w:rsidP="00D607AD">
            <w:pPr>
              <w:spacing w:after="0" w:line="240" w:lineRule="auto"/>
              <w:rPr>
                <w:rFonts w:ascii="Times New Roman" w:hAnsi="Times New Roman"/>
                <w:sz w:val="24"/>
                <w:szCs w:val="24"/>
              </w:rPr>
            </w:pPr>
            <w:r w:rsidRPr="00F474BF">
              <w:rPr>
                <w:rFonts w:ascii="Times New Roman" w:hAnsi="Times New Roman"/>
                <w:sz w:val="24"/>
                <w:szCs w:val="24"/>
              </w:rPr>
              <w:t>Шардоне</w:t>
            </w:r>
          </w:p>
        </w:tc>
        <w:tc>
          <w:tcPr>
            <w:tcW w:w="1559"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22,9</w:t>
            </w:r>
          </w:p>
        </w:tc>
        <w:tc>
          <w:tcPr>
            <w:tcW w:w="1701"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6,2</w:t>
            </w:r>
          </w:p>
        </w:tc>
        <w:tc>
          <w:tcPr>
            <w:tcW w:w="1559" w:type="dxa"/>
            <w:shd w:val="clear" w:color="auto" w:fill="FFFFFF"/>
            <w:vAlign w:val="center"/>
          </w:tcPr>
          <w:p w:rsidR="006E0B3E" w:rsidRPr="00F474BF" w:rsidRDefault="006E0B3E" w:rsidP="00D607AD">
            <w:pPr>
              <w:spacing w:after="0" w:line="240" w:lineRule="auto"/>
              <w:jc w:val="center"/>
              <w:rPr>
                <w:rFonts w:ascii="Times New Roman" w:hAnsi="Times New Roman"/>
                <w:sz w:val="24"/>
                <w:szCs w:val="24"/>
              </w:rPr>
            </w:pPr>
            <w:r w:rsidRPr="00F474BF">
              <w:rPr>
                <w:rFonts w:ascii="Times New Roman" w:hAnsi="Times New Roman"/>
                <w:sz w:val="24"/>
                <w:szCs w:val="24"/>
              </w:rPr>
              <w:t>1280</w:t>
            </w:r>
          </w:p>
        </w:tc>
        <w:tc>
          <w:tcPr>
            <w:tcW w:w="1741" w:type="dxa"/>
            <w:shd w:val="clear" w:color="auto" w:fill="FFFFFF"/>
            <w:vAlign w:val="center"/>
          </w:tcPr>
          <w:p w:rsidR="006E0B3E" w:rsidRPr="00F474BF" w:rsidRDefault="006E0B3E" w:rsidP="00D607AD">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268</w:t>
            </w:r>
          </w:p>
        </w:tc>
      </w:tr>
    </w:tbl>
    <w:p w:rsidR="006E0B3E" w:rsidRDefault="006E0B3E" w:rsidP="00D607AD">
      <w:pPr>
        <w:pStyle w:val="20"/>
        <w:tabs>
          <w:tab w:val="left" w:pos="5760"/>
        </w:tabs>
        <w:spacing w:line="360" w:lineRule="auto"/>
        <w:ind w:firstLine="680"/>
        <w:rPr>
          <w:color w:val="000000"/>
          <w:sz w:val="28"/>
          <w:szCs w:val="28"/>
          <w:lang w:eastAsia="ru-RU"/>
        </w:rPr>
      </w:pPr>
    </w:p>
    <w:p w:rsidR="006E0B3E" w:rsidRDefault="006E0B3E" w:rsidP="00E2501E">
      <w:pPr>
        <w:pStyle w:val="20"/>
        <w:spacing w:line="360" w:lineRule="auto"/>
        <w:ind w:firstLine="680"/>
        <w:rPr>
          <w:sz w:val="28"/>
          <w:szCs w:val="28"/>
        </w:rPr>
      </w:pPr>
      <w:r w:rsidRPr="000F70E1">
        <w:rPr>
          <w:sz w:val="28"/>
          <w:szCs w:val="28"/>
        </w:rPr>
        <w:lastRenderedPageBreak/>
        <w:t xml:space="preserve">Начальная стадия брожения виноградного сусла характеризуется </w:t>
      </w:r>
      <w:r>
        <w:rPr>
          <w:sz w:val="28"/>
          <w:szCs w:val="28"/>
        </w:rPr>
        <w:t xml:space="preserve">значительным </w:t>
      </w:r>
      <w:r w:rsidRPr="000F70E1">
        <w:rPr>
          <w:sz w:val="28"/>
          <w:szCs w:val="28"/>
        </w:rPr>
        <w:t>потреблением аминокислот дрожжами; более поздние стадии – их выделением в среду за счет жизнедеятельности и автолиза дрожжей.</w:t>
      </w:r>
      <w:r>
        <w:rPr>
          <w:sz w:val="28"/>
          <w:szCs w:val="28"/>
        </w:rPr>
        <w:t xml:space="preserve"> Проведенные исследования (таблица 2) показали, что на третьи сутки активного брожения количество аминокислот уменьшилось. </w:t>
      </w:r>
    </w:p>
    <w:p w:rsidR="006E0B3E" w:rsidRPr="00FF6CFA" w:rsidRDefault="006E0B3E" w:rsidP="00C067B3">
      <w:pPr>
        <w:spacing w:after="0" w:line="360" w:lineRule="auto"/>
        <w:ind w:firstLine="680"/>
        <w:jc w:val="both"/>
        <w:rPr>
          <w:rFonts w:ascii="Times New Roman" w:hAnsi="Times New Roman"/>
          <w:sz w:val="28"/>
          <w:szCs w:val="28"/>
        </w:rPr>
      </w:pPr>
      <w:r w:rsidRPr="00FF6CFA">
        <w:rPr>
          <w:rFonts w:ascii="Times New Roman" w:hAnsi="Times New Roman"/>
          <w:sz w:val="28"/>
          <w:szCs w:val="28"/>
        </w:rPr>
        <w:t xml:space="preserve">По </w:t>
      </w:r>
      <w:r>
        <w:rPr>
          <w:rFonts w:ascii="Times New Roman" w:hAnsi="Times New Roman"/>
          <w:sz w:val="28"/>
          <w:szCs w:val="28"/>
        </w:rPr>
        <w:t>эффективности потребления</w:t>
      </w:r>
      <w:r w:rsidRPr="00FF6CFA">
        <w:rPr>
          <w:rFonts w:ascii="Times New Roman" w:hAnsi="Times New Roman"/>
          <w:sz w:val="28"/>
          <w:szCs w:val="28"/>
        </w:rPr>
        <w:t xml:space="preserve"> дрожж</w:t>
      </w:r>
      <w:r>
        <w:rPr>
          <w:rFonts w:ascii="Times New Roman" w:hAnsi="Times New Roman"/>
          <w:sz w:val="28"/>
          <w:szCs w:val="28"/>
        </w:rPr>
        <w:t>ами</w:t>
      </w:r>
      <w:r w:rsidRPr="00FF6CFA">
        <w:rPr>
          <w:rFonts w:ascii="Times New Roman" w:hAnsi="Times New Roman"/>
          <w:sz w:val="28"/>
          <w:szCs w:val="28"/>
        </w:rPr>
        <w:t xml:space="preserve"> аминокислот</w:t>
      </w:r>
      <w:r>
        <w:rPr>
          <w:rFonts w:ascii="Times New Roman" w:hAnsi="Times New Roman"/>
          <w:sz w:val="28"/>
          <w:szCs w:val="28"/>
        </w:rPr>
        <w:t>ы</w:t>
      </w:r>
      <w:r w:rsidRPr="00FF6CFA">
        <w:rPr>
          <w:rFonts w:ascii="Times New Roman" w:hAnsi="Times New Roman"/>
          <w:sz w:val="28"/>
          <w:szCs w:val="28"/>
        </w:rPr>
        <w:t xml:space="preserve"> можно </w:t>
      </w:r>
      <w:r>
        <w:rPr>
          <w:rFonts w:ascii="Times New Roman" w:hAnsi="Times New Roman"/>
          <w:sz w:val="28"/>
          <w:szCs w:val="28"/>
        </w:rPr>
        <w:t xml:space="preserve">разделить на </w:t>
      </w:r>
      <w:r w:rsidRPr="00FF6CFA">
        <w:rPr>
          <w:rFonts w:ascii="Times New Roman" w:hAnsi="Times New Roman"/>
          <w:sz w:val="28"/>
          <w:szCs w:val="28"/>
        </w:rPr>
        <w:t>три группы:</w:t>
      </w:r>
    </w:p>
    <w:p w:rsidR="006E0B3E" w:rsidRDefault="006E0B3E" w:rsidP="00C067B3">
      <w:pPr>
        <w:spacing w:after="0" w:line="360" w:lineRule="auto"/>
        <w:ind w:firstLine="680"/>
        <w:jc w:val="both"/>
      </w:pPr>
      <w:r>
        <w:rPr>
          <w:rFonts w:ascii="Times New Roman" w:hAnsi="Times New Roman"/>
          <w:sz w:val="28"/>
          <w:szCs w:val="28"/>
        </w:rPr>
        <w:t>- интенсивное потребление аминокислот:</w:t>
      </w:r>
      <w:r w:rsidRPr="00FF6CFA">
        <w:rPr>
          <w:rFonts w:ascii="Times New Roman" w:hAnsi="Times New Roman"/>
          <w:sz w:val="28"/>
          <w:szCs w:val="28"/>
        </w:rPr>
        <w:t xml:space="preserve"> аланин, валин, фенилаланин, гистидин</w:t>
      </w:r>
      <w:r>
        <w:rPr>
          <w:rFonts w:ascii="Times New Roman" w:hAnsi="Times New Roman"/>
          <w:sz w:val="28"/>
          <w:szCs w:val="28"/>
        </w:rPr>
        <w:t>,</w:t>
      </w:r>
      <w:r w:rsidRPr="00FF6CFA">
        <w:rPr>
          <w:rFonts w:ascii="Times New Roman" w:hAnsi="Times New Roman"/>
          <w:sz w:val="28"/>
          <w:szCs w:val="28"/>
        </w:rPr>
        <w:t xml:space="preserve"> аспарагинов</w:t>
      </w:r>
      <w:r>
        <w:rPr>
          <w:rFonts w:ascii="Times New Roman" w:hAnsi="Times New Roman"/>
          <w:sz w:val="28"/>
          <w:szCs w:val="28"/>
        </w:rPr>
        <w:t>ая</w:t>
      </w:r>
      <w:r w:rsidRPr="00FF6CFA">
        <w:rPr>
          <w:rFonts w:ascii="Times New Roman" w:hAnsi="Times New Roman"/>
          <w:sz w:val="28"/>
          <w:szCs w:val="28"/>
        </w:rPr>
        <w:t>,</w:t>
      </w:r>
      <w:r>
        <w:rPr>
          <w:rFonts w:ascii="Times New Roman" w:hAnsi="Times New Roman"/>
          <w:sz w:val="28"/>
          <w:szCs w:val="28"/>
        </w:rPr>
        <w:t xml:space="preserve"> аминомасляная,</w:t>
      </w:r>
      <w:r w:rsidRPr="00FF6CFA">
        <w:rPr>
          <w:rFonts w:ascii="Times New Roman" w:hAnsi="Times New Roman"/>
          <w:sz w:val="28"/>
          <w:szCs w:val="28"/>
        </w:rPr>
        <w:t xml:space="preserve"> глютаминов</w:t>
      </w:r>
      <w:r>
        <w:rPr>
          <w:rFonts w:ascii="Times New Roman" w:hAnsi="Times New Roman"/>
          <w:sz w:val="28"/>
          <w:szCs w:val="28"/>
        </w:rPr>
        <w:t>ая</w:t>
      </w:r>
      <w:r w:rsidRPr="00FF6CFA">
        <w:rPr>
          <w:rFonts w:ascii="Times New Roman" w:hAnsi="Times New Roman"/>
          <w:sz w:val="28"/>
          <w:szCs w:val="28"/>
        </w:rPr>
        <w:t xml:space="preserve"> кислоты, лейцин, </w:t>
      </w:r>
      <w:r>
        <w:rPr>
          <w:rFonts w:ascii="Times New Roman" w:hAnsi="Times New Roman"/>
          <w:sz w:val="28"/>
          <w:szCs w:val="28"/>
        </w:rPr>
        <w:t xml:space="preserve">лизин, </w:t>
      </w:r>
      <w:r w:rsidRPr="00FF6CFA">
        <w:rPr>
          <w:rFonts w:ascii="Times New Roman" w:hAnsi="Times New Roman"/>
          <w:sz w:val="28"/>
          <w:szCs w:val="28"/>
        </w:rPr>
        <w:t>сирин, тирозин</w:t>
      </w:r>
      <w:r>
        <w:rPr>
          <w:rFonts w:ascii="Times New Roman" w:hAnsi="Times New Roman"/>
          <w:sz w:val="28"/>
          <w:szCs w:val="28"/>
        </w:rPr>
        <w:t>, треонин;</w:t>
      </w:r>
    </w:p>
    <w:p w:rsidR="006E0B3E" w:rsidRDefault="006E0B3E" w:rsidP="00C067B3">
      <w:pPr>
        <w:spacing w:after="0" w:line="360" w:lineRule="auto"/>
        <w:ind w:firstLine="680"/>
        <w:jc w:val="both"/>
        <w:rPr>
          <w:rFonts w:ascii="Times New Roman" w:hAnsi="Times New Roman"/>
          <w:sz w:val="28"/>
          <w:szCs w:val="28"/>
        </w:rPr>
      </w:pPr>
      <w:r>
        <w:rPr>
          <w:rFonts w:ascii="Times New Roman" w:hAnsi="Times New Roman"/>
          <w:sz w:val="28"/>
          <w:szCs w:val="28"/>
        </w:rPr>
        <w:t>- слабая</w:t>
      </w:r>
      <w:r w:rsidRPr="00FF6CFA">
        <w:rPr>
          <w:rFonts w:ascii="Times New Roman" w:hAnsi="Times New Roman"/>
          <w:sz w:val="28"/>
          <w:szCs w:val="28"/>
        </w:rPr>
        <w:t xml:space="preserve"> ассимил</w:t>
      </w:r>
      <w:r>
        <w:rPr>
          <w:rFonts w:ascii="Times New Roman" w:hAnsi="Times New Roman"/>
          <w:sz w:val="28"/>
          <w:szCs w:val="28"/>
        </w:rPr>
        <w:t>яция:</w:t>
      </w:r>
      <w:r w:rsidRPr="00FF6CFA">
        <w:rPr>
          <w:rFonts w:ascii="Times New Roman" w:hAnsi="Times New Roman"/>
          <w:sz w:val="28"/>
          <w:szCs w:val="28"/>
        </w:rPr>
        <w:t xml:space="preserve"> пролин</w:t>
      </w:r>
      <w:r>
        <w:rPr>
          <w:rFonts w:ascii="Times New Roman" w:hAnsi="Times New Roman"/>
          <w:sz w:val="28"/>
          <w:szCs w:val="28"/>
        </w:rPr>
        <w:t>;</w:t>
      </w:r>
    </w:p>
    <w:p w:rsidR="006E0B3E" w:rsidRDefault="006E0B3E" w:rsidP="00C067B3">
      <w:pPr>
        <w:spacing w:after="0" w:line="360" w:lineRule="auto"/>
        <w:ind w:firstLine="680"/>
        <w:jc w:val="both"/>
        <w:rPr>
          <w:rFonts w:ascii="Times New Roman" w:hAnsi="Times New Roman"/>
          <w:sz w:val="28"/>
          <w:szCs w:val="28"/>
        </w:rPr>
      </w:pPr>
      <w:r>
        <w:rPr>
          <w:rFonts w:ascii="Times New Roman" w:hAnsi="Times New Roman"/>
          <w:sz w:val="28"/>
          <w:szCs w:val="28"/>
        </w:rPr>
        <w:t xml:space="preserve">- </w:t>
      </w:r>
      <w:r w:rsidRPr="00FF6CFA">
        <w:rPr>
          <w:rFonts w:ascii="Times New Roman" w:hAnsi="Times New Roman"/>
          <w:sz w:val="28"/>
          <w:szCs w:val="28"/>
        </w:rPr>
        <w:t xml:space="preserve"> </w:t>
      </w:r>
      <w:r>
        <w:rPr>
          <w:rFonts w:ascii="Times New Roman" w:hAnsi="Times New Roman"/>
          <w:sz w:val="28"/>
          <w:szCs w:val="28"/>
        </w:rPr>
        <w:t>среднее потребление - цистеин, метионин.</w:t>
      </w:r>
    </w:p>
    <w:p w:rsidR="006E0B3E" w:rsidRPr="00FA2A85" w:rsidRDefault="006E0B3E" w:rsidP="00FA2A85">
      <w:pPr>
        <w:pStyle w:val="20"/>
        <w:spacing w:line="360" w:lineRule="auto"/>
        <w:rPr>
          <w:sz w:val="28"/>
          <w:szCs w:val="28"/>
        </w:rPr>
      </w:pPr>
      <w:r w:rsidRPr="00FA2A85">
        <w:rPr>
          <w:sz w:val="28"/>
          <w:szCs w:val="28"/>
        </w:rPr>
        <w:t>Таблица 2 – Изменение аминокислотного состава сусла в процессе брожения, мг/дм</w:t>
      </w:r>
      <w:r w:rsidRPr="00FA2A85">
        <w:rPr>
          <w:sz w:val="28"/>
          <w:szCs w:val="28"/>
          <w:vertAlign w:val="superscript"/>
        </w:rPr>
        <w:t>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134"/>
        <w:gridCol w:w="1417"/>
        <w:gridCol w:w="1134"/>
        <w:gridCol w:w="1276"/>
        <w:gridCol w:w="1134"/>
        <w:gridCol w:w="1418"/>
      </w:tblGrid>
      <w:tr w:rsidR="006E0B3E" w:rsidRPr="00F71EBD" w:rsidTr="00F474BF">
        <w:tc>
          <w:tcPr>
            <w:tcW w:w="1980" w:type="dxa"/>
            <w:vMerge w:val="restart"/>
          </w:tcPr>
          <w:p w:rsidR="006E0B3E" w:rsidRPr="00F71EBD" w:rsidRDefault="006E0B3E" w:rsidP="00F474BF">
            <w:pPr>
              <w:spacing w:after="0" w:line="360" w:lineRule="auto"/>
              <w:jc w:val="center"/>
              <w:rPr>
                <w:rFonts w:ascii="Times New Roman" w:hAnsi="Times New Roman"/>
                <w:sz w:val="20"/>
                <w:szCs w:val="20"/>
              </w:rPr>
            </w:pPr>
            <w:r w:rsidRPr="00F71EBD">
              <w:rPr>
                <w:rFonts w:ascii="Times New Roman" w:hAnsi="Times New Roman"/>
                <w:sz w:val="20"/>
                <w:szCs w:val="20"/>
              </w:rPr>
              <w:t>Аминокислота</w:t>
            </w:r>
          </w:p>
        </w:tc>
        <w:tc>
          <w:tcPr>
            <w:tcW w:w="2551" w:type="dxa"/>
            <w:gridSpan w:val="2"/>
          </w:tcPr>
          <w:p w:rsidR="006E0B3E" w:rsidRPr="00F71EBD" w:rsidRDefault="006E0B3E" w:rsidP="00F474BF">
            <w:pPr>
              <w:spacing w:after="0" w:line="360" w:lineRule="auto"/>
              <w:jc w:val="center"/>
              <w:rPr>
                <w:rFonts w:ascii="Times New Roman" w:hAnsi="Times New Roman"/>
                <w:sz w:val="20"/>
                <w:szCs w:val="20"/>
              </w:rPr>
            </w:pPr>
            <w:r w:rsidRPr="00F71EBD">
              <w:rPr>
                <w:rFonts w:ascii="Times New Roman" w:hAnsi="Times New Roman"/>
                <w:sz w:val="20"/>
                <w:szCs w:val="20"/>
              </w:rPr>
              <w:t>Виноград</w:t>
            </w:r>
          </w:p>
        </w:tc>
        <w:tc>
          <w:tcPr>
            <w:tcW w:w="2410" w:type="dxa"/>
            <w:gridSpan w:val="2"/>
          </w:tcPr>
          <w:p w:rsidR="006E0B3E" w:rsidRPr="00F71EBD" w:rsidRDefault="006E0B3E" w:rsidP="00F474BF">
            <w:pPr>
              <w:spacing w:after="0" w:line="360" w:lineRule="auto"/>
              <w:jc w:val="center"/>
              <w:rPr>
                <w:rFonts w:ascii="Times New Roman" w:hAnsi="Times New Roman"/>
                <w:sz w:val="20"/>
                <w:szCs w:val="20"/>
              </w:rPr>
            </w:pPr>
            <w:r w:rsidRPr="00F71EBD">
              <w:rPr>
                <w:rFonts w:ascii="Times New Roman" w:hAnsi="Times New Roman"/>
                <w:sz w:val="20"/>
                <w:szCs w:val="20"/>
              </w:rPr>
              <w:t>Бродящее сусло</w:t>
            </w:r>
          </w:p>
        </w:tc>
        <w:tc>
          <w:tcPr>
            <w:tcW w:w="2552" w:type="dxa"/>
            <w:gridSpan w:val="2"/>
          </w:tcPr>
          <w:p w:rsidR="006E0B3E" w:rsidRPr="00F71EBD" w:rsidRDefault="006E0B3E" w:rsidP="00F474BF">
            <w:pPr>
              <w:spacing w:after="0" w:line="360" w:lineRule="auto"/>
              <w:jc w:val="center"/>
              <w:rPr>
                <w:rFonts w:ascii="Times New Roman" w:hAnsi="Times New Roman"/>
                <w:sz w:val="20"/>
                <w:szCs w:val="20"/>
              </w:rPr>
            </w:pPr>
            <w:r w:rsidRPr="00F71EBD">
              <w:rPr>
                <w:rFonts w:ascii="Times New Roman" w:hAnsi="Times New Roman"/>
                <w:sz w:val="20"/>
                <w:szCs w:val="20"/>
              </w:rPr>
              <w:t>Виноматериал</w:t>
            </w:r>
          </w:p>
        </w:tc>
      </w:tr>
      <w:tr w:rsidR="006E0B3E" w:rsidRPr="00F71EBD" w:rsidTr="00F474BF">
        <w:tc>
          <w:tcPr>
            <w:tcW w:w="1980" w:type="dxa"/>
            <w:vMerge/>
          </w:tcPr>
          <w:p w:rsidR="006E0B3E" w:rsidRPr="00F71EBD" w:rsidRDefault="006E0B3E" w:rsidP="00F474BF">
            <w:pPr>
              <w:spacing w:after="0" w:line="360" w:lineRule="auto"/>
              <w:jc w:val="both"/>
              <w:rPr>
                <w:rFonts w:ascii="Times New Roman" w:hAnsi="Times New Roman"/>
                <w:sz w:val="20"/>
                <w:szCs w:val="20"/>
              </w:rPr>
            </w:pPr>
          </w:p>
        </w:tc>
        <w:tc>
          <w:tcPr>
            <w:tcW w:w="1134" w:type="dxa"/>
            <w:vAlign w:val="center"/>
          </w:tcPr>
          <w:p w:rsidR="006E0B3E" w:rsidRPr="00F71EBD" w:rsidRDefault="006E0B3E" w:rsidP="00F474BF">
            <w:pPr>
              <w:pStyle w:val="20"/>
              <w:shd w:val="clear" w:color="auto" w:fill="auto"/>
              <w:spacing w:line="360" w:lineRule="auto"/>
              <w:jc w:val="center"/>
            </w:pPr>
            <w:r w:rsidRPr="00F71EBD">
              <w:t>Шардоне</w:t>
            </w:r>
          </w:p>
        </w:tc>
        <w:tc>
          <w:tcPr>
            <w:tcW w:w="1417" w:type="dxa"/>
            <w:vAlign w:val="center"/>
          </w:tcPr>
          <w:p w:rsidR="006E0B3E" w:rsidRPr="00F71EBD" w:rsidRDefault="006E0B3E" w:rsidP="00F474BF">
            <w:pPr>
              <w:pStyle w:val="20"/>
              <w:shd w:val="clear" w:color="auto" w:fill="auto"/>
              <w:spacing w:line="360" w:lineRule="auto"/>
              <w:jc w:val="center"/>
            </w:pPr>
            <w:r w:rsidRPr="00F71EBD">
              <w:t>Екатерино-дарский</w:t>
            </w:r>
          </w:p>
        </w:tc>
        <w:tc>
          <w:tcPr>
            <w:tcW w:w="1134" w:type="dxa"/>
            <w:vAlign w:val="center"/>
          </w:tcPr>
          <w:p w:rsidR="006E0B3E" w:rsidRPr="00F71EBD" w:rsidRDefault="006E0B3E" w:rsidP="00F474BF">
            <w:pPr>
              <w:pStyle w:val="20"/>
              <w:shd w:val="clear" w:color="auto" w:fill="auto"/>
              <w:spacing w:line="360" w:lineRule="auto"/>
              <w:jc w:val="center"/>
            </w:pPr>
            <w:r w:rsidRPr="00F71EBD">
              <w:t>Шардоне</w:t>
            </w:r>
          </w:p>
        </w:tc>
        <w:tc>
          <w:tcPr>
            <w:tcW w:w="1276" w:type="dxa"/>
            <w:vAlign w:val="center"/>
          </w:tcPr>
          <w:p w:rsidR="006E0B3E" w:rsidRPr="00F71EBD" w:rsidRDefault="006E0B3E" w:rsidP="00F474BF">
            <w:pPr>
              <w:pStyle w:val="20"/>
              <w:shd w:val="clear" w:color="auto" w:fill="auto"/>
              <w:spacing w:line="360" w:lineRule="auto"/>
              <w:jc w:val="center"/>
            </w:pPr>
            <w:r w:rsidRPr="00F71EBD">
              <w:t>Еатерино-дарский</w:t>
            </w:r>
          </w:p>
        </w:tc>
        <w:tc>
          <w:tcPr>
            <w:tcW w:w="1134" w:type="dxa"/>
            <w:vAlign w:val="center"/>
          </w:tcPr>
          <w:p w:rsidR="006E0B3E" w:rsidRPr="00F71EBD" w:rsidRDefault="006E0B3E" w:rsidP="00F474BF">
            <w:pPr>
              <w:pStyle w:val="20"/>
              <w:shd w:val="clear" w:color="auto" w:fill="auto"/>
              <w:spacing w:line="360" w:lineRule="auto"/>
              <w:jc w:val="center"/>
            </w:pPr>
            <w:r w:rsidRPr="00F71EBD">
              <w:t>Шардоне</w:t>
            </w:r>
          </w:p>
        </w:tc>
        <w:tc>
          <w:tcPr>
            <w:tcW w:w="1418" w:type="dxa"/>
            <w:vAlign w:val="center"/>
          </w:tcPr>
          <w:p w:rsidR="006E0B3E" w:rsidRPr="00F71EBD" w:rsidRDefault="006E0B3E" w:rsidP="00F474BF">
            <w:pPr>
              <w:pStyle w:val="20"/>
              <w:shd w:val="clear" w:color="auto" w:fill="auto"/>
              <w:spacing w:line="360" w:lineRule="auto"/>
              <w:jc w:val="center"/>
            </w:pPr>
            <w:r w:rsidRPr="00F71EBD">
              <w:t>Екатерино-дарский</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rStyle w:val="28pt"/>
                <w:b w:val="0"/>
                <w:sz w:val="20"/>
                <w:szCs w:val="20"/>
              </w:rPr>
            </w:pPr>
            <w:r w:rsidRPr="00F71EBD">
              <w:rPr>
                <w:rStyle w:val="28pt"/>
                <w:b w:val="0"/>
                <w:sz w:val="20"/>
                <w:szCs w:val="20"/>
              </w:rPr>
              <w:t>Аланин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color w:val="000000"/>
              </w:rPr>
              <w:t>80,1</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color w:val="000000"/>
              </w:rPr>
              <w:t>152,8</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1,8</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color w:val="000000"/>
              </w:rPr>
              <w:t>8,4</w:t>
            </w:r>
          </w:p>
        </w:tc>
        <w:tc>
          <w:tcPr>
            <w:tcW w:w="1418"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color w:val="000000"/>
              </w:rPr>
              <w:t>19,8</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Аминомасляная</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10,1</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8,5</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0,1</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2,4</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1,5</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Аспарагин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85,2</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102,1</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7,0</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2,3</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6,4</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9,7</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Валин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16,8</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21,2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 xml:space="preserve"> 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1,2</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1,5</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 xml:space="preserve">Глютаминовая </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161,2</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181,0</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5,8</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17,0</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21,3</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23,1</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Гистидин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6,2</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9,0</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0,9</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1,2</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Лейцин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42,1</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60,5</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1,8</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4,9</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Лизин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51,2</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71,2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2,7</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4,3</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Метионин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32,1</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19,2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13,5</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5,3</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23,8</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15,5</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Пролин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241,9</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350,1</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240,3</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312,0</w:t>
            </w:r>
          </w:p>
        </w:tc>
        <w:tc>
          <w:tcPr>
            <w:tcW w:w="1134" w:type="dxa"/>
            <w:vAlign w:val="center"/>
          </w:tcPr>
          <w:p w:rsidR="006E0B3E" w:rsidRPr="00F71EBD" w:rsidRDefault="006E0B3E" w:rsidP="00F474BF">
            <w:pPr>
              <w:pStyle w:val="20"/>
              <w:shd w:val="clear" w:color="auto" w:fill="auto"/>
              <w:spacing w:line="360" w:lineRule="auto"/>
              <w:jc w:val="center"/>
              <w:rPr>
                <w:lang w:val="en-US"/>
              </w:rPr>
            </w:pPr>
            <w:r w:rsidRPr="00F71EBD">
              <w:rPr>
                <w:color w:val="000000"/>
                <w:lang w:val="en-US"/>
              </w:rPr>
              <w:t>2</w:t>
            </w:r>
            <w:r w:rsidRPr="00F71EBD">
              <w:rPr>
                <w:color w:val="000000"/>
              </w:rPr>
              <w:t>4</w:t>
            </w:r>
            <w:r w:rsidRPr="00F71EBD">
              <w:rPr>
                <w:color w:val="000000"/>
                <w:lang w:val="en-US"/>
              </w:rPr>
              <w:t>1</w:t>
            </w:r>
            <w:r w:rsidRPr="00F71EBD">
              <w:rPr>
                <w:color w:val="000000"/>
              </w:rPr>
              <w:t>,</w:t>
            </w:r>
            <w:r w:rsidRPr="00F71EBD">
              <w:rPr>
                <w:color w:val="000000"/>
                <w:lang w:val="en-US"/>
              </w:rPr>
              <w:t>0</w:t>
            </w:r>
          </w:p>
        </w:tc>
        <w:tc>
          <w:tcPr>
            <w:tcW w:w="1418" w:type="dxa"/>
            <w:vAlign w:val="center"/>
          </w:tcPr>
          <w:p w:rsidR="006E0B3E" w:rsidRPr="00F71EBD" w:rsidRDefault="006E0B3E" w:rsidP="00F474BF">
            <w:pPr>
              <w:pStyle w:val="20"/>
              <w:shd w:val="clear" w:color="auto" w:fill="auto"/>
              <w:spacing w:line="360" w:lineRule="auto"/>
              <w:jc w:val="center"/>
              <w:rPr>
                <w:lang w:val="en-US"/>
              </w:rPr>
            </w:pPr>
            <w:r w:rsidRPr="00F71EBD">
              <w:rPr>
                <w:color w:val="000000"/>
                <w:lang w:val="en-US"/>
              </w:rPr>
              <w:t>32</w:t>
            </w:r>
            <w:r w:rsidRPr="00F71EBD">
              <w:rPr>
                <w:color w:val="000000"/>
              </w:rPr>
              <w:t>7,</w:t>
            </w:r>
            <w:r w:rsidRPr="00F71EBD">
              <w:rPr>
                <w:color w:val="000000"/>
                <w:lang w:val="en-US"/>
              </w:rPr>
              <w:t>5</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Серин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56,8</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101,1</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2,8</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6,4</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1,3</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0,9</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Тирозин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22,5</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31,2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2,8</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3,7</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Треонин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35,4</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41,2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1,7</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4,2</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4,9</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Фенилаланин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23,1</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16,2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нет</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0,3</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0,5</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b w:val="0"/>
                <w:sz w:val="20"/>
                <w:szCs w:val="20"/>
              </w:rPr>
              <w:t>Цистеин</w:t>
            </w:r>
          </w:p>
        </w:tc>
        <w:tc>
          <w:tcPr>
            <w:tcW w:w="1134"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color w:val="000000"/>
              </w:rPr>
              <w:t>21,3</w:t>
            </w:r>
          </w:p>
        </w:tc>
        <w:tc>
          <w:tcPr>
            <w:tcW w:w="1417" w:type="dxa"/>
            <w:vAlign w:val="center"/>
          </w:tcPr>
          <w:p w:rsidR="006E0B3E" w:rsidRPr="00F71EBD" w:rsidRDefault="006E0B3E" w:rsidP="00F474BF">
            <w:pPr>
              <w:pStyle w:val="20"/>
              <w:shd w:val="clear" w:color="auto" w:fill="auto"/>
              <w:spacing w:line="360" w:lineRule="auto"/>
              <w:jc w:val="center"/>
              <w:rPr>
                <w:rStyle w:val="28pt"/>
                <w:b w:val="0"/>
                <w:sz w:val="20"/>
                <w:szCs w:val="20"/>
              </w:rPr>
            </w:pPr>
            <w:r w:rsidRPr="00F71EBD">
              <w:rPr>
                <w:bCs/>
                <w:color w:val="000000"/>
              </w:rPr>
              <w:t>41,2</w:t>
            </w:r>
          </w:p>
        </w:tc>
        <w:tc>
          <w:tcPr>
            <w:tcW w:w="1134"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2,0</w:t>
            </w:r>
          </w:p>
        </w:tc>
        <w:tc>
          <w:tcPr>
            <w:tcW w:w="1276" w:type="dxa"/>
            <w:vAlign w:val="center"/>
          </w:tcPr>
          <w:p w:rsidR="006E0B3E" w:rsidRPr="00F71EBD" w:rsidRDefault="006E0B3E" w:rsidP="00F474BF">
            <w:pPr>
              <w:pStyle w:val="20"/>
              <w:shd w:val="clear" w:color="auto" w:fill="auto"/>
              <w:spacing w:line="360" w:lineRule="auto"/>
              <w:jc w:val="center"/>
              <w:rPr>
                <w:color w:val="000000"/>
              </w:rPr>
            </w:pPr>
            <w:r w:rsidRPr="00F71EBD">
              <w:rPr>
                <w:color w:val="000000"/>
              </w:rPr>
              <w:t>12,5</w:t>
            </w:r>
          </w:p>
        </w:tc>
        <w:tc>
          <w:tcPr>
            <w:tcW w:w="1134" w:type="dxa"/>
            <w:vAlign w:val="center"/>
          </w:tcPr>
          <w:p w:rsidR="006E0B3E" w:rsidRPr="00F71EBD" w:rsidRDefault="006E0B3E" w:rsidP="00F474BF">
            <w:pPr>
              <w:pStyle w:val="20"/>
              <w:shd w:val="clear" w:color="auto" w:fill="auto"/>
              <w:spacing w:line="360" w:lineRule="auto"/>
              <w:jc w:val="center"/>
            </w:pPr>
            <w:r w:rsidRPr="00F71EBD">
              <w:rPr>
                <w:color w:val="000000"/>
              </w:rPr>
              <w:t>15,1</w:t>
            </w:r>
          </w:p>
        </w:tc>
        <w:tc>
          <w:tcPr>
            <w:tcW w:w="1418" w:type="dxa"/>
            <w:vAlign w:val="center"/>
          </w:tcPr>
          <w:p w:rsidR="006E0B3E" w:rsidRPr="00F71EBD" w:rsidRDefault="006E0B3E" w:rsidP="00F474BF">
            <w:pPr>
              <w:pStyle w:val="20"/>
              <w:shd w:val="clear" w:color="auto" w:fill="auto"/>
              <w:spacing w:line="360" w:lineRule="auto"/>
              <w:jc w:val="center"/>
            </w:pPr>
            <w:r w:rsidRPr="00F71EBD">
              <w:rPr>
                <w:color w:val="000000"/>
              </w:rPr>
              <w:t>27,0</w:t>
            </w:r>
          </w:p>
        </w:tc>
      </w:tr>
      <w:tr w:rsidR="006E0B3E" w:rsidRPr="00F71EBD" w:rsidTr="00F474BF">
        <w:tc>
          <w:tcPr>
            <w:tcW w:w="1980" w:type="dxa"/>
            <w:vAlign w:val="center"/>
          </w:tcPr>
          <w:p w:rsidR="006E0B3E" w:rsidRPr="00F71EBD" w:rsidRDefault="006E0B3E" w:rsidP="00F474BF">
            <w:pPr>
              <w:pStyle w:val="20"/>
              <w:shd w:val="clear" w:color="auto" w:fill="auto"/>
              <w:spacing w:line="360" w:lineRule="auto"/>
              <w:jc w:val="left"/>
              <w:rPr>
                <w:b/>
              </w:rPr>
            </w:pPr>
            <w:r w:rsidRPr="00F71EBD">
              <w:rPr>
                <w:rStyle w:val="28pt"/>
                <w:sz w:val="20"/>
                <w:szCs w:val="20"/>
              </w:rPr>
              <w:t>Сумма</w:t>
            </w:r>
          </w:p>
        </w:tc>
        <w:tc>
          <w:tcPr>
            <w:tcW w:w="1134" w:type="dxa"/>
            <w:vAlign w:val="center"/>
          </w:tcPr>
          <w:p w:rsidR="006E0B3E" w:rsidRPr="00F71EBD" w:rsidRDefault="006E0B3E" w:rsidP="00F474BF">
            <w:pPr>
              <w:pStyle w:val="20"/>
              <w:shd w:val="clear" w:color="auto" w:fill="auto"/>
              <w:spacing w:line="360" w:lineRule="auto"/>
              <w:jc w:val="center"/>
              <w:rPr>
                <w:rStyle w:val="28pt"/>
                <w:i/>
                <w:sz w:val="20"/>
                <w:szCs w:val="20"/>
              </w:rPr>
            </w:pPr>
            <w:r w:rsidRPr="00F71EBD">
              <w:rPr>
                <w:b/>
                <w:i/>
                <w:color w:val="000000"/>
              </w:rPr>
              <w:t>886</w:t>
            </w:r>
          </w:p>
        </w:tc>
        <w:tc>
          <w:tcPr>
            <w:tcW w:w="1417" w:type="dxa"/>
            <w:vAlign w:val="center"/>
          </w:tcPr>
          <w:p w:rsidR="006E0B3E" w:rsidRPr="00F71EBD" w:rsidRDefault="006E0B3E" w:rsidP="00F474BF">
            <w:pPr>
              <w:pStyle w:val="20"/>
              <w:shd w:val="clear" w:color="auto" w:fill="auto"/>
              <w:spacing w:line="360" w:lineRule="auto"/>
              <w:jc w:val="center"/>
              <w:rPr>
                <w:rStyle w:val="28pt"/>
                <w:i/>
                <w:sz w:val="20"/>
                <w:szCs w:val="20"/>
              </w:rPr>
            </w:pPr>
            <w:r w:rsidRPr="00F71EBD">
              <w:rPr>
                <w:b/>
                <w:i/>
                <w:color w:val="000000"/>
              </w:rPr>
              <w:t>1206,5</w:t>
            </w:r>
          </w:p>
        </w:tc>
        <w:tc>
          <w:tcPr>
            <w:tcW w:w="1134" w:type="dxa"/>
            <w:vAlign w:val="center"/>
          </w:tcPr>
          <w:p w:rsidR="006E0B3E" w:rsidRPr="00F71EBD" w:rsidRDefault="006E0B3E" w:rsidP="00F474BF">
            <w:pPr>
              <w:pStyle w:val="20"/>
              <w:shd w:val="clear" w:color="auto" w:fill="auto"/>
              <w:spacing w:line="360" w:lineRule="auto"/>
              <w:jc w:val="center"/>
              <w:rPr>
                <w:b/>
                <w:i/>
                <w:color w:val="000000"/>
              </w:rPr>
            </w:pPr>
            <w:r w:rsidRPr="00F71EBD">
              <w:rPr>
                <w:b/>
                <w:i/>
                <w:color w:val="000000"/>
              </w:rPr>
              <w:t>271,5</w:t>
            </w:r>
          </w:p>
        </w:tc>
        <w:tc>
          <w:tcPr>
            <w:tcW w:w="1276" w:type="dxa"/>
            <w:vAlign w:val="center"/>
          </w:tcPr>
          <w:p w:rsidR="006E0B3E" w:rsidRPr="00F71EBD" w:rsidRDefault="006E0B3E" w:rsidP="00F474BF">
            <w:pPr>
              <w:pStyle w:val="20"/>
              <w:shd w:val="clear" w:color="auto" w:fill="auto"/>
              <w:spacing w:line="360" w:lineRule="auto"/>
              <w:jc w:val="center"/>
              <w:rPr>
                <w:b/>
                <w:i/>
                <w:color w:val="000000"/>
              </w:rPr>
            </w:pPr>
            <w:r w:rsidRPr="00F71EBD">
              <w:rPr>
                <w:b/>
                <w:i/>
                <w:color w:val="000000"/>
              </w:rPr>
              <w:t>353,6</w:t>
            </w:r>
          </w:p>
        </w:tc>
        <w:tc>
          <w:tcPr>
            <w:tcW w:w="1134" w:type="dxa"/>
            <w:vAlign w:val="center"/>
          </w:tcPr>
          <w:p w:rsidR="006E0B3E" w:rsidRPr="00F71EBD" w:rsidRDefault="006E0B3E" w:rsidP="00F474BF">
            <w:pPr>
              <w:spacing w:after="0" w:line="360" w:lineRule="auto"/>
              <w:jc w:val="center"/>
              <w:rPr>
                <w:rFonts w:ascii="Times New Roman" w:hAnsi="Times New Roman"/>
                <w:b/>
                <w:i/>
                <w:color w:val="000000"/>
                <w:sz w:val="20"/>
                <w:szCs w:val="20"/>
              </w:rPr>
            </w:pPr>
            <w:r w:rsidRPr="00F71EBD">
              <w:rPr>
                <w:rFonts w:ascii="Times New Roman" w:hAnsi="Times New Roman"/>
                <w:b/>
                <w:i/>
                <w:color w:val="000000"/>
                <w:sz w:val="20"/>
                <w:szCs w:val="20"/>
              </w:rPr>
              <w:t>326,6</w:t>
            </w:r>
          </w:p>
        </w:tc>
        <w:tc>
          <w:tcPr>
            <w:tcW w:w="1418" w:type="dxa"/>
            <w:vAlign w:val="center"/>
          </w:tcPr>
          <w:p w:rsidR="006E0B3E" w:rsidRPr="00F71EBD" w:rsidRDefault="006E0B3E" w:rsidP="00F474BF">
            <w:pPr>
              <w:spacing w:after="0" w:line="360" w:lineRule="auto"/>
              <w:jc w:val="center"/>
              <w:rPr>
                <w:rFonts w:ascii="Times New Roman" w:hAnsi="Times New Roman"/>
                <w:b/>
                <w:i/>
                <w:color w:val="000000"/>
                <w:sz w:val="20"/>
                <w:szCs w:val="20"/>
              </w:rPr>
            </w:pPr>
            <w:r w:rsidRPr="00F71EBD">
              <w:rPr>
                <w:rFonts w:ascii="Times New Roman" w:hAnsi="Times New Roman"/>
                <w:b/>
                <w:i/>
                <w:color w:val="000000"/>
                <w:sz w:val="20"/>
                <w:szCs w:val="20"/>
              </w:rPr>
              <w:t>438,9</w:t>
            </w:r>
          </w:p>
        </w:tc>
      </w:tr>
    </w:tbl>
    <w:p w:rsidR="006E0B3E" w:rsidRDefault="006E0B3E" w:rsidP="00C067B3">
      <w:pPr>
        <w:spacing w:after="0" w:line="360" w:lineRule="auto"/>
        <w:ind w:firstLine="680"/>
        <w:jc w:val="both"/>
        <w:rPr>
          <w:rFonts w:ascii="Times New Roman" w:hAnsi="Times New Roman"/>
          <w:sz w:val="28"/>
          <w:szCs w:val="28"/>
        </w:rPr>
      </w:pPr>
      <w:r>
        <w:rPr>
          <w:rFonts w:ascii="Times New Roman" w:hAnsi="Times New Roman"/>
          <w:sz w:val="28"/>
          <w:szCs w:val="28"/>
        </w:rPr>
        <w:lastRenderedPageBreak/>
        <w:t>По завершению брожения при переходе дрожжей в стационарную фазу развития увеличивается проницаемость дрожжевой оболочки, в связи с чем отмечается увеличение концентрации всех аминокислот за счет обогащения среды компонентами жизнедеятельности дрожжевой клетки. При этом содержание всех аминокислот, за исключением пролина, в виноматериале было меньше, чем в винограде и бродящем сусле. Таким образом, примененный в эксперименте технологический прием, основанный на многократной остановке брожения, обеспечил получение вина с низкой концентрацией аминокислот.</w:t>
      </w:r>
    </w:p>
    <w:p w:rsidR="006E0B3E" w:rsidRDefault="006E0B3E" w:rsidP="00E2501E">
      <w:pPr>
        <w:spacing w:after="0" w:line="360" w:lineRule="auto"/>
        <w:ind w:firstLine="680"/>
        <w:jc w:val="both"/>
        <w:rPr>
          <w:rFonts w:ascii="Times New Roman" w:hAnsi="Times New Roman"/>
          <w:sz w:val="28"/>
          <w:szCs w:val="28"/>
        </w:rPr>
      </w:pPr>
      <w:r w:rsidRPr="00011778">
        <w:rPr>
          <w:rFonts w:ascii="Times New Roman" w:hAnsi="Times New Roman"/>
          <w:sz w:val="28"/>
          <w:szCs w:val="28"/>
        </w:rPr>
        <w:t>Следует отметить, что высокие остаточные концентрации серосодерж</w:t>
      </w:r>
      <w:r>
        <w:rPr>
          <w:rFonts w:ascii="Times New Roman" w:hAnsi="Times New Roman"/>
          <w:sz w:val="28"/>
          <w:szCs w:val="28"/>
        </w:rPr>
        <w:t>ащих аминокислот в виноматериа</w:t>
      </w:r>
      <w:r w:rsidRPr="00011778">
        <w:rPr>
          <w:rFonts w:ascii="Times New Roman" w:hAnsi="Times New Roman"/>
          <w:sz w:val="28"/>
          <w:szCs w:val="28"/>
        </w:rPr>
        <w:t xml:space="preserve">ле нежелательны, так как именно они являются предшественниками формирования </w:t>
      </w:r>
      <w:r>
        <w:rPr>
          <w:rFonts w:ascii="Times New Roman" w:hAnsi="Times New Roman"/>
          <w:sz w:val="28"/>
          <w:szCs w:val="28"/>
        </w:rPr>
        <w:t xml:space="preserve">посторонних тонов, в том числе </w:t>
      </w:r>
      <w:r w:rsidRPr="00011778">
        <w:rPr>
          <w:rFonts w:ascii="Times New Roman" w:hAnsi="Times New Roman"/>
          <w:sz w:val="28"/>
          <w:szCs w:val="28"/>
        </w:rPr>
        <w:t>сероводородного</w:t>
      </w:r>
      <w:r>
        <w:rPr>
          <w:rFonts w:ascii="Times New Roman" w:hAnsi="Times New Roman"/>
          <w:sz w:val="28"/>
          <w:szCs w:val="28"/>
        </w:rPr>
        <w:t xml:space="preserve"> </w:t>
      </w:r>
      <w:r w:rsidRPr="00F5477F">
        <w:rPr>
          <w:rFonts w:ascii="Times New Roman" w:hAnsi="Times New Roman"/>
          <w:color w:val="000000"/>
          <w:sz w:val="28"/>
          <w:szCs w:val="28"/>
          <w:lang w:eastAsia="ru-RU"/>
        </w:rPr>
        <w:t>[14,15]</w:t>
      </w:r>
      <w:r w:rsidRPr="00011778">
        <w:rPr>
          <w:rFonts w:ascii="Times New Roman" w:hAnsi="Times New Roman"/>
          <w:sz w:val="28"/>
          <w:szCs w:val="28"/>
        </w:rPr>
        <w:t>.</w:t>
      </w:r>
      <w:r>
        <w:rPr>
          <w:rFonts w:ascii="Times New Roman" w:hAnsi="Times New Roman"/>
          <w:sz w:val="28"/>
          <w:szCs w:val="28"/>
        </w:rPr>
        <w:t xml:space="preserve"> В наших исследованиях концентрация цистеина – предшественника сероводорода - в процессе брожения уменьшилась более чем в два раза: при проведении дегустации посторонних тонов не обнаружилось.</w:t>
      </w:r>
    </w:p>
    <w:p w:rsidR="006E0B3E" w:rsidRPr="00B13104" w:rsidRDefault="006E0B3E" w:rsidP="00DC1834">
      <w:pPr>
        <w:spacing w:after="0" w:line="360" w:lineRule="auto"/>
        <w:ind w:firstLine="680"/>
        <w:jc w:val="both"/>
        <w:rPr>
          <w:rFonts w:ascii="Times New Roman" w:hAnsi="Times New Roman"/>
          <w:color w:val="000000"/>
          <w:sz w:val="28"/>
          <w:szCs w:val="28"/>
        </w:rPr>
      </w:pPr>
      <w:r>
        <w:rPr>
          <w:rFonts w:ascii="Times New Roman" w:hAnsi="Times New Roman"/>
          <w:sz w:val="28"/>
          <w:szCs w:val="28"/>
        </w:rPr>
        <w:t>В таблице 3 приведены физико-химические показатели виноматериалов, произведенных с применением способа азотопонижения, в сравнении с традиционной технологией, предусматривающей полное сбраживание сахаров с последующим дозированием сахарсодержащих компонентов</w:t>
      </w:r>
      <w:r w:rsidRPr="00DC1834">
        <w:rPr>
          <w:rFonts w:ascii="Times New Roman" w:hAnsi="Times New Roman"/>
          <w:color w:val="000000"/>
          <w:sz w:val="28"/>
          <w:szCs w:val="28"/>
        </w:rPr>
        <w:t>.</w:t>
      </w:r>
      <w:r>
        <w:rPr>
          <w:rFonts w:ascii="Times New Roman" w:hAnsi="Times New Roman"/>
          <w:color w:val="000000"/>
          <w:sz w:val="28"/>
          <w:szCs w:val="28"/>
        </w:rPr>
        <w:t xml:space="preserve"> Результаты анализа </w:t>
      </w:r>
      <w:r w:rsidRPr="00DC1834">
        <w:rPr>
          <w:rFonts w:ascii="Times New Roman" w:hAnsi="Times New Roman"/>
          <w:color w:val="000000"/>
          <w:sz w:val="28"/>
          <w:szCs w:val="28"/>
        </w:rPr>
        <w:t>свидетельствуют о соответствии вин требованиям ГОСТ 32030, в том числе по массовой концентрации сахаров, характерной полусладким винам.</w:t>
      </w:r>
    </w:p>
    <w:p w:rsidR="006E0B3E" w:rsidRPr="00B13104" w:rsidRDefault="006E0B3E" w:rsidP="00DC1834">
      <w:pPr>
        <w:spacing w:after="0" w:line="360" w:lineRule="auto"/>
        <w:ind w:firstLine="680"/>
        <w:jc w:val="both"/>
        <w:rPr>
          <w:rFonts w:ascii="Times New Roman" w:hAnsi="Times New Roman"/>
          <w:color w:val="000000"/>
          <w:sz w:val="28"/>
          <w:szCs w:val="28"/>
        </w:rPr>
      </w:pPr>
    </w:p>
    <w:p w:rsidR="006E0B3E" w:rsidRPr="00B13104" w:rsidRDefault="006E0B3E" w:rsidP="00DC1834">
      <w:pPr>
        <w:spacing w:after="0" w:line="360" w:lineRule="auto"/>
        <w:ind w:firstLine="680"/>
        <w:jc w:val="both"/>
        <w:rPr>
          <w:rFonts w:ascii="Times New Roman" w:hAnsi="Times New Roman"/>
          <w:color w:val="000000"/>
          <w:sz w:val="28"/>
          <w:szCs w:val="28"/>
        </w:rPr>
      </w:pPr>
    </w:p>
    <w:p w:rsidR="006E0B3E" w:rsidRPr="00B13104" w:rsidRDefault="006E0B3E" w:rsidP="00DC1834">
      <w:pPr>
        <w:spacing w:after="0" w:line="360" w:lineRule="auto"/>
        <w:ind w:firstLine="680"/>
        <w:jc w:val="both"/>
        <w:rPr>
          <w:rFonts w:ascii="Times New Roman" w:hAnsi="Times New Roman"/>
          <w:color w:val="000000"/>
          <w:sz w:val="28"/>
          <w:szCs w:val="28"/>
        </w:rPr>
      </w:pPr>
    </w:p>
    <w:p w:rsidR="006E0B3E" w:rsidRPr="00B13104" w:rsidRDefault="006E0B3E" w:rsidP="00DC1834">
      <w:pPr>
        <w:spacing w:after="0" w:line="360" w:lineRule="auto"/>
        <w:ind w:firstLine="680"/>
        <w:jc w:val="both"/>
        <w:rPr>
          <w:rFonts w:ascii="Times New Roman" w:hAnsi="Times New Roman"/>
          <w:color w:val="000000"/>
          <w:sz w:val="28"/>
          <w:szCs w:val="28"/>
        </w:rPr>
      </w:pPr>
    </w:p>
    <w:p w:rsidR="006E0B3E" w:rsidRPr="00DC1834" w:rsidRDefault="006E0B3E" w:rsidP="00DC1834">
      <w:pPr>
        <w:spacing w:after="0" w:line="360" w:lineRule="auto"/>
        <w:ind w:firstLine="680"/>
        <w:jc w:val="both"/>
        <w:rPr>
          <w:rFonts w:ascii="Times New Roman" w:hAnsi="Times New Roman"/>
          <w:color w:val="000000"/>
          <w:sz w:val="28"/>
          <w:szCs w:val="28"/>
        </w:rPr>
      </w:pPr>
      <w:r w:rsidRPr="00DC1834">
        <w:rPr>
          <w:rFonts w:ascii="Times New Roman" w:hAnsi="Times New Roman"/>
          <w:color w:val="000000"/>
          <w:sz w:val="28"/>
          <w:szCs w:val="28"/>
        </w:rPr>
        <w:t xml:space="preserve">  </w:t>
      </w:r>
    </w:p>
    <w:p w:rsidR="006E0B3E" w:rsidRDefault="006E0B3E" w:rsidP="00D607AD">
      <w:pPr>
        <w:spacing w:after="0" w:line="360" w:lineRule="auto"/>
        <w:jc w:val="both"/>
        <w:rPr>
          <w:rFonts w:ascii="Times New Roman" w:hAnsi="Times New Roman"/>
          <w:sz w:val="28"/>
          <w:szCs w:val="28"/>
        </w:rPr>
      </w:pPr>
      <w:r>
        <w:rPr>
          <w:rFonts w:ascii="Times New Roman" w:hAnsi="Times New Roman"/>
          <w:sz w:val="28"/>
          <w:szCs w:val="28"/>
        </w:rPr>
        <w:lastRenderedPageBreak/>
        <w:t>Таблица 3 – Физико-химические и органолептические показатели виноматериалов</w:t>
      </w:r>
    </w:p>
    <w:tbl>
      <w:tblPr>
        <w:tblW w:w="9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firstRow="1" w:lastRow="1" w:firstColumn="1" w:lastColumn="1" w:noHBand="0" w:noVBand="0"/>
      </w:tblPr>
      <w:tblGrid>
        <w:gridCol w:w="426"/>
        <w:gridCol w:w="1417"/>
        <w:gridCol w:w="1044"/>
        <w:gridCol w:w="18"/>
        <w:gridCol w:w="1062"/>
        <w:gridCol w:w="1028"/>
        <w:gridCol w:w="1028"/>
        <w:gridCol w:w="1028"/>
        <w:gridCol w:w="1028"/>
        <w:gridCol w:w="1028"/>
      </w:tblGrid>
      <w:tr w:rsidR="006E0B3E" w:rsidRPr="00F474BF" w:rsidTr="00AA723C">
        <w:trPr>
          <w:trHeight w:val="485"/>
          <w:jc w:val="center"/>
        </w:trPr>
        <w:tc>
          <w:tcPr>
            <w:tcW w:w="426" w:type="dxa"/>
            <w:vMerge w:val="restart"/>
            <w:shd w:val="clear" w:color="auto" w:fill="FFFFFF"/>
          </w:tcPr>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bCs/>
                <w:sz w:val="24"/>
                <w:szCs w:val="24"/>
              </w:rPr>
              <w:t>№</w:t>
            </w:r>
          </w:p>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bCs/>
                <w:sz w:val="24"/>
                <w:szCs w:val="24"/>
              </w:rPr>
              <w:t>п/п</w:t>
            </w:r>
          </w:p>
        </w:tc>
        <w:tc>
          <w:tcPr>
            <w:tcW w:w="1417" w:type="dxa"/>
            <w:vMerge w:val="restart"/>
            <w:shd w:val="clear" w:color="auto" w:fill="FFFFFF"/>
          </w:tcPr>
          <w:p w:rsidR="006E0B3E" w:rsidRPr="00F474BF" w:rsidRDefault="006E0B3E" w:rsidP="00AA723C">
            <w:pPr>
              <w:spacing w:after="0" w:line="240" w:lineRule="auto"/>
              <w:jc w:val="center"/>
              <w:rPr>
                <w:rFonts w:ascii="Times New Roman" w:hAnsi="Times New Roman"/>
                <w:sz w:val="24"/>
                <w:szCs w:val="24"/>
              </w:rPr>
            </w:pPr>
            <w:r w:rsidRPr="00F474BF">
              <w:rPr>
                <w:rFonts w:ascii="Times New Roman" w:hAnsi="Times New Roman"/>
                <w:sz w:val="24"/>
                <w:szCs w:val="24"/>
              </w:rPr>
              <w:t xml:space="preserve">Сорт </w:t>
            </w:r>
          </w:p>
          <w:p w:rsidR="006E0B3E" w:rsidRPr="00F474BF" w:rsidRDefault="006E0B3E" w:rsidP="00AA723C">
            <w:pPr>
              <w:spacing w:after="0" w:line="240" w:lineRule="auto"/>
              <w:jc w:val="center"/>
              <w:rPr>
                <w:rFonts w:ascii="Times New Roman" w:hAnsi="Times New Roman"/>
                <w:sz w:val="24"/>
                <w:szCs w:val="24"/>
              </w:rPr>
            </w:pPr>
            <w:r w:rsidRPr="00F474BF">
              <w:rPr>
                <w:rFonts w:ascii="Times New Roman" w:hAnsi="Times New Roman"/>
                <w:sz w:val="24"/>
                <w:szCs w:val="24"/>
              </w:rPr>
              <w:t>винограда</w:t>
            </w:r>
          </w:p>
        </w:tc>
        <w:tc>
          <w:tcPr>
            <w:tcW w:w="7264" w:type="dxa"/>
            <w:gridSpan w:val="8"/>
            <w:shd w:val="clear" w:color="auto" w:fill="FFFFFF"/>
          </w:tcPr>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bCs/>
                <w:sz w:val="24"/>
                <w:szCs w:val="24"/>
              </w:rPr>
              <w:t>Виноматериал</w:t>
            </w:r>
          </w:p>
        </w:tc>
      </w:tr>
      <w:tr w:rsidR="006E0B3E" w:rsidRPr="00F474BF" w:rsidTr="00AA723C">
        <w:trPr>
          <w:trHeight w:val="485"/>
          <w:jc w:val="center"/>
        </w:trPr>
        <w:tc>
          <w:tcPr>
            <w:tcW w:w="426" w:type="dxa"/>
            <w:vMerge/>
            <w:shd w:val="clear" w:color="auto" w:fill="FFFFFF"/>
          </w:tcPr>
          <w:p w:rsidR="006E0B3E" w:rsidRPr="00F474BF" w:rsidRDefault="006E0B3E" w:rsidP="00AA723C">
            <w:pPr>
              <w:spacing w:after="0" w:line="240" w:lineRule="auto"/>
              <w:jc w:val="center"/>
              <w:rPr>
                <w:rFonts w:ascii="Times New Roman" w:hAnsi="Times New Roman"/>
                <w:bCs/>
                <w:sz w:val="24"/>
                <w:szCs w:val="24"/>
              </w:rPr>
            </w:pPr>
          </w:p>
        </w:tc>
        <w:tc>
          <w:tcPr>
            <w:tcW w:w="1417" w:type="dxa"/>
            <w:vMerge/>
            <w:shd w:val="clear" w:color="auto" w:fill="FFFFFF"/>
          </w:tcPr>
          <w:p w:rsidR="006E0B3E" w:rsidRPr="00F474BF" w:rsidRDefault="006E0B3E" w:rsidP="00AA723C">
            <w:pPr>
              <w:spacing w:after="0" w:line="240" w:lineRule="auto"/>
              <w:jc w:val="center"/>
              <w:rPr>
                <w:rFonts w:ascii="Times New Roman" w:hAnsi="Times New Roman"/>
                <w:sz w:val="24"/>
                <w:szCs w:val="24"/>
              </w:rPr>
            </w:pPr>
          </w:p>
        </w:tc>
        <w:tc>
          <w:tcPr>
            <w:tcW w:w="1062" w:type="dxa"/>
            <w:gridSpan w:val="2"/>
            <w:vMerge w:val="restart"/>
            <w:shd w:val="clear" w:color="auto" w:fill="FFFFFF"/>
          </w:tcPr>
          <w:p w:rsidR="006E0B3E" w:rsidRPr="00F474BF" w:rsidRDefault="006E0B3E" w:rsidP="00AA723C">
            <w:pPr>
              <w:spacing w:after="0" w:line="240" w:lineRule="auto"/>
              <w:jc w:val="center"/>
              <w:rPr>
                <w:rFonts w:ascii="Times New Roman" w:hAnsi="Times New Roman"/>
                <w:sz w:val="24"/>
                <w:szCs w:val="24"/>
              </w:rPr>
            </w:pPr>
            <w:r w:rsidRPr="00F474BF">
              <w:rPr>
                <w:rFonts w:ascii="Times New Roman" w:hAnsi="Times New Roman"/>
                <w:sz w:val="24"/>
                <w:szCs w:val="24"/>
              </w:rPr>
              <w:t>объемная доля спирта, об.%</w:t>
            </w:r>
          </w:p>
        </w:tc>
        <w:tc>
          <w:tcPr>
            <w:tcW w:w="1062" w:type="dxa"/>
            <w:vMerge w:val="restart"/>
            <w:shd w:val="clear" w:color="auto" w:fill="FFFFFF"/>
          </w:tcPr>
          <w:p w:rsidR="006E0B3E" w:rsidRPr="00F474BF" w:rsidRDefault="006E0B3E" w:rsidP="00AA723C">
            <w:pPr>
              <w:spacing w:after="0" w:line="240" w:lineRule="auto"/>
              <w:jc w:val="center"/>
              <w:rPr>
                <w:rFonts w:ascii="Times New Roman" w:hAnsi="Times New Roman"/>
                <w:sz w:val="24"/>
                <w:szCs w:val="24"/>
              </w:rPr>
            </w:pPr>
            <w:r w:rsidRPr="00F474BF">
              <w:rPr>
                <w:rFonts w:ascii="Times New Roman" w:hAnsi="Times New Roman"/>
                <w:sz w:val="24"/>
                <w:szCs w:val="24"/>
              </w:rPr>
              <w:t>аминный</w:t>
            </w:r>
          </w:p>
          <w:p w:rsidR="006E0B3E" w:rsidRPr="00F474BF" w:rsidRDefault="006E0B3E" w:rsidP="00AA723C">
            <w:pPr>
              <w:spacing w:after="0" w:line="240" w:lineRule="auto"/>
              <w:jc w:val="center"/>
              <w:rPr>
                <w:rFonts w:ascii="Times New Roman" w:hAnsi="Times New Roman"/>
                <w:sz w:val="24"/>
                <w:szCs w:val="24"/>
              </w:rPr>
            </w:pPr>
            <w:r w:rsidRPr="00F474BF">
              <w:rPr>
                <w:rFonts w:ascii="Times New Roman" w:hAnsi="Times New Roman"/>
                <w:sz w:val="24"/>
                <w:szCs w:val="24"/>
              </w:rPr>
              <w:t>азот, мг/дм</w:t>
            </w:r>
            <w:r w:rsidRPr="00F474BF">
              <w:rPr>
                <w:rFonts w:ascii="Times New Roman" w:hAnsi="Times New Roman"/>
                <w:sz w:val="24"/>
                <w:szCs w:val="24"/>
                <w:vertAlign w:val="superscript"/>
              </w:rPr>
              <w:t>3</w:t>
            </w:r>
          </w:p>
        </w:tc>
        <w:tc>
          <w:tcPr>
            <w:tcW w:w="1028" w:type="dxa"/>
            <w:vMerge w:val="restart"/>
            <w:shd w:val="clear" w:color="auto" w:fill="FFFFFF"/>
          </w:tcPr>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bCs/>
                <w:sz w:val="24"/>
                <w:szCs w:val="24"/>
              </w:rPr>
              <w:t>общий азот,</w:t>
            </w:r>
          </w:p>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sz w:val="24"/>
                <w:szCs w:val="24"/>
              </w:rPr>
              <w:t>мг/дм</w:t>
            </w:r>
            <w:r w:rsidRPr="00F474BF">
              <w:rPr>
                <w:rFonts w:ascii="Times New Roman" w:hAnsi="Times New Roman"/>
                <w:sz w:val="24"/>
                <w:szCs w:val="24"/>
                <w:vertAlign w:val="superscript"/>
              </w:rPr>
              <w:t>3</w:t>
            </w:r>
          </w:p>
        </w:tc>
        <w:tc>
          <w:tcPr>
            <w:tcW w:w="3084" w:type="dxa"/>
            <w:gridSpan w:val="3"/>
            <w:shd w:val="clear" w:color="auto" w:fill="FFFFFF"/>
          </w:tcPr>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sz w:val="24"/>
                <w:szCs w:val="24"/>
              </w:rPr>
              <w:t>массовая концентрация</w:t>
            </w:r>
          </w:p>
        </w:tc>
        <w:tc>
          <w:tcPr>
            <w:tcW w:w="1028" w:type="dxa"/>
            <w:vMerge w:val="restart"/>
            <w:shd w:val="clear" w:color="auto" w:fill="FFFFFF"/>
          </w:tcPr>
          <w:p w:rsidR="006E0B3E" w:rsidRPr="00F474BF" w:rsidRDefault="006E0B3E" w:rsidP="00AA723C">
            <w:pPr>
              <w:spacing w:after="0" w:line="240" w:lineRule="auto"/>
              <w:jc w:val="center"/>
              <w:rPr>
                <w:rFonts w:ascii="Times New Roman" w:hAnsi="Times New Roman"/>
                <w:bCs/>
                <w:sz w:val="24"/>
                <w:szCs w:val="24"/>
              </w:rPr>
            </w:pPr>
            <w:r w:rsidRPr="00F474BF">
              <w:rPr>
                <w:rFonts w:ascii="Times New Roman" w:hAnsi="Times New Roman"/>
                <w:bCs/>
                <w:sz w:val="24"/>
                <w:szCs w:val="24"/>
              </w:rPr>
              <w:t>дегуста-ционная оценка, балл</w:t>
            </w:r>
          </w:p>
        </w:tc>
      </w:tr>
      <w:tr w:rsidR="006E0B3E" w:rsidRPr="00F474BF" w:rsidTr="00AA723C">
        <w:trPr>
          <w:trHeight w:val="1104"/>
          <w:jc w:val="center"/>
        </w:trPr>
        <w:tc>
          <w:tcPr>
            <w:tcW w:w="426" w:type="dxa"/>
            <w:vMerge/>
            <w:shd w:val="clear" w:color="auto" w:fill="FFFFFF"/>
          </w:tcPr>
          <w:p w:rsidR="006E0B3E" w:rsidRPr="00F474BF" w:rsidRDefault="006E0B3E" w:rsidP="00E53B72">
            <w:pPr>
              <w:spacing w:after="0" w:line="240" w:lineRule="auto"/>
              <w:jc w:val="center"/>
              <w:rPr>
                <w:rFonts w:ascii="Times New Roman" w:hAnsi="Times New Roman"/>
                <w:bCs/>
                <w:sz w:val="24"/>
                <w:szCs w:val="24"/>
              </w:rPr>
            </w:pPr>
          </w:p>
        </w:tc>
        <w:tc>
          <w:tcPr>
            <w:tcW w:w="1417" w:type="dxa"/>
            <w:vMerge/>
            <w:shd w:val="clear" w:color="auto" w:fill="FFFFFF"/>
          </w:tcPr>
          <w:p w:rsidR="006E0B3E" w:rsidRPr="00F474BF" w:rsidRDefault="006E0B3E" w:rsidP="00E53B72">
            <w:pPr>
              <w:spacing w:after="0" w:line="240" w:lineRule="auto"/>
              <w:jc w:val="center"/>
              <w:rPr>
                <w:rFonts w:ascii="Times New Roman" w:hAnsi="Times New Roman"/>
                <w:sz w:val="24"/>
                <w:szCs w:val="24"/>
              </w:rPr>
            </w:pPr>
          </w:p>
        </w:tc>
        <w:tc>
          <w:tcPr>
            <w:tcW w:w="1062" w:type="dxa"/>
            <w:gridSpan w:val="2"/>
            <w:vMerge/>
            <w:shd w:val="clear" w:color="auto" w:fill="FFFFFF"/>
          </w:tcPr>
          <w:p w:rsidR="006E0B3E" w:rsidRPr="00F474BF" w:rsidRDefault="006E0B3E" w:rsidP="00E53B72">
            <w:pPr>
              <w:spacing w:after="0" w:line="240" w:lineRule="auto"/>
              <w:jc w:val="center"/>
              <w:rPr>
                <w:rFonts w:ascii="Times New Roman" w:hAnsi="Times New Roman"/>
                <w:sz w:val="24"/>
                <w:szCs w:val="24"/>
              </w:rPr>
            </w:pPr>
          </w:p>
        </w:tc>
        <w:tc>
          <w:tcPr>
            <w:tcW w:w="1062" w:type="dxa"/>
            <w:vMerge/>
            <w:shd w:val="clear" w:color="auto" w:fill="FFFFFF"/>
          </w:tcPr>
          <w:p w:rsidR="006E0B3E" w:rsidRPr="00F474BF" w:rsidRDefault="006E0B3E" w:rsidP="00E53B72">
            <w:pPr>
              <w:spacing w:after="0" w:line="240" w:lineRule="auto"/>
              <w:jc w:val="center"/>
              <w:rPr>
                <w:rFonts w:ascii="Times New Roman" w:hAnsi="Times New Roman"/>
                <w:sz w:val="24"/>
                <w:szCs w:val="24"/>
              </w:rPr>
            </w:pPr>
          </w:p>
        </w:tc>
        <w:tc>
          <w:tcPr>
            <w:tcW w:w="1028" w:type="dxa"/>
            <w:vMerge/>
            <w:shd w:val="clear" w:color="auto" w:fill="FFFFFF"/>
          </w:tcPr>
          <w:p w:rsidR="006E0B3E" w:rsidRPr="00F474BF" w:rsidRDefault="006E0B3E" w:rsidP="00E53B72">
            <w:pPr>
              <w:spacing w:after="0" w:line="240" w:lineRule="auto"/>
              <w:jc w:val="center"/>
              <w:rPr>
                <w:rFonts w:ascii="Times New Roman" w:hAnsi="Times New Roman"/>
                <w:sz w:val="24"/>
                <w:szCs w:val="24"/>
              </w:rPr>
            </w:pPr>
          </w:p>
        </w:tc>
        <w:tc>
          <w:tcPr>
            <w:tcW w:w="1028" w:type="dxa"/>
            <w:shd w:val="clear" w:color="auto" w:fill="FFFFFF"/>
          </w:tcPr>
          <w:p w:rsidR="006E0B3E" w:rsidRPr="00F474BF" w:rsidRDefault="006E0B3E" w:rsidP="00E53B72">
            <w:pPr>
              <w:spacing w:after="0" w:line="240" w:lineRule="auto"/>
              <w:jc w:val="center"/>
              <w:rPr>
                <w:rFonts w:ascii="Times New Roman" w:hAnsi="Times New Roman"/>
                <w:sz w:val="24"/>
                <w:szCs w:val="24"/>
              </w:rPr>
            </w:pPr>
            <w:r w:rsidRPr="00F474BF">
              <w:rPr>
                <w:rFonts w:ascii="Times New Roman" w:hAnsi="Times New Roman"/>
                <w:sz w:val="24"/>
                <w:szCs w:val="24"/>
              </w:rPr>
              <w:t>титруе-мых кислот, г/дм</w:t>
            </w:r>
            <w:r w:rsidRPr="00F474BF">
              <w:rPr>
                <w:rFonts w:ascii="Times New Roman" w:hAnsi="Times New Roman"/>
                <w:sz w:val="24"/>
                <w:szCs w:val="24"/>
                <w:vertAlign w:val="superscript"/>
              </w:rPr>
              <w:t>3</w:t>
            </w:r>
          </w:p>
        </w:tc>
        <w:tc>
          <w:tcPr>
            <w:tcW w:w="1028" w:type="dxa"/>
            <w:shd w:val="clear" w:color="auto" w:fill="FFFFFF"/>
          </w:tcPr>
          <w:p w:rsidR="006E0B3E" w:rsidRPr="00F474BF" w:rsidRDefault="006E0B3E" w:rsidP="00E53B72">
            <w:pPr>
              <w:spacing w:after="0" w:line="240" w:lineRule="auto"/>
              <w:jc w:val="center"/>
              <w:rPr>
                <w:rFonts w:ascii="Times New Roman" w:hAnsi="Times New Roman"/>
                <w:sz w:val="24"/>
                <w:szCs w:val="24"/>
              </w:rPr>
            </w:pPr>
            <w:r w:rsidRPr="00F474BF">
              <w:rPr>
                <w:rFonts w:ascii="Times New Roman" w:hAnsi="Times New Roman"/>
                <w:sz w:val="24"/>
                <w:szCs w:val="24"/>
              </w:rPr>
              <w:t>летучих кислот, г/дм</w:t>
            </w:r>
            <w:r w:rsidRPr="00F474BF">
              <w:rPr>
                <w:rFonts w:ascii="Times New Roman" w:hAnsi="Times New Roman"/>
                <w:sz w:val="24"/>
                <w:szCs w:val="24"/>
                <w:vertAlign w:val="superscript"/>
              </w:rPr>
              <w:t>3</w:t>
            </w:r>
          </w:p>
        </w:tc>
        <w:tc>
          <w:tcPr>
            <w:tcW w:w="1028" w:type="dxa"/>
            <w:shd w:val="clear" w:color="auto" w:fill="FFFFFF"/>
          </w:tcPr>
          <w:p w:rsidR="006E0B3E" w:rsidRPr="00F474BF" w:rsidRDefault="006E0B3E" w:rsidP="00E53B72">
            <w:pPr>
              <w:spacing w:after="0" w:line="240" w:lineRule="auto"/>
              <w:jc w:val="center"/>
              <w:rPr>
                <w:rFonts w:ascii="Times New Roman" w:hAnsi="Times New Roman"/>
                <w:sz w:val="24"/>
                <w:szCs w:val="24"/>
              </w:rPr>
            </w:pPr>
            <w:r w:rsidRPr="00F474BF">
              <w:rPr>
                <w:rFonts w:ascii="Times New Roman" w:hAnsi="Times New Roman"/>
                <w:sz w:val="24"/>
                <w:szCs w:val="24"/>
              </w:rPr>
              <w:t>сахаров, г/дм</w:t>
            </w:r>
            <w:r w:rsidRPr="00F474BF">
              <w:rPr>
                <w:rFonts w:ascii="Times New Roman" w:hAnsi="Times New Roman"/>
                <w:sz w:val="24"/>
                <w:szCs w:val="24"/>
                <w:vertAlign w:val="superscript"/>
              </w:rPr>
              <w:t>3</w:t>
            </w:r>
          </w:p>
        </w:tc>
        <w:tc>
          <w:tcPr>
            <w:tcW w:w="1028" w:type="dxa"/>
            <w:vMerge/>
            <w:shd w:val="clear" w:color="auto" w:fill="FFFFFF"/>
          </w:tcPr>
          <w:p w:rsidR="006E0B3E" w:rsidRPr="00F474BF" w:rsidRDefault="006E0B3E" w:rsidP="00E53B72">
            <w:pPr>
              <w:spacing w:after="0" w:line="240" w:lineRule="auto"/>
              <w:jc w:val="center"/>
              <w:rPr>
                <w:rFonts w:ascii="Times New Roman" w:hAnsi="Times New Roman"/>
                <w:bCs/>
                <w:sz w:val="24"/>
                <w:szCs w:val="24"/>
              </w:rPr>
            </w:pPr>
          </w:p>
        </w:tc>
      </w:tr>
      <w:tr w:rsidR="006E0B3E" w:rsidRPr="00F474BF" w:rsidTr="00AA723C">
        <w:trPr>
          <w:jc w:val="center"/>
        </w:trPr>
        <w:tc>
          <w:tcPr>
            <w:tcW w:w="9107" w:type="dxa"/>
            <w:gridSpan w:val="10"/>
            <w:shd w:val="clear" w:color="auto" w:fill="FFFFFF"/>
          </w:tcPr>
          <w:p w:rsidR="006E0B3E" w:rsidRPr="00F474BF" w:rsidRDefault="006E0B3E" w:rsidP="00E53B72">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Традиционная технология</w:t>
            </w:r>
          </w:p>
        </w:tc>
      </w:tr>
      <w:tr w:rsidR="006E0B3E" w:rsidRPr="00F474BF" w:rsidTr="00AA723C">
        <w:trPr>
          <w:jc w:val="center"/>
        </w:trPr>
        <w:tc>
          <w:tcPr>
            <w:tcW w:w="426" w:type="dxa"/>
            <w:shd w:val="clear" w:color="auto" w:fill="FFFFFF"/>
          </w:tcPr>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bCs/>
                <w:sz w:val="24"/>
                <w:szCs w:val="24"/>
              </w:rPr>
              <w:t>1</w:t>
            </w:r>
          </w:p>
        </w:tc>
        <w:tc>
          <w:tcPr>
            <w:tcW w:w="1417" w:type="dxa"/>
            <w:shd w:val="clear" w:color="auto" w:fill="FFFFFF"/>
          </w:tcPr>
          <w:p w:rsidR="006E0B3E" w:rsidRPr="00F474BF" w:rsidRDefault="006E0B3E" w:rsidP="008F7236">
            <w:pPr>
              <w:spacing w:after="0" w:line="240" w:lineRule="auto"/>
              <w:rPr>
                <w:rFonts w:ascii="Times New Roman" w:hAnsi="Times New Roman"/>
                <w:sz w:val="24"/>
                <w:szCs w:val="24"/>
              </w:rPr>
            </w:pPr>
            <w:r w:rsidRPr="00F474BF">
              <w:rPr>
                <w:rFonts w:ascii="Times New Roman" w:hAnsi="Times New Roman"/>
                <w:sz w:val="24"/>
                <w:szCs w:val="24"/>
              </w:rPr>
              <w:t>Екатерино-дарский</w:t>
            </w:r>
          </w:p>
        </w:tc>
        <w:tc>
          <w:tcPr>
            <w:tcW w:w="1044"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13,2</w:t>
            </w:r>
          </w:p>
        </w:tc>
        <w:tc>
          <w:tcPr>
            <w:tcW w:w="1080" w:type="dxa"/>
            <w:gridSpan w:val="2"/>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380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860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5,2</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0,40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45</w:t>
            </w:r>
          </w:p>
        </w:tc>
        <w:tc>
          <w:tcPr>
            <w:tcW w:w="1028" w:type="dxa"/>
            <w:shd w:val="clear" w:color="auto" w:fill="FFFFFF"/>
          </w:tcPr>
          <w:p w:rsidR="006E0B3E" w:rsidRPr="00F474BF" w:rsidRDefault="006E0B3E" w:rsidP="008F7236">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8,1</w:t>
            </w:r>
          </w:p>
        </w:tc>
      </w:tr>
      <w:tr w:rsidR="006E0B3E" w:rsidRPr="00F474BF" w:rsidTr="00AA723C">
        <w:trPr>
          <w:jc w:val="center"/>
        </w:trPr>
        <w:tc>
          <w:tcPr>
            <w:tcW w:w="426" w:type="dxa"/>
            <w:shd w:val="clear" w:color="auto" w:fill="FFFFFF"/>
            <w:vAlign w:val="center"/>
          </w:tcPr>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bCs/>
                <w:sz w:val="24"/>
                <w:szCs w:val="24"/>
              </w:rPr>
              <w:t>2</w:t>
            </w:r>
          </w:p>
        </w:tc>
        <w:tc>
          <w:tcPr>
            <w:tcW w:w="1417" w:type="dxa"/>
            <w:shd w:val="clear" w:color="auto" w:fill="FFFFFF"/>
          </w:tcPr>
          <w:p w:rsidR="006E0B3E" w:rsidRPr="00F474BF" w:rsidRDefault="006E0B3E" w:rsidP="008F7236">
            <w:pPr>
              <w:spacing w:after="0" w:line="240" w:lineRule="auto"/>
              <w:rPr>
                <w:rFonts w:ascii="Times New Roman" w:hAnsi="Times New Roman"/>
                <w:sz w:val="24"/>
                <w:szCs w:val="24"/>
              </w:rPr>
            </w:pPr>
            <w:r w:rsidRPr="00F474BF">
              <w:rPr>
                <w:rFonts w:ascii="Times New Roman" w:hAnsi="Times New Roman"/>
                <w:sz w:val="24"/>
                <w:szCs w:val="24"/>
              </w:rPr>
              <w:t>Шардоне</w:t>
            </w:r>
          </w:p>
        </w:tc>
        <w:tc>
          <w:tcPr>
            <w:tcW w:w="1044"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12,6</w:t>
            </w:r>
          </w:p>
        </w:tc>
        <w:tc>
          <w:tcPr>
            <w:tcW w:w="1080" w:type="dxa"/>
            <w:gridSpan w:val="2"/>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350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750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5,8</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0,42</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45</w:t>
            </w:r>
          </w:p>
        </w:tc>
        <w:tc>
          <w:tcPr>
            <w:tcW w:w="1028" w:type="dxa"/>
            <w:shd w:val="clear" w:color="auto" w:fill="FFFFFF"/>
            <w:vAlign w:val="center"/>
          </w:tcPr>
          <w:p w:rsidR="006E0B3E" w:rsidRPr="00F474BF" w:rsidRDefault="006E0B3E" w:rsidP="008F7236">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8,2</w:t>
            </w:r>
          </w:p>
        </w:tc>
      </w:tr>
      <w:tr w:rsidR="006E0B3E" w:rsidRPr="00F474BF" w:rsidTr="00AA723C">
        <w:trPr>
          <w:jc w:val="center"/>
        </w:trPr>
        <w:tc>
          <w:tcPr>
            <w:tcW w:w="9107" w:type="dxa"/>
            <w:gridSpan w:val="10"/>
            <w:shd w:val="clear" w:color="auto" w:fill="FFFFFF"/>
            <w:vAlign w:val="center"/>
          </w:tcPr>
          <w:p w:rsidR="006E0B3E" w:rsidRPr="00F474BF" w:rsidRDefault="006E0B3E" w:rsidP="008F7236">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Экспериментальная технология</w:t>
            </w:r>
          </w:p>
        </w:tc>
      </w:tr>
      <w:tr w:rsidR="006E0B3E" w:rsidRPr="00F474BF" w:rsidTr="00AA723C">
        <w:trPr>
          <w:jc w:val="center"/>
        </w:trPr>
        <w:tc>
          <w:tcPr>
            <w:tcW w:w="426" w:type="dxa"/>
            <w:shd w:val="clear" w:color="auto" w:fill="FFFFFF"/>
          </w:tcPr>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bCs/>
                <w:sz w:val="24"/>
                <w:szCs w:val="24"/>
              </w:rPr>
              <w:t>1</w:t>
            </w:r>
          </w:p>
        </w:tc>
        <w:tc>
          <w:tcPr>
            <w:tcW w:w="1417" w:type="dxa"/>
            <w:shd w:val="clear" w:color="auto" w:fill="FFFFFF"/>
          </w:tcPr>
          <w:p w:rsidR="006E0B3E" w:rsidRPr="00F474BF" w:rsidRDefault="006E0B3E" w:rsidP="008F7236">
            <w:pPr>
              <w:spacing w:after="0" w:line="240" w:lineRule="auto"/>
              <w:rPr>
                <w:rFonts w:ascii="Times New Roman" w:hAnsi="Times New Roman"/>
                <w:sz w:val="24"/>
                <w:szCs w:val="24"/>
              </w:rPr>
            </w:pPr>
            <w:r w:rsidRPr="00F474BF">
              <w:rPr>
                <w:rFonts w:ascii="Times New Roman" w:hAnsi="Times New Roman"/>
                <w:sz w:val="24"/>
                <w:szCs w:val="24"/>
              </w:rPr>
              <w:t>Екатерино-дарский</w:t>
            </w:r>
          </w:p>
        </w:tc>
        <w:tc>
          <w:tcPr>
            <w:tcW w:w="1044"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11,2</w:t>
            </w:r>
          </w:p>
        </w:tc>
        <w:tc>
          <w:tcPr>
            <w:tcW w:w="1080" w:type="dxa"/>
            <w:gridSpan w:val="2"/>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112</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340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5,0</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0,37</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42</w:t>
            </w:r>
          </w:p>
        </w:tc>
        <w:tc>
          <w:tcPr>
            <w:tcW w:w="1028" w:type="dxa"/>
            <w:shd w:val="clear" w:color="auto" w:fill="FFFFFF"/>
          </w:tcPr>
          <w:p w:rsidR="006E0B3E" w:rsidRPr="00F474BF" w:rsidRDefault="006E0B3E" w:rsidP="008F7236">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8,3</w:t>
            </w:r>
          </w:p>
        </w:tc>
      </w:tr>
      <w:tr w:rsidR="006E0B3E" w:rsidRPr="00F474BF" w:rsidTr="00AA723C">
        <w:trPr>
          <w:trHeight w:val="445"/>
          <w:jc w:val="center"/>
        </w:trPr>
        <w:tc>
          <w:tcPr>
            <w:tcW w:w="426" w:type="dxa"/>
            <w:shd w:val="clear" w:color="auto" w:fill="FFFFFF"/>
            <w:vAlign w:val="center"/>
          </w:tcPr>
          <w:p w:rsidR="006E0B3E" w:rsidRPr="00F474BF" w:rsidRDefault="006E0B3E" w:rsidP="008F7236">
            <w:pPr>
              <w:spacing w:after="0" w:line="240" w:lineRule="auto"/>
              <w:jc w:val="center"/>
              <w:rPr>
                <w:rFonts w:ascii="Times New Roman" w:hAnsi="Times New Roman"/>
                <w:bCs/>
                <w:sz w:val="24"/>
                <w:szCs w:val="24"/>
              </w:rPr>
            </w:pPr>
            <w:r w:rsidRPr="00F474BF">
              <w:rPr>
                <w:rFonts w:ascii="Times New Roman" w:hAnsi="Times New Roman"/>
                <w:bCs/>
                <w:sz w:val="24"/>
                <w:szCs w:val="24"/>
              </w:rPr>
              <w:t>2</w:t>
            </w:r>
          </w:p>
        </w:tc>
        <w:tc>
          <w:tcPr>
            <w:tcW w:w="1417" w:type="dxa"/>
            <w:shd w:val="clear" w:color="auto" w:fill="FFFFFF"/>
          </w:tcPr>
          <w:p w:rsidR="006E0B3E" w:rsidRPr="00F474BF" w:rsidRDefault="006E0B3E" w:rsidP="008F7236">
            <w:pPr>
              <w:spacing w:after="0" w:line="240" w:lineRule="auto"/>
              <w:rPr>
                <w:rFonts w:ascii="Times New Roman" w:hAnsi="Times New Roman"/>
                <w:sz w:val="24"/>
                <w:szCs w:val="24"/>
              </w:rPr>
            </w:pPr>
            <w:r w:rsidRPr="00F474BF">
              <w:rPr>
                <w:rFonts w:ascii="Times New Roman" w:hAnsi="Times New Roman"/>
                <w:sz w:val="24"/>
                <w:szCs w:val="24"/>
              </w:rPr>
              <w:t>Шардоне</w:t>
            </w:r>
          </w:p>
        </w:tc>
        <w:tc>
          <w:tcPr>
            <w:tcW w:w="1044" w:type="dxa"/>
            <w:shd w:val="clear" w:color="auto" w:fill="FFFFFF"/>
            <w:vAlign w:val="center"/>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10,6</w:t>
            </w:r>
          </w:p>
        </w:tc>
        <w:tc>
          <w:tcPr>
            <w:tcW w:w="1080" w:type="dxa"/>
            <w:gridSpan w:val="2"/>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123</w:t>
            </w:r>
          </w:p>
        </w:tc>
        <w:tc>
          <w:tcPr>
            <w:tcW w:w="1028" w:type="dxa"/>
            <w:shd w:val="clear" w:color="auto" w:fill="FFFFFF"/>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360</w:t>
            </w:r>
          </w:p>
        </w:tc>
        <w:tc>
          <w:tcPr>
            <w:tcW w:w="1028" w:type="dxa"/>
            <w:shd w:val="clear" w:color="auto" w:fill="FFFFFF"/>
            <w:vAlign w:val="center"/>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6,0</w:t>
            </w:r>
          </w:p>
        </w:tc>
        <w:tc>
          <w:tcPr>
            <w:tcW w:w="1028" w:type="dxa"/>
            <w:shd w:val="clear" w:color="auto" w:fill="FFFFFF"/>
            <w:vAlign w:val="center"/>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0,42</w:t>
            </w:r>
          </w:p>
        </w:tc>
        <w:tc>
          <w:tcPr>
            <w:tcW w:w="1028" w:type="dxa"/>
            <w:shd w:val="clear" w:color="auto" w:fill="FFFFFF"/>
            <w:vAlign w:val="center"/>
          </w:tcPr>
          <w:p w:rsidR="006E0B3E" w:rsidRPr="00F474BF" w:rsidRDefault="006E0B3E" w:rsidP="008F7236">
            <w:pPr>
              <w:spacing w:after="0" w:line="240" w:lineRule="auto"/>
              <w:jc w:val="center"/>
              <w:rPr>
                <w:rFonts w:ascii="Times New Roman" w:hAnsi="Times New Roman"/>
                <w:sz w:val="24"/>
                <w:szCs w:val="24"/>
              </w:rPr>
            </w:pPr>
            <w:r w:rsidRPr="00F474BF">
              <w:rPr>
                <w:rFonts w:ascii="Times New Roman" w:hAnsi="Times New Roman"/>
                <w:sz w:val="24"/>
                <w:szCs w:val="24"/>
              </w:rPr>
              <w:t>23</w:t>
            </w:r>
          </w:p>
        </w:tc>
        <w:tc>
          <w:tcPr>
            <w:tcW w:w="1028" w:type="dxa"/>
            <w:shd w:val="clear" w:color="auto" w:fill="FFFFFF"/>
            <w:vAlign w:val="center"/>
          </w:tcPr>
          <w:p w:rsidR="006E0B3E" w:rsidRPr="00F474BF" w:rsidRDefault="006E0B3E" w:rsidP="008F7236">
            <w:pPr>
              <w:tabs>
                <w:tab w:val="left" w:pos="2340"/>
              </w:tabs>
              <w:spacing w:after="0" w:line="240" w:lineRule="auto"/>
              <w:jc w:val="center"/>
              <w:rPr>
                <w:rFonts w:ascii="Times New Roman" w:hAnsi="Times New Roman"/>
                <w:sz w:val="24"/>
                <w:szCs w:val="24"/>
              </w:rPr>
            </w:pPr>
            <w:r w:rsidRPr="00F474BF">
              <w:rPr>
                <w:rFonts w:ascii="Times New Roman" w:hAnsi="Times New Roman"/>
                <w:sz w:val="24"/>
                <w:szCs w:val="24"/>
              </w:rPr>
              <w:t>8,5</w:t>
            </w:r>
          </w:p>
        </w:tc>
      </w:tr>
    </w:tbl>
    <w:p w:rsidR="006E0B3E" w:rsidRDefault="006E0B3E" w:rsidP="00E2501E">
      <w:pPr>
        <w:spacing w:after="0" w:line="360" w:lineRule="auto"/>
        <w:ind w:firstLine="680"/>
        <w:jc w:val="both"/>
        <w:rPr>
          <w:rFonts w:ascii="Times New Roman" w:hAnsi="Times New Roman"/>
          <w:sz w:val="28"/>
          <w:szCs w:val="28"/>
        </w:rPr>
      </w:pPr>
    </w:p>
    <w:p w:rsidR="006E0B3E" w:rsidRDefault="006E0B3E" w:rsidP="00E2501E">
      <w:pPr>
        <w:spacing w:after="0" w:line="360" w:lineRule="auto"/>
        <w:ind w:firstLine="680"/>
        <w:jc w:val="both"/>
        <w:rPr>
          <w:rFonts w:ascii="Times New Roman" w:hAnsi="Times New Roman"/>
          <w:sz w:val="28"/>
          <w:szCs w:val="28"/>
        </w:rPr>
      </w:pPr>
      <w:r>
        <w:rPr>
          <w:rFonts w:ascii="Times New Roman" w:hAnsi="Times New Roman"/>
          <w:sz w:val="28"/>
          <w:szCs w:val="28"/>
        </w:rPr>
        <w:t xml:space="preserve">Установлено, что в экспериментальных вариантах концентрация азотистых соединений в три раза меньше, чем в контрольных, что пролонгирует устойчивость виноматериалов к коллоидным помутнениям. </w:t>
      </w:r>
    </w:p>
    <w:p w:rsidR="006E0B3E" w:rsidRPr="00B13104" w:rsidRDefault="006E0B3E" w:rsidP="00E2501E">
      <w:pPr>
        <w:spacing w:after="0" w:line="360" w:lineRule="auto"/>
        <w:ind w:firstLine="680"/>
        <w:jc w:val="both"/>
        <w:rPr>
          <w:rFonts w:ascii="Times New Roman" w:hAnsi="Times New Roman"/>
          <w:color w:val="000000"/>
          <w:sz w:val="28"/>
          <w:szCs w:val="28"/>
          <w:lang w:eastAsia="ru-RU"/>
        </w:rPr>
      </w:pPr>
      <w:r>
        <w:rPr>
          <w:rFonts w:ascii="Times New Roman" w:hAnsi="Times New Roman"/>
          <w:sz w:val="28"/>
          <w:szCs w:val="28"/>
        </w:rPr>
        <w:t xml:space="preserve">Органолептическая оценка показала, что   экспериментальные варианты, особенно Шардоне, характеризовались ярким ароматом с цветочными тонами (цвет липы, акации, жасмина), с нюансами экзотических фруктов. Это согласуется с данными </w:t>
      </w:r>
      <w:r w:rsidRPr="002F710B">
        <w:rPr>
          <w:color w:val="000000"/>
          <w:sz w:val="28"/>
          <w:szCs w:val="28"/>
          <w:lang w:eastAsia="ru-RU"/>
        </w:rPr>
        <w:t>[</w:t>
      </w:r>
      <w:r w:rsidRPr="00F5477F">
        <w:rPr>
          <w:rFonts w:ascii="Times New Roman" w:hAnsi="Times New Roman"/>
          <w:color w:val="000000"/>
          <w:sz w:val="28"/>
          <w:szCs w:val="28"/>
          <w:lang w:eastAsia="ru-RU"/>
        </w:rPr>
        <w:t>12,13</w:t>
      </w:r>
      <w:r w:rsidRPr="002F710B">
        <w:rPr>
          <w:color w:val="000000"/>
          <w:sz w:val="28"/>
          <w:szCs w:val="28"/>
          <w:lang w:eastAsia="ru-RU"/>
        </w:rPr>
        <w:t>]</w:t>
      </w:r>
      <w:r>
        <w:rPr>
          <w:color w:val="000000"/>
          <w:sz w:val="28"/>
          <w:szCs w:val="28"/>
          <w:lang w:eastAsia="ru-RU"/>
        </w:rPr>
        <w:t xml:space="preserve">, </w:t>
      </w:r>
      <w:r w:rsidRPr="00194639">
        <w:rPr>
          <w:rFonts w:ascii="Times New Roman" w:hAnsi="Times New Roman"/>
          <w:color w:val="000000"/>
          <w:sz w:val="28"/>
          <w:szCs w:val="28"/>
          <w:lang w:eastAsia="ru-RU"/>
        </w:rPr>
        <w:t>согласно которы</w:t>
      </w:r>
      <w:r>
        <w:rPr>
          <w:rFonts w:ascii="Times New Roman" w:hAnsi="Times New Roman"/>
          <w:color w:val="000000"/>
          <w:sz w:val="28"/>
          <w:szCs w:val="28"/>
          <w:lang w:eastAsia="ru-RU"/>
        </w:rPr>
        <w:t>м</w:t>
      </w:r>
      <w:r w:rsidRPr="00194639">
        <w:rPr>
          <w:rFonts w:ascii="Times New Roman" w:hAnsi="Times New Roman"/>
          <w:color w:val="000000"/>
          <w:sz w:val="28"/>
          <w:szCs w:val="28"/>
          <w:lang w:eastAsia="ru-RU"/>
        </w:rPr>
        <w:t xml:space="preserve"> азотопонижение</w:t>
      </w:r>
      <w:r>
        <w:rPr>
          <w:rFonts w:ascii="Times New Roman" w:hAnsi="Times New Roman"/>
          <w:color w:val="000000"/>
          <w:sz w:val="28"/>
          <w:szCs w:val="28"/>
          <w:lang w:eastAsia="ru-RU"/>
        </w:rPr>
        <w:t xml:space="preserve"> называют управляемой жизнедеятельностью дрожжей и «биологической ароматизацией» вина. В связи с этим, большой интерес представляет анализ концентрации и качественного состава ароматобразующих компонентов в произведенных виноматериалах (таблица 4).</w:t>
      </w:r>
    </w:p>
    <w:p w:rsidR="006E0B3E" w:rsidRPr="00B13104" w:rsidRDefault="006E0B3E" w:rsidP="00E2501E">
      <w:pPr>
        <w:spacing w:after="0" w:line="360" w:lineRule="auto"/>
        <w:ind w:firstLine="680"/>
        <w:jc w:val="both"/>
        <w:rPr>
          <w:rFonts w:ascii="Times New Roman" w:hAnsi="Times New Roman"/>
          <w:color w:val="000000"/>
          <w:sz w:val="28"/>
          <w:szCs w:val="28"/>
          <w:lang w:eastAsia="ru-RU"/>
        </w:rPr>
      </w:pPr>
    </w:p>
    <w:p w:rsidR="006E0B3E" w:rsidRPr="00B13104" w:rsidRDefault="006E0B3E" w:rsidP="00E2501E">
      <w:pPr>
        <w:spacing w:after="0" w:line="360" w:lineRule="auto"/>
        <w:ind w:firstLine="680"/>
        <w:jc w:val="both"/>
        <w:rPr>
          <w:rFonts w:ascii="Times New Roman" w:hAnsi="Times New Roman"/>
          <w:color w:val="000000"/>
          <w:sz w:val="28"/>
          <w:szCs w:val="28"/>
          <w:lang w:eastAsia="ru-RU"/>
        </w:rPr>
      </w:pPr>
    </w:p>
    <w:p w:rsidR="006E0B3E" w:rsidRPr="00B13104" w:rsidRDefault="006E0B3E" w:rsidP="00E2501E">
      <w:pPr>
        <w:spacing w:after="0" w:line="360" w:lineRule="auto"/>
        <w:ind w:firstLine="680"/>
        <w:jc w:val="both"/>
        <w:rPr>
          <w:rFonts w:ascii="Times New Roman" w:hAnsi="Times New Roman"/>
          <w:color w:val="000000"/>
          <w:sz w:val="28"/>
          <w:szCs w:val="28"/>
          <w:lang w:eastAsia="ru-RU"/>
        </w:rPr>
      </w:pPr>
    </w:p>
    <w:p w:rsidR="006E0B3E" w:rsidRPr="00B13104" w:rsidRDefault="006E0B3E" w:rsidP="00E2501E">
      <w:pPr>
        <w:spacing w:after="0" w:line="360" w:lineRule="auto"/>
        <w:ind w:firstLine="680"/>
        <w:jc w:val="both"/>
        <w:rPr>
          <w:rFonts w:ascii="Times New Roman" w:hAnsi="Times New Roman"/>
          <w:color w:val="000000"/>
          <w:sz w:val="28"/>
          <w:szCs w:val="28"/>
          <w:lang w:eastAsia="ru-RU"/>
        </w:rPr>
      </w:pPr>
    </w:p>
    <w:p w:rsidR="006E0B3E" w:rsidRDefault="006E0B3E" w:rsidP="00D607AD">
      <w:pPr>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Таблица 4 – Ароматобразующие компоненты виноматериалов, произведенных по традиционной и экспериментальной технологиям, мг/дм</w:t>
      </w:r>
      <w:r>
        <w:rPr>
          <w:rFonts w:ascii="Times New Roman" w:hAnsi="Times New Roman"/>
          <w:color w:val="000000"/>
          <w:sz w:val="28"/>
          <w:szCs w:val="28"/>
          <w:vertAlign w:val="superscript"/>
          <w:lang w:eastAsia="ru-RU"/>
        </w:rPr>
        <w:t>3</w:t>
      </w:r>
      <w:r>
        <w:rPr>
          <w:rFonts w:ascii="Times New Roman" w:hAnsi="Times New Roman"/>
          <w:color w:val="000000"/>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687"/>
        <w:gridCol w:w="1696"/>
        <w:gridCol w:w="1549"/>
        <w:gridCol w:w="1548"/>
      </w:tblGrid>
      <w:tr w:rsidR="006E0B3E" w:rsidRPr="00F474BF" w:rsidTr="00F474BF">
        <w:tc>
          <w:tcPr>
            <w:tcW w:w="2830" w:type="dxa"/>
            <w:vMerge w:val="restart"/>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Наименование компонента</w:t>
            </w:r>
          </w:p>
        </w:tc>
        <w:tc>
          <w:tcPr>
            <w:tcW w:w="3402" w:type="dxa"/>
            <w:gridSpan w:val="2"/>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Традиционная технология</w:t>
            </w:r>
          </w:p>
        </w:tc>
        <w:tc>
          <w:tcPr>
            <w:tcW w:w="3113" w:type="dxa"/>
            <w:gridSpan w:val="2"/>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Эксперимент</w:t>
            </w:r>
          </w:p>
        </w:tc>
      </w:tr>
      <w:tr w:rsidR="006E0B3E" w:rsidRPr="00F474BF" w:rsidTr="00F474BF">
        <w:tc>
          <w:tcPr>
            <w:tcW w:w="2830" w:type="dxa"/>
            <w:vMerge/>
          </w:tcPr>
          <w:p w:rsidR="006E0B3E" w:rsidRPr="00F474BF" w:rsidRDefault="006E0B3E" w:rsidP="00F474BF">
            <w:pPr>
              <w:spacing w:after="0" w:line="240" w:lineRule="auto"/>
              <w:jc w:val="center"/>
              <w:rPr>
                <w:rFonts w:ascii="Times New Roman" w:hAnsi="Times New Roman"/>
                <w:color w:val="000000"/>
                <w:sz w:val="24"/>
                <w:szCs w:val="24"/>
                <w:lang w:eastAsia="ru-RU"/>
              </w:rPr>
            </w:pPr>
          </w:p>
        </w:tc>
        <w:tc>
          <w:tcPr>
            <w:tcW w:w="6515" w:type="dxa"/>
            <w:gridSpan w:val="4"/>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Сорт винограда</w:t>
            </w:r>
          </w:p>
        </w:tc>
      </w:tr>
      <w:tr w:rsidR="006E0B3E" w:rsidRPr="00F474BF" w:rsidTr="00F474BF">
        <w:tc>
          <w:tcPr>
            <w:tcW w:w="2830" w:type="dxa"/>
            <w:vMerge/>
          </w:tcPr>
          <w:p w:rsidR="006E0B3E" w:rsidRPr="00F474BF" w:rsidRDefault="006E0B3E" w:rsidP="00F474BF">
            <w:pPr>
              <w:spacing w:after="0" w:line="240" w:lineRule="auto"/>
              <w:jc w:val="center"/>
              <w:rPr>
                <w:rFonts w:ascii="Times New Roman" w:hAnsi="Times New Roman"/>
                <w:color w:val="000000"/>
                <w:sz w:val="24"/>
                <w:szCs w:val="24"/>
                <w:lang w:eastAsia="ru-RU"/>
              </w:rPr>
            </w:pPr>
          </w:p>
        </w:tc>
        <w:tc>
          <w:tcPr>
            <w:tcW w:w="1701"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Шардоне</w:t>
            </w:r>
          </w:p>
        </w:tc>
        <w:tc>
          <w:tcPr>
            <w:tcW w:w="1701"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Екатеринод-арский</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Шардоне</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Екатерино-дарский</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ацетальдегид</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68,4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70,7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48,2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59,2</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этилформиат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1,64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3,06</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1,12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1,38</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метилацетат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2,27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5,13</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1,32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1,48</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этилацетат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88,7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112,4</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18,4</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59,0</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этилкапринат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0,87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0,57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2,12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1,84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изобутилацетат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0,45</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0,33</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0,43</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0,24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этиллактат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0,35</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0,22</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0,37</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0,24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этилкаприлат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0,35</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0,27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1,24</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0,87</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этиллаурат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1,12</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0,57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6,68</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2,47</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этилацеталь</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0,24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0,17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0,54</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1,82</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 xml:space="preserve">диацетил </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0,57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0,45</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1,74</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1,14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ацетоин</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0,31</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0,43</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0,26</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0,35</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фурфурол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0,53</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0,45</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0,56</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0,47</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2-фенилэтанол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15,6</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8,7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27,8</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25,9</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ионон</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0,87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нет</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2,24</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1,68</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2-пропанол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2,24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3,47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0,17</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0,17</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2-бутанол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1,86</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2,07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0,18</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0,23</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н-пропанол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17,8</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21,6</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8,3</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14,3</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изобутанол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36,2</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48,4</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71,0</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142,4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 xml:space="preserve">1-бутанол </w:t>
            </w:r>
          </w:p>
        </w:tc>
        <w:tc>
          <w:tcPr>
            <w:tcW w:w="1701"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2,55</w:t>
            </w:r>
          </w:p>
        </w:tc>
        <w:tc>
          <w:tcPr>
            <w:tcW w:w="1701"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1,17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1,22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1,07</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изоамиловый</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278,6</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312,6</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167,3</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227,4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1-гексанол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0,76</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0,54</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1,58</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2,74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линолоол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0,27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0,12</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1,25</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0,62</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терпениол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0,12</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0,08</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1,27</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1,03</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цитранелол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0,04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нет</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0,87</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0,65</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гераниол</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0,05</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нет</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0,26</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0,15</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цитраль</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нет</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нет</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0,17</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0,09</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уксусная к-та</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54,2</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62,7</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47,8</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44,3</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пропионовая</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0,12</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0,23</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нет</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нет</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изомасляная к-та</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0,87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0,74</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1,43</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2,03</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капроновая к-та</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0,77</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0,64</w:t>
            </w:r>
          </w:p>
        </w:tc>
        <w:tc>
          <w:tcPr>
            <w:tcW w:w="1560"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1,26</w:t>
            </w:r>
          </w:p>
        </w:tc>
        <w:tc>
          <w:tcPr>
            <w:tcW w:w="1553"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1,74</w:t>
            </w:r>
          </w:p>
        </w:tc>
      </w:tr>
      <w:tr w:rsidR="006E0B3E" w:rsidRPr="00F474BF" w:rsidTr="00F474BF">
        <w:tc>
          <w:tcPr>
            <w:tcW w:w="2830" w:type="dxa"/>
            <w:vAlign w:val="center"/>
          </w:tcPr>
          <w:p w:rsidR="006E0B3E" w:rsidRPr="00F474BF" w:rsidRDefault="006E0B3E" w:rsidP="00F474BF">
            <w:pPr>
              <w:spacing w:after="0" w:line="240" w:lineRule="auto"/>
              <w:rPr>
                <w:rFonts w:ascii="Times New Roman" w:hAnsi="Times New Roman"/>
                <w:sz w:val="24"/>
                <w:szCs w:val="24"/>
              </w:rPr>
            </w:pPr>
            <w:r w:rsidRPr="00F474BF">
              <w:rPr>
                <w:rFonts w:ascii="Times New Roman" w:hAnsi="Times New Roman"/>
                <w:sz w:val="24"/>
                <w:szCs w:val="24"/>
              </w:rPr>
              <w:t>изовалериановая к-та</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1,24</w:t>
            </w:r>
          </w:p>
        </w:tc>
        <w:tc>
          <w:tcPr>
            <w:tcW w:w="1701" w:type="dxa"/>
          </w:tcPr>
          <w:p w:rsidR="006E0B3E" w:rsidRPr="00F474BF" w:rsidRDefault="006E0B3E" w:rsidP="00F474BF">
            <w:pPr>
              <w:spacing w:after="0" w:line="240" w:lineRule="auto"/>
              <w:jc w:val="center"/>
              <w:rPr>
                <w:rFonts w:ascii="Times New Roman" w:hAnsi="Times New Roman"/>
                <w:color w:val="000000"/>
                <w:sz w:val="24"/>
                <w:szCs w:val="24"/>
                <w:lang w:eastAsia="ru-RU"/>
              </w:rPr>
            </w:pPr>
            <w:r w:rsidRPr="00F474BF">
              <w:rPr>
                <w:rFonts w:ascii="Times New Roman" w:hAnsi="Times New Roman"/>
                <w:color w:val="000000"/>
                <w:sz w:val="24"/>
                <w:szCs w:val="24"/>
                <w:lang w:eastAsia="ru-RU"/>
              </w:rPr>
              <w:t>1,22</w:t>
            </w:r>
          </w:p>
        </w:tc>
        <w:tc>
          <w:tcPr>
            <w:tcW w:w="1560"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4,72</w:t>
            </w:r>
          </w:p>
        </w:tc>
        <w:tc>
          <w:tcPr>
            <w:tcW w:w="1553" w:type="dxa"/>
            <w:vAlign w:val="center"/>
          </w:tcPr>
          <w:p w:rsidR="006E0B3E" w:rsidRPr="00F474BF" w:rsidRDefault="006E0B3E" w:rsidP="00F474BF">
            <w:pPr>
              <w:spacing w:after="0" w:line="240" w:lineRule="auto"/>
              <w:jc w:val="center"/>
              <w:rPr>
                <w:rFonts w:ascii="Times New Roman" w:hAnsi="Times New Roman"/>
                <w:sz w:val="24"/>
                <w:szCs w:val="24"/>
              </w:rPr>
            </w:pPr>
            <w:r w:rsidRPr="00F474BF">
              <w:rPr>
                <w:rFonts w:ascii="Times New Roman" w:hAnsi="Times New Roman"/>
                <w:sz w:val="24"/>
                <w:szCs w:val="24"/>
              </w:rPr>
              <w:t>4,94</w:t>
            </w:r>
          </w:p>
        </w:tc>
      </w:tr>
    </w:tbl>
    <w:p w:rsidR="006E0B3E" w:rsidRDefault="006E0B3E" w:rsidP="00D17F6A">
      <w:pPr>
        <w:spacing w:after="0" w:line="360" w:lineRule="auto"/>
        <w:ind w:firstLine="680"/>
        <w:jc w:val="both"/>
        <w:rPr>
          <w:rFonts w:ascii="Times New Roman" w:hAnsi="Times New Roman"/>
          <w:b/>
          <w:i/>
          <w:sz w:val="28"/>
          <w:szCs w:val="28"/>
        </w:rPr>
      </w:pPr>
    </w:p>
    <w:p w:rsidR="006E0B3E" w:rsidRPr="00FA2BBF" w:rsidRDefault="006E0B3E" w:rsidP="00FA2BBF">
      <w:pPr>
        <w:spacing w:after="0" w:line="360" w:lineRule="auto"/>
        <w:ind w:firstLine="680"/>
        <w:jc w:val="both"/>
        <w:rPr>
          <w:rFonts w:ascii="Times New Roman" w:hAnsi="Times New Roman"/>
          <w:color w:val="000000"/>
          <w:sz w:val="28"/>
          <w:szCs w:val="28"/>
          <w:lang w:eastAsia="ru-RU"/>
        </w:rPr>
      </w:pPr>
      <w:r>
        <w:rPr>
          <w:rFonts w:ascii="Times New Roman" w:hAnsi="Times New Roman"/>
          <w:sz w:val="28"/>
          <w:szCs w:val="28"/>
        </w:rPr>
        <w:t xml:space="preserve">Анализ экспериментальных данных, представленный в таблице 4, свидетельствует о различии в концентрации ароматобразующих компонентов в винах, приготовленных из обоих сортов винограда по </w:t>
      </w:r>
      <w:r>
        <w:rPr>
          <w:rFonts w:ascii="Times New Roman" w:hAnsi="Times New Roman"/>
          <w:sz w:val="28"/>
          <w:szCs w:val="28"/>
        </w:rPr>
        <w:lastRenderedPageBreak/>
        <w:t>различным технологиям. В экспериментальных вариантах отмечено большее накопление практически всех компонентов ароматобразующего комплекса за исключением высших спиртов.</w:t>
      </w:r>
      <w:r w:rsidRPr="00A039F6">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Образование   высших спиртов вине связывают с превращениями аминокислот </w:t>
      </w:r>
      <w:r w:rsidRPr="00F5477F">
        <w:rPr>
          <w:rFonts w:ascii="Times New Roman" w:hAnsi="Times New Roman"/>
          <w:color w:val="000000"/>
          <w:sz w:val="28"/>
          <w:szCs w:val="28"/>
          <w:lang w:eastAsia="ru-RU"/>
        </w:rPr>
        <w:t>[16,17</w:t>
      </w:r>
      <w:r>
        <w:rPr>
          <w:rFonts w:ascii="Times New Roman" w:hAnsi="Times New Roman"/>
          <w:color w:val="000000"/>
          <w:sz w:val="28"/>
          <w:szCs w:val="28"/>
          <w:lang w:eastAsia="ru-RU"/>
        </w:rPr>
        <w:t>,18</w:t>
      </w:r>
      <w:r w:rsidRPr="00F5477F">
        <w:rPr>
          <w:rFonts w:ascii="Times New Roman" w:hAnsi="Times New Roman"/>
          <w:color w:val="000000"/>
          <w:sz w:val="28"/>
          <w:szCs w:val="28"/>
          <w:lang w:eastAsia="ru-RU"/>
        </w:rPr>
        <w:t>].</w:t>
      </w:r>
      <w:r w:rsidRPr="00083B49">
        <w:rPr>
          <w:rFonts w:ascii="Times New Roman" w:hAnsi="Times New Roman"/>
          <w:sz w:val="28"/>
          <w:szCs w:val="28"/>
        </w:rPr>
        <w:t xml:space="preserve"> </w:t>
      </w:r>
      <w:r>
        <w:rPr>
          <w:rFonts w:ascii="Times New Roman" w:hAnsi="Times New Roman"/>
          <w:sz w:val="28"/>
          <w:szCs w:val="28"/>
        </w:rPr>
        <w:t>Так, предшественниками изобутанола и изоамилового спирта являются валин и лейцин, пропанол из треонина. Поэтому</w:t>
      </w:r>
      <w:r w:rsidRPr="00691B4F">
        <w:rPr>
          <w:rFonts w:ascii="Times New Roman" w:hAnsi="Times New Roman"/>
          <w:sz w:val="28"/>
          <w:szCs w:val="28"/>
        </w:rPr>
        <w:t>,</w:t>
      </w:r>
      <w:r>
        <w:rPr>
          <w:rFonts w:ascii="Times New Roman" w:hAnsi="Times New Roman"/>
          <w:sz w:val="28"/>
          <w:szCs w:val="28"/>
        </w:rPr>
        <w:t xml:space="preserve"> снижение концентрации аминокислот при азотопонижении приводит к закономерному уменьшению содержания высших спиртов в экспериментальных образцах вин. Кроме того, известно, что поэтапное снижение концентрации азотистых соединений сопровождается активным эфирообразованием </w:t>
      </w:r>
      <w:r w:rsidRPr="00154600">
        <w:rPr>
          <w:rFonts w:ascii="Times New Roman" w:hAnsi="Times New Roman"/>
          <w:color w:val="000000"/>
          <w:sz w:val="28"/>
          <w:szCs w:val="28"/>
          <w:lang w:eastAsia="ru-RU"/>
        </w:rPr>
        <w:t>[1</w:t>
      </w:r>
      <w:r>
        <w:rPr>
          <w:rFonts w:ascii="Times New Roman" w:hAnsi="Times New Roman"/>
          <w:color w:val="000000"/>
          <w:sz w:val="28"/>
          <w:szCs w:val="28"/>
          <w:lang w:eastAsia="ru-RU"/>
        </w:rPr>
        <w:t>9</w:t>
      </w:r>
      <w:r w:rsidRPr="00154600">
        <w:rPr>
          <w:rFonts w:ascii="Times New Roman" w:hAnsi="Times New Roman"/>
          <w:color w:val="000000"/>
          <w:sz w:val="28"/>
          <w:szCs w:val="28"/>
          <w:lang w:eastAsia="ru-RU"/>
        </w:rPr>
        <w:t>,</w:t>
      </w:r>
      <w:r>
        <w:rPr>
          <w:rFonts w:ascii="Times New Roman" w:hAnsi="Times New Roman"/>
          <w:color w:val="000000"/>
          <w:sz w:val="28"/>
          <w:szCs w:val="28"/>
          <w:lang w:eastAsia="ru-RU"/>
        </w:rPr>
        <w:t>20</w:t>
      </w:r>
      <w:r w:rsidRPr="00154600">
        <w:rPr>
          <w:rFonts w:ascii="Times New Roman" w:hAnsi="Times New Roman"/>
          <w:color w:val="000000"/>
          <w:sz w:val="28"/>
          <w:szCs w:val="28"/>
          <w:lang w:eastAsia="ru-RU"/>
        </w:rPr>
        <w:t>]</w:t>
      </w:r>
      <w:r>
        <w:rPr>
          <w:color w:val="000000"/>
          <w:sz w:val="28"/>
          <w:szCs w:val="28"/>
          <w:lang w:eastAsia="ru-RU"/>
        </w:rPr>
        <w:t xml:space="preserve">. </w:t>
      </w:r>
      <w:r w:rsidRPr="00226A90">
        <w:rPr>
          <w:rFonts w:ascii="Times New Roman" w:hAnsi="Times New Roman"/>
          <w:color w:val="000000"/>
          <w:sz w:val="28"/>
          <w:szCs w:val="28"/>
          <w:lang w:eastAsia="ru-RU"/>
        </w:rPr>
        <w:t xml:space="preserve">В результате </w:t>
      </w:r>
      <w:r>
        <w:rPr>
          <w:rFonts w:ascii="Times New Roman" w:hAnsi="Times New Roman"/>
          <w:color w:val="000000"/>
          <w:sz w:val="28"/>
          <w:szCs w:val="28"/>
          <w:lang w:eastAsia="ru-RU"/>
        </w:rPr>
        <w:t xml:space="preserve">накопление эфиров, особенно этилкаприлата, этилкаприната, этиллактата, этиллаурата, в экспериментальных вариантах значительно выше, чем при традиционной </w:t>
      </w:r>
      <w:r w:rsidRPr="00FA2BBF">
        <w:rPr>
          <w:rFonts w:ascii="Times New Roman" w:hAnsi="Times New Roman"/>
          <w:color w:val="000000"/>
          <w:sz w:val="28"/>
          <w:szCs w:val="28"/>
          <w:lang w:eastAsia="ru-RU"/>
        </w:rPr>
        <w:t xml:space="preserve">технологии. </w:t>
      </w:r>
    </w:p>
    <w:p w:rsidR="006E0B3E" w:rsidRDefault="006E0B3E" w:rsidP="00FA2BBF">
      <w:pPr>
        <w:pStyle w:val="a4"/>
        <w:shd w:val="clear" w:color="auto" w:fill="FFFFFF"/>
        <w:spacing w:before="0" w:beforeAutospacing="0" w:after="0" w:afterAutospacing="0" w:line="360" w:lineRule="auto"/>
        <w:ind w:firstLine="709"/>
        <w:jc w:val="both"/>
        <w:rPr>
          <w:rFonts w:ascii="Open Sans" w:hAnsi="Open Sans"/>
          <w:color w:val="000000"/>
          <w:sz w:val="28"/>
          <w:szCs w:val="28"/>
        </w:rPr>
      </w:pPr>
      <w:r w:rsidRPr="00FA2BBF">
        <w:rPr>
          <w:color w:val="000000"/>
          <w:sz w:val="28"/>
          <w:szCs w:val="28"/>
        </w:rPr>
        <w:t>Терпеновые соединения -</w:t>
      </w:r>
      <w:r>
        <w:rPr>
          <w:color w:val="000000"/>
          <w:sz w:val="28"/>
          <w:szCs w:val="28"/>
        </w:rPr>
        <w:t xml:space="preserve"> </w:t>
      </w:r>
      <w:r w:rsidRPr="00FA2BBF">
        <w:rPr>
          <w:color w:val="000000"/>
          <w:sz w:val="28"/>
          <w:szCs w:val="28"/>
        </w:rPr>
        <w:t xml:space="preserve">линолоол, </w:t>
      </w:r>
      <w:r w:rsidRPr="00FA2BBF">
        <w:rPr>
          <w:sz w:val="28"/>
          <w:szCs w:val="28"/>
        </w:rPr>
        <w:t xml:space="preserve">терпениол, цитранелол, гераниол, цитраль -, а также ароматный спирт фенилэтанол и кетон ионон придают винам яркие цветочные тона с легкими плодовыми и цитрусовыми оттенками. Накопление приятной гаммы веществ в экспериментальных вариантах обоих сортов винограда, но особенно Шардоне, было значительно выше в сравнении с традиционной технологией. </w:t>
      </w:r>
      <w:r>
        <w:rPr>
          <w:rFonts w:ascii="Open Sans" w:hAnsi="Open Sans"/>
          <w:color w:val="000000"/>
          <w:sz w:val="28"/>
          <w:szCs w:val="28"/>
        </w:rPr>
        <w:t>Это согласуется с</w:t>
      </w:r>
      <w:r w:rsidRPr="00FA2BBF">
        <w:rPr>
          <w:rFonts w:ascii="Open Sans" w:hAnsi="Open Sans"/>
          <w:color w:val="000000"/>
          <w:sz w:val="28"/>
          <w:szCs w:val="28"/>
        </w:rPr>
        <w:t xml:space="preserve"> концепци</w:t>
      </w:r>
      <w:r>
        <w:rPr>
          <w:rFonts w:ascii="Open Sans" w:hAnsi="Open Sans"/>
          <w:color w:val="000000"/>
          <w:sz w:val="28"/>
          <w:szCs w:val="28"/>
        </w:rPr>
        <w:t>ей</w:t>
      </w:r>
      <w:r w:rsidRPr="00FA2BBF">
        <w:rPr>
          <w:rFonts w:ascii="Open Sans" w:hAnsi="Open Sans"/>
          <w:color w:val="000000"/>
          <w:sz w:val="28"/>
          <w:szCs w:val="28"/>
        </w:rPr>
        <w:t xml:space="preserve"> биологической ароматизации вин, </w:t>
      </w:r>
      <w:r>
        <w:rPr>
          <w:rFonts w:ascii="Open Sans" w:hAnsi="Open Sans"/>
          <w:color w:val="000000"/>
          <w:sz w:val="28"/>
          <w:szCs w:val="28"/>
        </w:rPr>
        <w:t xml:space="preserve">даже </w:t>
      </w:r>
      <w:r w:rsidRPr="00FA2BBF">
        <w:rPr>
          <w:rFonts w:ascii="Open Sans" w:hAnsi="Open Sans"/>
          <w:color w:val="000000"/>
          <w:sz w:val="28"/>
          <w:szCs w:val="28"/>
        </w:rPr>
        <w:t>получаемых из простых, нейтральных по аромату сортов винограда.</w:t>
      </w:r>
    </w:p>
    <w:p w:rsidR="006E0B3E" w:rsidRDefault="006E0B3E" w:rsidP="00FA2BBF">
      <w:pPr>
        <w:pStyle w:val="a4"/>
        <w:shd w:val="clear" w:color="auto" w:fill="FFFFFF"/>
        <w:spacing w:before="0" w:beforeAutospacing="0" w:after="0" w:afterAutospacing="0" w:line="360" w:lineRule="auto"/>
        <w:ind w:firstLine="709"/>
        <w:jc w:val="both"/>
        <w:rPr>
          <w:color w:val="000000"/>
          <w:sz w:val="28"/>
          <w:szCs w:val="28"/>
        </w:rPr>
      </w:pPr>
      <w:r>
        <w:rPr>
          <w:rFonts w:ascii="Open Sans" w:hAnsi="Open Sans"/>
          <w:color w:val="000000"/>
          <w:sz w:val="28"/>
          <w:szCs w:val="28"/>
        </w:rPr>
        <w:t xml:space="preserve">Считается, что для образования летучих кислот также необходимы аминокислоты </w:t>
      </w:r>
      <w:r w:rsidRPr="002F710B">
        <w:rPr>
          <w:color w:val="000000"/>
          <w:sz w:val="28"/>
          <w:szCs w:val="28"/>
        </w:rPr>
        <w:t>[</w:t>
      </w:r>
      <w:r>
        <w:rPr>
          <w:color w:val="000000"/>
          <w:sz w:val="28"/>
          <w:szCs w:val="28"/>
        </w:rPr>
        <w:t>19,21</w:t>
      </w:r>
      <w:r w:rsidRPr="002F710B">
        <w:rPr>
          <w:color w:val="000000"/>
          <w:sz w:val="28"/>
          <w:szCs w:val="28"/>
        </w:rPr>
        <w:t>]</w:t>
      </w:r>
      <w:r>
        <w:rPr>
          <w:color w:val="000000"/>
          <w:sz w:val="28"/>
          <w:szCs w:val="28"/>
        </w:rPr>
        <w:t xml:space="preserve">. Следовательно, снижение их количества приводит к уменьшению образования летучих кислот, в том числе уксусной и пропионовой, участвующих в формировании посторонних тонов. Образование изомасляной кислоты (приятные фруктовые тона) связывают с жизнедеятельностью дрожжей и процессом синтеза/потребления валина: </w:t>
      </w:r>
      <w:r>
        <w:rPr>
          <w:color w:val="000000"/>
          <w:sz w:val="28"/>
          <w:szCs w:val="28"/>
        </w:rPr>
        <w:lastRenderedPageBreak/>
        <w:t xml:space="preserve">чем активнее использование клеткой валина, тем большее количество изомасляной кислоты образуется, что и наблюдалось в наших экспериментах независимо от сорта винограда. </w:t>
      </w:r>
    </w:p>
    <w:p w:rsidR="006E0B3E" w:rsidRDefault="006E0B3E" w:rsidP="00EF4392">
      <w:pPr>
        <w:pStyle w:val="a4"/>
        <w:shd w:val="clear" w:color="auto" w:fill="FFFFFF"/>
        <w:spacing w:before="0" w:beforeAutospacing="0" w:after="0" w:afterAutospacing="0" w:line="360" w:lineRule="auto"/>
        <w:ind w:firstLine="709"/>
        <w:jc w:val="both"/>
        <w:rPr>
          <w:b/>
          <w:i/>
          <w:sz w:val="28"/>
          <w:szCs w:val="28"/>
        </w:rPr>
      </w:pPr>
      <w:r w:rsidRPr="00EF4392">
        <w:rPr>
          <w:b/>
          <w:color w:val="000000"/>
          <w:sz w:val="28"/>
          <w:szCs w:val="28"/>
        </w:rPr>
        <w:t>Выводы.</w:t>
      </w:r>
      <w:r>
        <w:rPr>
          <w:color w:val="000000"/>
          <w:sz w:val="28"/>
          <w:szCs w:val="28"/>
        </w:rPr>
        <w:t xml:space="preserve"> Таким образом, установлена корреляция между технологией производства полусладкого вина и составом аминокислот и ароматобразующих компонентов. Показано, что применение поэтапной технологии </w:t>
      </w:r>
      <w:r w:rsidRPr="00615192">
        <w:rPr>
          <w:sz w:val="28"/>
          <w:szCs w:val="28"/>
        </w:rPr>
        <w:t>забраживания-фильтрации</w:t>
      </w:r>
      <w:r>
        <w:rPr>
          <w:sz w:val="28"/>
          <w:szCs w:val="28"/>
        </w:rPr>
        <w:t xml:space="preserve"> приводит к снижению концентрации в вине азотистых соединений, в том числе аминокислот, увеличению содержания эфиров, терпеновых соединений, фенилэтанола, ионона, обеспечивающих формирование в винах яркого цветочно-плодового аромата.</w:t>
      </w:r>
    </w:p>
    <w:p w:rsidR="006E0B3E" w:rsidRPr="009476A7" w:rsidRDefault="006E0B3E" w:rsidP="000B3480">
      <w:pPr>
        <w:tabs>
          <w:tab w:val="left" w:pos="993"/>
        </w:tabs>
        <w:spacing w:after="0" w:line="240" w:lineRule="auto"/>
        <w:ind w:firstLine="567"/>
        <w:jc w:val="center"/>
        <w:rPr>
          <w:rFonts w:ascii="Times New Roman" w:hAnsi="Times New Roman"/>
          <w:b/>
          <w:sz w:val="24"/>
          <w:szCs w:val="24"/>
          <w:lang w:val="en-US"/>
        </w:rPr>
      </w:pPr>
      <w:r w:rsidRPr="009476A7">
        <w:rPr>
          <w:rFonts w:ascii="Times New Roman" w:hAnsi="Times New Roman"/>
          <w:b/>
          <w:sz w:val="24"/>
          <w:szCs w:val="24"/>
        </w:rPr>
        <w:t>Литература</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rPr>
      </w:pPr>
      <w:r w:rsidRPr="009476A7">
        <w:rPr>
          <w:rFonts w:ascii="Times New Roman" w:hAnsi="Times New Roman"/>
          <w:sz w:val="24"/>
          <w:szCs w:val="24"/>
        </w:rPr>
        <w:t>Агеева  Н. М., Аванесьянц Р. В.  Биохимические особенности производства коньячных виноматериалов. Краснодар: Просвещение-Юг, 2011. 135 с.</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rPr>
      </w:pPr>
      <w:r w:rsidRPr="009476A7">
        <w:rPr>
          <w:rFonts w:ascii="Times New Roman" w:hAnsi="Times New Roman"/>
          <w:sz w:val="24"/>
          <w:szCs w:val="24"/>
        </w:rPr>
        <w:t>Агеева  Н.М., Даниелян А.Ю., Толмачева Е.Н., Сосюра Е.В. Влияние новых рас дрожжей на состав азотистых соединений в виноградных столовых винах // Е.А.Вестник АПК Ставрополья. 2014. № 3 (15). С. 7-11.</w:t>
      </w:r>
    </w:p>
    <w:p w:rsidR="006E0B3E" w:rsidRPr="009476A7" w:rsidRDefault="006E0B3E" w:rsidP="000B3480">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9476A7">
        <w:rPr>
          <w:rFonts w:ascii="Times New Roman" w:hAnsi="Times New Roman"/>
          <w:sz w:val="24"/>
          <w:szCs w:val="24"/>
        </w:rPr>
        <w:t>Агеева Н.М., Ажогина В.А. Зависимость качества столовых вин из винограда перспективных сортов от аминокислотного состава их сусел // Виноград и вино России. – 1995. – №4. – С. 24-26</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rPr>
      </w:pPr>
      <w:r w:rsidRPr="009476A7">
        <w:rPr>
          <w:rFonts w:ascii="Times New Roman" w:hAnsi="Times New Roman"/>
          <w:sz w:val="24"/>
          <w:szCs w:val="24"/>
        </w:rPr>
        <w:t>Супрун И.И., Агеева Н.М., Лободина Е.В., Насонов А.И., Токмаков С.В., Прах А.В. Анализ генетического разнообразия естественных популяций рода saccharomyces как основа поиска штаммов, перспективных для виноделия Плодоводство и виноградарство Юга России. 2019. № 59 (5). С. 118-132.</w:t>
      </w:r>
    </w:p>
    <w:p w:rsidR="006E0B3E" w:rsidRPr="009476A7" w:rsidRDefault="006E0B3E" w:rsidP="000B3480">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9476A7">
        <w:rPr>
          <w:rFonts w:ascii="Times New Roman" w:hAnsi="Times New Roman"/>
          <w:sz w:val="24"/>
          <w:szCs w:val="24"/>
        </w:rPr>
        <w:t>Методы технохимического контроля в виноделии / Под ред. В. Г. Гержиковой. – Симферополь: Таврида, 2002. – 260 с.</w:t>
      </w:r>
    </w:p>
    <w:p w:rsidR="006E0B3E" w:rsidRPr="009476A7" w:rsidRDefault="006E0B3E" w:rsidP="000B3480">
      <w:pPr>
        <w:pStyle w:val="3"/>
        <w:keepLines w:val="0"/>
        <w:numPr>
          <w:ilvl w:val="0"/>
          <w:numId w:val="1"/>
        </w:numPr>
        <w:tabs>
          <w:tab w:val="left" w:pos="993"/>
        </w:tabs>
        <w:spacing w:line="240" w:lineRule="auto"/>
        <w:ind w:left="0" w:right="-425" w:firstLine="567"/>
        <w:rPr>
          <w:sz w:val="24"/>
          <w:szCs w:val="24"/>
        </w:rPr>
      </w:pPr>
      <w:r w:rsidRPr="009476A7">
        <w:rPr>
          <w:sz w:val="24"/>
          <w:szCs w:val="24"/>
        </w:rPr>
        <w:t>Постная А.Н. Теоретические и практические основы прогнозирования, предупреждения и устранения пороков виноградных вин: Автореф.дис. д-ра техн. наук – Ялта, 1991. – 47 с.</w:t>
      </w:r>
    </w:p>
    <w:p w:rsidR="006E0B3E" w:rsidRPr="009476A7" w:rsidRDefault="006E0B3E" w:rsidP="000B3480">
      <w:pPr>
        <w:pStyle w:val="a3"/>
        <w:numPr>
          <w:ilvl w:val="0"/>
          <w:numId w:val="1"/>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9476A7">
        <w:rPr>
          <w:rFonts w:ascii="Times New Roman" w:hAnsi="Times New Roman"/>
          <w:sz w:val="24"/>
          <w:szCs w:val="24"/>
        </w:rPr>
        <w:t>Родопуло А.К. Ароматобразующие вещества винограда // Приклад. биохимия и микробиология. – 1990. – Т.26. – Вып.5. – С.579-590.</w:t>
      </w:r>
    </w:p>
    <w:p w:rsidR="006E0B3E" w:rsidRPr="009476A7" w:rsidRDefault="006E0B3E" w:rsidP="000B3480">
      <w:pPr>
        <w:pStyle w:val="a8"/>
        <w:numPr>
          <w:ilvl w:val="0"/>
          <w:numId w:val="1"/>
        </w:numPr>
        <w:tabs>
          <w:tab w:val="left" w:pos="993"/>
        </w:tabs>
        <w:suppressAutoHyphens/>
        <w:spacing w:after="0" w:line="240" w:lineRule="auto"/>
        <w:ind w:left="0" w:firstLine="567"/>
        <w:jc w:val="both"/>
        <w:rPr>
          <w:rFonts w:ascii="Times New Roman" w:hAnsi="Times New Roman"/>
          <w:sz w:val="24"/>
          <w:szCs w:val="24"/>
        </w:rPr>
      </w:pPr>
      <w:r w:rsidRPr="009476A7">
        <w:rPr>
          <w:rFonts w:ascii="Times New Roman" w:hAnsi="Times New Roman"/>
          <w:sz w:val="24"/>
          <w:szCs w:val="24"/>
        </w:rPr>
        <w:t>Сборник основных правил, технологических инструкций и нормативных материалов по производству винодельческой продукции. - М.: Пищепромиздат, 1998. - С.21-22.</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rPr>
      </w:pPr>
      <w:r w:rsidRPr="009476A7">
        <w:rPr>
          <w:rFonts w:ascii="Times New Roman" w:hAnsi="Times New Roman"/>
          <w:sz w:val="24"/>
          <w:szCs w:val="24"/>
        </w:rPr>
        <w:t>Теория и практика виноделия. Т. 3. Способы производства вин. Превращения в винах / Ж. Риберо-Гайон, Э. П. Пейно,  Риберо-Гайон, П. Сюдро ; пер. с франц., под ред. Г. Г. Валуйко. М. : Пищ. пром-сть, 1980. 480 с.</w:t>
      </w:r>
    </w:p>
    <w:p w:rsidR="006E0B3E" w:rsidRPr="009476A7" w:rsidRDefault="006E0B3E" w:rsidP="000B3480">
      <w:pPr>
        <w:pStyle w:val="a3"/>
        <w:numPr>
          <w:ilvl w:val="0"/>
          <w:numId w:val="1"/>
        </w:numPr>
        <w:tabs>
          <w:tab w:val="left" w:pos="993"/>
        </w:tabs>
        <w:spacing w:after="0" w:line="240" w:lineRule="auto"/>
        <w:ind w:left="0" w:firstLine="567"/>
        <w:jc w:val="both"/>
        <w:rPr>
          <w:rStyle w:val="a6"/>
          <w:rFonts w:ascii="Times New Roman" w:hAnsi="Times New Roman"/>
          <w:color w:val="auto"/>
          <w:sz w:val="24"/>
          <w:szCs w:val="24"/>
          <w:u w:val="none"/>
        </w:rPr>
      </w:pPr>
      <w:r w:rsidRPr="009476A7">
        <w:rPr>
          <w:rFonts w:ascii="Times New Roman" w:hAnsi="Times New Roman"/>
          <w:sz w:val="24"/>
          <w:szCs w:val="24"/>
        </w:rPr>
        <w:t xml:space="preserve">Электронный ресурс. </w:t>
      </w:r>
      <w:hyperlink r:id="rId10" w:history="1">
        <w:r w:rsidRPr="009476A7">
          <w:rPr>
            <w:rStyle w:val="a6"/>
            <w:rFonts w:ascii="Times New Roman" w:hAnsi="Times New Roman"/>
            <w:color w:val="auto"/>
            <w:sz w:val="24"/>
            <w:szCs w:val="24"/>
            <w:u w:val="none"/>
          </w:rPr>
          <w:t>https://vinograd.info/knigi/osnovy-biohimii-vinodeliya/obmen-azotistyh-veschestv-pri-brozhenii-2.html</w:t>
        </w:r>
      </w:hyperlink>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rPr>
      </w:pPr>
      <w:r w:rsidRPr="009476A7">
        <w:rPr>
          <w:rFonts w:ascii="Times New Roman" w:hAnsi="Times New Roman"/>
          <w:sz w:val="24"/>
          <w:szCs w:val="24"/>
        </w:rPr>
        <w:lastRenderedPageBreak/>
        <w:t>Якуба Ю.Ф. Применение капиллярного электрофореза для определения аминокислот в винах специальных технологий / Ю.Ф. Якуба // Заводская лаборатория. Диагностика материалов. – 2006. –Т.72. – №4. – С.11-15.</w:t>
      </w:r>
    </w:p>
    <w:p w:rsidR="006E0B3E" w:rsidRPr="009476A7" w:rsidRDefault="006E0B3E" w:rsidP="000B3480">
      <w:pPr>
        <w:pStyle w:val="a3"/>
        <w:numPr>
          <w:ilvl w:val="0"/>
          <w:numId w:val="1"/>
        </w:numPr>
        <w:shd w:val="clear" w:color="auto" w:fill="FFFFFF"/>
        <w:tabs>
          <w:tab w:val="left" w:pos="993"/>
        </w:tabs>
        <w:spacing w:after="0" w:line="240" w:lineRule="auto"/>
        <w:ind w:left="0" w:firstLine="567"/>
        <w:jc w:val="both"/>
        <w:rPr>
          <w:rFonts w:ascii="Times New Roman" w:hAnsi="Times New Roman"/>
          <w:sz w:val="24"/>
          <w:szCs w:val="24"/>
          <w:lang w:val="en-US" w:eastAsia="ru-RU"/>
        </w:rPr>
      </w:pPr>
      <w:r w:rsidRPr="009476A7">
        <w:rPr>
          <w:rFonts w:ascii="Times New Roman" w:hAnsi="Times New Roman"/>
          <w:sz w:val="24"/>
          <w:szCs w:val="24"/>
          <w:lang w:val="en-US"/>
        </w:rPr>
        <w:t xml:space="preserve">A Review / M.G. Lambrechts, I.S. Pretorius // S. Afr. J. Enol. Vitic. – 2000. – Vol. 21, Special Issue. – </w:t>
      </w:r>
      <w:r w:rsidRPr="009476A7">
        <w:rPr>
          <w:rFonts w:ascii="Times New Roman" w:hAnsi="Times New Roman"/>
          <w:sz w:val="24"/>
          <w:szCs w:val="24"/>
        </w:rPr>
        <w:t>Р</w:t>
      </w:r>
      <w:r w:rsidRPr="009476A7">
        <w:rPr>
          <w:rFonts w:ascii="Times New Roman" w:hAnsi="Times New Roman"/>
          <w:sz w:val="24"/>
          <w:szCs w:val="24"/>
          <w:lang w:val="en-US"/>
        </w:rPr>
        <w:t>. 97-129.</w:t>
      </w:r>
    </w:p>
    <w:p w:rsidR="006E0B3E" w:rsidRPr="009476A7" w:rsidRDefault="006E0B3E" w:rsidP="000B3480">
      <w:pPr>
        <w:pStyle w:val="a3"/>
        <w:numPr>
          <w:ilvl w:val="0"/>
          <w:numId w:val="1"/>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9476A7">
        <w:rPr>
          <w:rFonts w:ascii="Times New Roman" w:hAnsi="Times New Roman"/>
          <w:sz w:val="24"/>
          <w:szCs w:val="24"/>
          <w:lang w:val="en-US" w:eastAsia="ru-RU"/>
        </w:rPr>
        <w:t>Cao Zh. Minicking the ol thickness-shear-mode acoustic sensor array /Zh.Cao,  D.Xu, Jian-Hui Jiang, Ji-Hong Wang, H.Lin, Cheng-Jiang Xu, Xiao-Bing Zhang, Ru-Qin. Yu//Anal. Chim. Acta. 1997</w:t>
      </w:r>
      <w:r w:rsidRPr="009476A7">
        <w:rPr>
          <w:rFonts w:ascii="Times New Roman" w:hAnsi="Times New Roman"/>
          <w:sz w:val="24"/>
          <w:szCs w:val="24"/>
          <w:lang w:eastAsia="ru-RU"/>
        </w:rPr>
        <w:t xml:space="preserve">. </w:t>
      </w:r>
      <w:r w:rsidRPr="009476A7">
        <w:rPr>
          <w:rFonts w:ascii="Times New Roman" w:hAnsi="Times New Roman"/>
          <w:sz w:val="24"/>
          <w:szCs w:val="24"/>
          <w:lang w:val="en-US" w:eastAsia="ru-RU"/>
        </w:rPr>
        <w:t xml:space="preserve">V.335, №1-2. </w:t>
      </w:r>
      <w:r w:rsidRPr="009476A7">
        <w:rPr>
          <w:rFonts w:ascii="Times New Roman" w:hAnsi="Times New Roman"/>
          <w:sz w:val="24"/>
          <w:szCs w:val="24"/>
          <w:lang w:eastAsia="ru-RU"/>
        </w:rPr>
        <w:t>P. 117-125.</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lang w:val="en-US"/>
        </w:rPr>
      </w:pPr>
      <w:r w:rsidRPr="009476A7">
        <w:rPr>
          <w:rFonts w:ascii="Times New Roman" w:hAnsi="Times New Roman"/>
          <w:sz w:val="24"/>
          <w:szCs w:val="24"/>
          <w:lang w:val="en-US"/>
        </w:rPr>
        <w:t xml:space="preserve">Ciani </w:t>
      </w:r>
      <w:r w:rsidRPr="009476A7">
        <w:rPr>
          <w:rFonts w:ascii="Times New Roman" w:hAnsi="Times New Roman"/>
          <w:sz w:val="24"/>
          <w:szCs w:val="24"/>
        </w:rPr>
        <w:t>М</w:t>
      </w:r>
      <w:r w:rsidRPr="009476A7">
        <w:rPr>
          <w:rFonts w:ascii="Times New Roman" w:hAnsi="Times New Roman"/>
          <w:sz w:val="24"/>
          <w:szCs w:val="24"/>
          <w:lang w:val="en-US"/>
        </w:rPr>
        <w:t xml:space="preserve">.,  Maccarelli F. </w:t>
      </w:r>
      <w:r w:rsidRPr="009476A7">
        <w:rPr>
          <w:rFonts w:ascii="Times New Roman" w:hAnsi="Times New Roman"/>
          <w:bCs/>
          <w:sz w:val="24"/>
          <w:szCs w:val="24"/>
          <w:lang w:val="en-US"/>
        </w:rPr>
        <w:t xml:space="preserve">Oenological properties of non-Saccharomyces yeasts associated with wine-making </w:t>
      </w:r>
      <w:r w:rsidRPr="009476A7">
        <w:rPr>
          <w:rFonts w:ascii="Times New Roman" w:hAnsi="Times New Roman"/>
          <w:sz w:val="24"/>
          <w:szCs w:val="24"/>
          <w:lang w:val="en-US"/>
        </w:rPr>
        <w:t xml:space="preserve">// </w:t>
      </w:r>
      <w:hyperlink r:id="rId11" w:tooltip="World Journal of Microbiology and Biotechnology" w:history="1">
        <w:r w:rsidRPr="009476A7">
          <w:rPr>
            <w:rStyle w:val="a6"/>
            <w:rFonts w:ascii="Times New Roman" w:hAnsi="Times New Roman"/>
            <w:color w:val="auto"/>
            <w:sz w:val="24"/>
            <w:szCs w:val="24"/>
            <w:u w:val="none"/>
            <w:lang w:val="en-US"/>
          </w:rPr>
          <w:t>World Journal of Microbiology and Biotechnology</w:t>
        </w:r>
      </w:hyperlink>
      <w:r w:rsidRPr="009476A7">
        <w:rPr>
          <w:rFonts w:ascii="Times New Roman" w:hAnsi="Times New Roman"/>
          <w:sz w:val="24"/>
          <w:szCs w:val="24"/>
          <w:lang w:val="en-US"/>
        </w:rPr>
        <w:t>.-1998.- № 2, P. 199-203.</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lang w:val="en-US"/>
        </w:rPr>
      </w:pPr>
      <w:r w:rsidRPr="009476A7">
        <w:rPr>
          <w:rFonts w:ascii="Times New Roman" w:hAnsi="Times New Roman"/>
          <w:sz w:val="24"/>
          <w:szCs w:val="24"/>
          <w:lang w:val="en-US"/>
        </w:rPr>
        <w:t xml:space="preserve">Mansfield </w:t>
      </w:r>
      <w:r w:rsidRPr="009476A7">
        <w:rPr>
          <w:rFonts w:ascii="Times New Roman" w:hAnsi="Times New Roman"/>
          <w:sz w:val="24"/>
          <w:szCs w:val="24"/>
        </w:rPr>
        <w:t>А</w:t>
      </w:r>
      <w:r w:rsidRPr="009476A7">
        <w:rPr>
          <w:rFonts w:ascii="Times New Roman" w:hAnsi="Times New Roman"/>
          <w:sz w:val="24"/>
          <w:szCs w:val="24"/>
          <w:lang w:val="en-US"/>
        </w:rPr>
        <w:t xml:space="preserve">. </w:t>
      </w:r>
      <w:r w:rsidRPr="009476A7">
        <w:rPr>
          <w:rFonts w:ascii="Times New Roman" w:hAnsi="Times New Roman"/>
          <w:sz w:val="24"/>
          <w:szCs w:val="24"/>
        </w:rPr>
        <w:t>К</w:t>
      </w:r>
      <w:r w:rsidRPr="009476A7">
        <w:rPr>
          <w:rFonts w:ascii="Times New Roman" w:hAnsi="Times New Roman"/>
          <w:sz w:val="24"/>
          <w:szCs w:val="24"/>
          <w:lang w:val="en-US"/>
        </w:rPr>
        <w:t>. Characterization of k</w:t>
      </w:r>
      <w:r w:rsidRPr="009476A7">
        <w:rPr>
          <w:rFonts w:ascii="Times New Roman" w:hAnsi="Times New Roman"/>
          <w:sz w:val="24"/>
          <w:szCs w:val="24"/>
        </w:rPr>
        <w:t>е</w:t>
      </w:r>
      <w:r w:rsidRPr="009476A7">
        <w:rPr>
          <w:rFonts w:ascii="Times New Roman" w:hAnsi="Times New Roman"/>
          <w:sz w:val="24"/>
          <w:szCs w:val="24"/>
          <w:lang w:val="en-US"/>
        </w:rPr>
        <w:t xml:space="preserve">y volatile compounds in red table wines produced from frontenac grapes (Vitis spp.) // </w:t>
      </w:r>
      <w:r w:rsidRPr="009476A7">
        <w:rPr>
          <w:rFonts w:ascii="Times New Roman" w:hAnsi="Times New Roman"/>
          <w:sz w:val="24"/>
          <w:szCs w:val="24"/>
        </w:rPr>
        <w:t>А</w:t>
      </w:r>
      <w:r w:rsidRPr="009476A7">
        <w:rPr>
          <w:rFonts w:ascii="Times New Roman" w:hAnsi="Times New Roman"/>
          <w:sz w:val="24"/>
          <w:szCs w:val="24"/>
          <w:lang w:val="en-US"/>
        </w:rPr>
        <w:t xml:space="preserve"> dissertation submitted to the faculty of the graduate School of the university of Minnesota. – USA, 2008. – 100 p</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lang w:val="en-US"/>
        </w:rPr>
      </w:pPr>
      <w:r w:rsidRPr="009476A7">
        <w:rPr>
          <w:rFonts w:ascii="Times New Roman" w:hAnsi="Times New Roman"/>
          <w:sz w:val="24"/>
          <w:szCs w:val="24"/>
          <w:lang w:val="en-US"/>
        </w:rPr>
        <w:t>Minarik E. Zur Aktivierung der alkoholische Gärung durch Hefezellwände // Mitt. Klosterneuburg.- 1986.№ 36, № 5.- P. 194-197.</w:t>
      </w:r>
    </w:p>
    <w:p w:rsidR="006E0B3E" w:rsidRPr="009476A7" w:rsidRDefault="006E0B3E" w:rsidP="000B3480">
      <w:pPr>
        <w:pStyle w:val="a3"/>
        <w:numPr>
          <w:ilvl w:val="0"/>
          <w:numId w:val="1"/>
        </w:numPr>
        <w:tabs>
          <w:tab w:val="left" w:pos="993"/>
        </w:tabs>
        <w:spacing w:after="0" w:line="240" w:lineRule="auto"/>
        <w:ind w:left="0" w:firstLine="567"/>
        <w:jc w:val="both"/>
        <w:rPr>
          <w:rFonts w:ascii="Times New Roman" w:hAnsi="Times New Roman"/>
          <w:sz w:val="24"/>
          <w:szCs w:val="24"/>
          <w:lang w:val="en-US"/>
        </w:rPr>
      </w:pPr>
      <w:r w:rsidRPr="009476A7">
        <w:rPr>
          <w:rFonts w:ascii="Times New Roman" w:hAnsi="Times New Roman"/>
          <w:sz w:val="24"/>
          <w:szCs w:val="24"/>
          <w:lang w:val="en-US"/>
        </w:rPr>
        <w:t xml:space="preserve">Moreno-Arriba </w:t>
      </w:r>
      <w:r w:rsidRPr="009476A7">
        <w:rPr>
          <w:rFonts w:ascii="Times New Roman" w:hAnsi="Times New Roman"/>
          <w:sz w:val="24"/>
          <w:szCs w:val="24"/>
        </w:rPr>
        <w:t>М</w:t>
      </w:r>
      <w:r w:rsidRPr="009476A7">
        <w:rPr>
          <w:rFonts w:ascii="Times New Roman" w:hAnsi="Times New Roman"/>
          <w:sz w:val="24"/>
          <w:szCs w:val="24"/>
          <w:lang w:val="en-US"/>
        </w:rPr>
        <w:t xml:space="preserve">., Polo </w:t>
      </w:r>
      <w:r w:rsidRPr="009476A7">
        <w:rPr>
          <w:rFonts w:ascii="Times New Roman" w:hAnsi="Times New Roman"/>
          <w:sz w:val="24"/>
          <w:szCs w:val="24"/>
        </w:rPr>
        <w:t>М</w:t>
      </w:r>
      <w:r w:rsidRPr="009476A7">
        <w:rPr>
          <w:rFonts w:ascii="Times New Roman" w:hAnsi="Times New Roman"/>
          <w:b/>
          <w:sz w:val="24"/>
          <w:szCs w:val="24"/>
          <w:lang w:val="en-US"/>
        </w:rPr>
        <w:t>.</w:t>
      </w:r>
      <w:r w:rsidRPr="009476A7">
        <w:rPr>
          <w:rFonts w:ascii="Times New Roman" w:hAnsi="Times New Roman"/>
          <w:sz w:val="24"/>
          <w:szCs w:val="24"/>
          <w:lang w:val="en-US"/>
        </w:rPr>
        <w:t xml:space="preserve"> Winemaking Biochemistry and Microbiology: Current Knowledge and Future Trends </w:t>
      </w:r>
      <w:r w:rsidRPr="009476A7">
        <w:rPr>
          <w:rFonts w:ascii="Times New Roman" w:hAnsi="Times New Roman"/>
          <w:b/>
          <w:sz w:val="24"/>
          <w:szCs w:val="24"/>
          <w:lang w:val="en-US"/>
        </w:rPr>
        <w:t>//</w:t>
      </w:r>
      <w:r w:rsidRPr="009476A7">
        <w:rPr>
          <w:rFonts w:ascii="Times New Roman" w:hAnsi="Times New Roman"/>
          <w:sz w:val="24"/>
          <w:szCs w:val="24"/>
          <w:lang w:val="en-US"/>
        </w:rPr>
        <w:t xml:space="preserve"> </w:t>
      </w:r>
      <w:r w:rsidRPr="009476A7">
        <w:rPr>
          <w:rFonts w:ascii="Times New Roman" w:hAnsi="Times New Roman"/>
          <w:bCs/>
          <w:sz w:val="24"/>
          <w:szCs w:val="24"/>
          <w:lang w:val="en-US"/>
        </w:rPr>
        <w:t>Critical Reviews in Food Science and Nutrition.-</w:t>
      </w:r>
      <w:r w:rsidRPr="009476A7">
        <w:rPr>
          <w:rFonts w:ascii="Times New Roman" w:hAnsi="Times New Roman"/>
          <w:sz w:val="24"/>
          <w:szCs w:val="24"/>
          <w:lang w:val="en-US"/>
        </w:rPr>
        <w:t xml:space="preserve"> 2005.- № 4.- P. 265-286 </w:t>
      </w:r>
    </w:p>
    <w:p w:rsidR="006E0B3E" w:rsidRPr="009476A7" w:rsidRDefault="006E0B3E" w:rsidP="000B3480">
      <w:pPr>
        <w:pStyle w:val="a3"/>
        <w:numPr>
          <w:ilvl w:val="0"/>
          <w:numId w:val="1"/>
        </w:numPr>
        <w:shd w:val="clear" w:color="auto" w:fill="FFFFFF"/>
        <w:tabs>
          <w:tab w:val="left" w:pos="993"/>
        </w:tabs>
        <w:spacing w:after="0" w:line="240" w:lineRule="auto"/>
        <w:ind w:left="0" w:firstLine="567"/>
        <w:jc w:val="both"/>
        <w:rPr>
          <w:rFonts w:ascii="Times New Roman" w:hAnsi="Times New Roman"/>
          <w:sz w:val="24"/>
          <w:szCs w:val="24"/>
          <w:lang w:val="en-US" w:eastAsia="ru-RU"/>
        </w:rPr>
      </w:pPr>
      <w:r w:rsidRPr="009476A7">
        <w:rPr>
          <w:rFonts w:ascii="Times New Roman" w:hAnsi="Times New Roman"/>
          <w:sz w:val="24"/>
          <w:szCs w:val="24"/>
          <w:lang w:val="en-US" w:eastAsia="ru-RU"/>
        </w:rPr>
        <w:t>Moreno-Arribas, M V. Wine chemistry and biochemistry. Shringer / M. V.Moreno-Arribas,  M. C. Polo // New York, 2009 - 728 p.</w:t>
      </w:r>
    </w:p>
    <w:p w:rsidR="006E0B3E" w:rsidRPr="008B5A13" w:rsidRDefault="006E0B3E" w:rsidP="000B3480">
      <w:pPr>
        <w:shd w:val="clear" w:color="auto" w:fill="FFFFFF"/>
        <w:tabs>
          <w:tab w:val="left" w:pos="993"/>
        </w:tabs>
        <w:spacing w:after="0" w:line="240" w:lineRule="auto"/>
        <w:ind w:firstLine="567"/>
        <w:jc w:val="both"/>
        <w:rPr>
          <w:rFonts w:ascii="Times New Roman" w:hAnsi="Times New Roman"/>
          <w:sz w:val="24"/>
          <w:szCs w:val="24"/>
          <w:lang w:val="en-US" w:eastAsia="ru-RU"/>
        </w:rPr>
      </w:pPr>
    </w:p>
    <w:p w:rsidR="006E0B3E" w:rsidRPr="00500C85" w:rsidRDefault="006E0B3E" w:rsidP="000B3480">
      <w:pPr>
        <w:shd w:val="clear" w:color="auto" w:fill="FFFFFF"/>
        <w:tabs>
          <w:tab w:val="left" w:pos="993"/>
        </w:tabs>
        <w:spacing w:after="0" w:line="240" w:lineRule="auto"/>
        <w:ind w:firstLine="567"/>
        <w:jc w:val="both"/>
        <w:rPr>
          <w:rFonts w:ascii="Times New Roman" w:hAnsi="Times New Roman"/>
          <w:b/>
          <w:sz w:val="24"/>
          <w:szCs w:val="24"/>
          <w:lang w:val="en-US" w:eastAsia="ru-RU"/>
        </w:rPr>
      </w:pPr>
      <w:r w:rsidRPr="00500C85">
        <w:rPr>
          <w:rFonts w:ascii="Times New Roman" w:hAnsi="Times New Roman"/>
          <w:b/>
          <w:sz w:val="24"/>
          <w:szCs w:val="24"/>
          <w:lang w:val="en-US" w:eastAsia="ru-RU"/>
        </w:rPr>
        <w:t>References</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w:t>
      </w:r>
      <w:r w:rsidRPr="00500C85">
        <w:rPr>
          <w:rFonts w:ascii="Times New Roman" w:hAnsi="Times New Roman"/>
          <w:sz w:val="24"/>
          <w:szCs w:val="24"/>
          <w:lang w:val="en-US" w:eastAsia="ru-RU"/>
        </w:rPr>
        <w:tab/>
        <w:t>Ageeva  N. M., Avanes'janc R. V.  Biohimicheskie osobennosti proizvodstva kon'jachnyh vinomaterialov. Krasnodar: Prosveshhenie-Jug, 2011. 135 s.</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2.</w:t>
      </w:r>
      <w:r w:rsidRPr="00500C85">
        <w:rPr>
          <w:rFonts w:ascii="Times New Roman" w:hAnsi="Times New Roman"/>
          <w:sz w:val="24"/>
          <w:szCs w:val="24"/>
          <w:lang w:val="en-US" w:eastAsia="ru-RU"/>
        </w:rPr>
        <w:tab/>
        <w:t>Ageeva  N.M., Danieljan A.Ju., Tolmacheva E.N., Sosjura E.V. Vlijanie novyh ras drozhzhej na sostav azotistyh soedinenij v vinogradnyh stolovyh vinah // E.A.Vestnik APK Stavropol'ja. 2014. № 3 (15). S. 7-11.</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3.</w:t>
      </w:r>
      <w:r w:rsidRPr="00500C85">
        <w:rPr>
          <w:rFonts w:ascii="Times New Roman" w:hAnsi="Times New Roman"/>
          <w:sz w:val="24"/>
          <w:szCs w:val="24"/>
          <w:lang w:val="en-US" w:eastAsia="ru-RU"/>
        </w:rPr>
        <w:tab/>
        <w:t>Ageeva N.M., Azhogina V.A. Zavisimost' kachestva stolovyh vin iz vinograda perspektivnyh sortov ot aminokislotnogo sostava ih susel // Vinograd i vino Rossii. – 1995. – №4. – S. 24-26</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4.</w:t>
      </w:r>
      <w:r w:rsidRPr="00500C85">
        <w:rPr>
          <w:rFonts w:ascii="Times New Roman" w:hAnsi="Times New Roman"/>
          <w:sz w:val="24"/>
          <w:szCs w:val="24"/>
          <w:lang w:val="en-US" w:eastAsia="ru-RU"/>
        </w:rPr>
        <w:tab/>
        <w:t>Suprun I.I., Ageeva N.M., Lobodina E.V., Nasonov A.I., Tokmakov S.V., Prah A.V. Analiz geneticheskogo raznoobrazija estestvennyh populjacij roda saccharomyces kak osnova poiska shtammov, perspektivnyh dlja vinodelija Plodovodstvo i vinogradarstvo Juga Rossii. 2019. № 59 (5). S. 118-132.</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5.</w:t>
      </w:r>
      <w:r w:rsidRPr="00500C85">
        <w:rPr>
          <w:rFonts w:ascii="Times New Roman" w:hAnsi="Times New Roman"/>
          <w:sz w:val="24"/>
          <w:szCs w:val="24"/>
          <w:lang w:val="en-US" w:eastAsia="ru-RU"/>
        </w:rPr>
        <w:tab/>
        <w:t>Metody tehnohimicheskogo kontrolja v vinodelii / Pod red. V. G. Gerzhikovoj. – Simferopol': Tavrida, 2002. – 260 s.</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6.</w:t>
      </w:r>
      <w:r w:rsidRPr="00500C85">
        <w:rPr>
          <w:rFonts w:ascii="Times New Roman" w:hAnsi="Times New Roman"/>
          <w:sz w:val="24"/>
          <w:szCs w:val="24"/>
          <w:lang w:val="en-US" w:eastAsia="ru-RU"/>
        </w:rPr>
        <w:tab/>
        <w:t>Postnaja A.N. Teoreticheskie i prakticheskie osnovy prognozirovanija, preduprezhdenija i ustranenija porokov vinogradnyh vin: Avtoref.dis. d-ra tehn. nauk – Jalta, 1991. – 47 s.</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7.</w:t>
      </w:r>
      <w:r w:rsidRPr="00500C85">
        <w:rPr>
          <w:rFonts w:ascii="Times New Roman" w:hAnsi="Times New Roman"/>
          <w:sz w:val="24"/>
          <w:szCs w:val="24"/>
          <w:lang w:val="en-US" w:eastAsia="ru-RU"/>
        </w:rPr>
        <w:tab/>
        <w:t>Rodopulo A.K. Aromatobrazujushhie veshhestva vinograda // Priklad. biohimija i mikrobiologija. – 1990. – T.26. – Vyp.5. – S.579-590.</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8.</w:t>
      </w:r>
      <w:r w:rsidRPr="00500C85">
        <w:rPr>
          <w:rFonts w:ascii="Times New Roman" w:hAnsi="Times New Roman"/>
          <w:sz w:val="24"/>
          <w:szCs w:val="24"/>
          <w:lang w:val="en-US" w:eastAsia="ru-RU"/>
        </w:rPr>
        <w:tab/>
        <w:t>Sbornik osnovnyh pravil, tehnologicheskih instrukcij i normativnyh materialov po proizvodstvu vinodel'cheskoj produkcii. - M.: Pishhepromizdat, 1998. - S.21-22.</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9.</w:t>
      </w:r>
      <w:r w:rsidRPr="00500C85">
        <w:rPr>
          <w:rFonts w:ascii="Times New Roman" w:hAnsi="Times New Roman"/>
          <w:sz w:val="24"/>
          <w:szCs w:val="24"/>
          <w:lang w:val="en-US" w:eastAsia="ru-RU"/>
        </w:rPr>
        <w:tab/>
        <w:t>Teorija i praktika vinodelija. T. 3. Sposoby proizvodstva vin. Prevrashhenija v vinah / Zh. Ribero-Gajon, Je. P. Pejno,  Ribero-Gajon, P. Sjudro ; per. s franc., pod red. G. G. Valujko. M. : Pishh. prom-st', 1980. 480 s.</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10.</w:t>
      </w:r>
      <w:r w:rsidRPr="00500C85">
        <w:rPr>
          <w:rFonts w:ascii="Times New Roman" w:hAnsi="Times New Roman"/>
          <w:sz w:val="24"/>
          <w:szCs w:val="24"/>
          <w:lang w:val="en-US" w:eastAsia="ru-RU"/>
        </w:rPr>
        <w:tab/>
        <w:t>Jelektronnyj resurs. https://vinograd.info/knigi/osnovy-biohimii-vinodeliya/obmen-azotistyh-veschestv-pri-brozhenii-2.html</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lastRenderedPageBreak/>
        <w:t>11.</w:t>
      </w:r>
      <w:r w:rsidRPr="00500C85">
        <w:rPr>
          <w:rFonts w:ascii="Times New Roman" w:hAnsi="Times New Roman"/>
          <w:sz w:val="24"/>
          <w:szCs w:val="24"/>
          <w:lang w:val="en-US" w:eastAsia="ru-RU"/>
        </w:rPr>
        <w:tab/>
        <w:t>Jakuba Ju.F. Primenenie kapilljarnogo jelektroforeza dlja opredelenija aminokislot v vinah special'nyh tehnologij / Ju.F. Jakuba // Zavodskaja laboratorija. Diagnostika materialov. – 2006. –T.72. – №4. – S.11-15.</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12.</w:t>
      </w:r>
      <w:r w:rsidRPr="00500C85">
        <w:rPr>
          <w:rFonts w:ascii="Times New Roman" w:hAnsi="Times New Roman"/>
          <w:sz w:val="24"/>
          <w:szCs w:val="24"/>
          <w:lang w:val="en-US" w:eastAsia="ru-RU"/>
        </w:rPr>
        <w:tab/>
        <w:t>A Review / M.G. Lambrechts, I.S. Pretorius // S. Afr. J. Enol. Vitic. – 2000. – Vol. 21, Special Issue. – R. 97-129.</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13.</w:t>
      </w:r>
      <w:r w:rsidRPr="00500C85">
        <w:rPr>
          <w:rFonts w:ascii="Times New Roman" w:hAnsi="Times New Roman"/>
          <w:sz w:val="24"/>
          <w:szCs w:val="24"/>
          <w:lang w:val="en-US" w:eastAsia="ru-RU"/>
        </w:rPr>
        <w:tab/>
        <w:t>Cao Zh. Minicking the ol thickness-shear-mode acoustic sensor array /Zh.Cao,  D.Xu, Jian-Hui Jiang, Ji-Hong Wang, H.Lin, Cheng-Jiang Xu, Xiao-Bing Zhang, Ru-Qin. Yu//Anal. Chim. Acta. 1997. V.335, №1-2. P. 117-125.</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14.</w:t>
      </w:r>
      <w:r w:rsidRPr="00500C85">
        <w:rPr>
          <w:rFonts w:ascii="Times New Roman" w:hAnsi="Times New Roman"/>
          <w:sz w:val="24"/>
          <w:szCs w:val="24"/>
          <w:lang w:val="en-US" w:eastAsia="ru-RU"/>
        </w:rPr>
        <w:tab/>
        <w:t>Ciani M.,  Maccarelli F. Oenological properties of non-Saccharomyces yeasts associated with wine-making // World Journal of Microbiology and Biotechnology.-1998.- № 2, P. 199-203.</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15.</w:t>
      </w:r>
      <w:r w:rsidRPr="00500C85">
        <w:rPr>
          <w:rFonts w:ascii="Times New Roman" w:hAnsi="Times New Roman"/>
          <w:sz w:val="24"/>
          <w:szCs w:val="24"/>
          <w:lang w:val="en-US" w:eastAsia="ru-RU"/>
        </w:rPr>
        <w:tab/>
        <w:t>Mansfield A. K. Characterization of key volatile compounds in red table wines produced from frontenac grapes (Vitis spp.) // A dissertation submitted to the faculty of the graduate School of the university of Minnesota. – USA, 2008. – 100 p</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16.</w:t>
      </w:r>
      <w:r w:rsidRPr="00500C85">
        <w:rPr>
          <w:rFonts w:ascii="Times New Roman" w:hAnsi="Times New Roman"/>
          <w:sz w:val="24"/>
          <w:szCs w:val="24"/>
          <w:lang w:val="en-US" w:eastAsia="ru-RU"/>
        </w:rPr>
        <w:tab/>
        <w:t>Minarik E. Zur Aktivierung der alkoholische Gärung durch Hefezellwände // Mitt. Klosterneuburg.- 1986.№ 36, № 5.- P. 194-197.</w:t>
      </w:r>
    </w:p>
    <w:p w:rsidR="00500C85"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17.</w:t>
      </w:r>
      <w:r w:rsidRPr="00500C85">
        <w:rPr>
          <w:rFonts w:ascii="Times New Roman" w:hAnsi="Times New Roman"/>
          <w:sz w:val="24"/>
          <w:szCs w:val="24"/>
          <w:lang w:val="en-US" w:eastAsia="ru-RU"/>
        </w:rPr>
        <w:tab/>
        <w:t xml:space="preserve">Moreno-Arriba M., Polo M. Winemaking Biochemistry and Microbiology: Current Knowledge and Future Trends // Critical Reviews in Food Science and Nutrition.- 2005.- № 4.- P. 265-286 </w:t>
      </w:r>
    </w:p>
    <w:p w:rsidR="006E0B3E" w:rsidRPr="00500C85" w:rsidRDefault="00500C85" w:rsidP="00500C85">
      <w:pPr>
        <w:shd w:val="clear" w:color="auto" w:fill="FFFFFF"/>
        <w:tabs>
          <w:tab w:val="left" w:pos="851"/>
        </w:tabs>
        <w:spacing w:after="0" w:line="240" w:lineRule="auto"/>
        <w:ind w:firstLine="567"/>
        <w:jc w:val="both"/>
        <w:rPr>
          <w:rFonts w:ascii="Times New Roman" w:hAnsi="Times New Roman"/>
          <w:sz w:val="24"/>
          <w:szCs w:val="24"/>
          <w:lang w:val="en-US" w:eastAsia="ru-RU"/>
        </w:rPr>
      </w:pPr>
      <w:r w:rsidRPr="00500C85">
        <w:rPr>
          <w:rFonts w:ascii="Times New Roman" w:hAnsi="Times New Roman"/>
          <w:sz w:val="24"/>
          <w:szCs w:val="24"/>
          <w:lang w:val="en-US" w:eastAsia="ru-RU"/>
        </w:rPr>
        <w:t>18.</w:t>
      </w:r>
      <w:r w:rsidRPr="00500C85">
        <w:rPr>
          <w:rFonts w:ascii="Times New Roman" w:hAnsi="Times New Roman"/>
          <w:sz w:val="24"/>
          <w:szCs w:val="24"/>
          <w:lang w:val="en-US" w:eastAsia="ru-RU"/>
        </w:rPr>
        <w:tab/>
        <w:t>Moreno-Arribas, M V. Wine chemistry and biochemistry. Shringer / M. V.Moreno-Arribas,  M. C. Polo // New York, 2009 - 728 p.</w:t>
      </w:r>
    </w:p>
    <w:sectPr w:rsidR="006E0B3E" w:rsidRPr="00500C85" w:rsidSect="000C3870">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BF0" w:rsidRDefault="005C5BF0" w:rsidP="00BD0A5B">
      <w:pPr>
        <w:spacing w:after="0" w:line="240" w:lineRule="auto"/>
      </w:pPr>
      <w:r>
        <w:separator/>
      </w:r>
    </w:p>
  </w:endnote>
  <w:endnote w:type="continuationSeparator" w:id="0">
    <w:p w:rsidR="005C5BF0" w:rsidRDefault="005C5BF0" w:rsidP="00BD0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A5B" w:rsidRPr="00547163" w:rsidRDefault="00547163" w:rsidP="00547163">
    <w:pPr>
      <w:pStyle w:val="af0"/>
      <w:jc w:val="left"/>
      <w:rPr>
        <w:lang w:val="en-US"/>
      </w:rPr>
    </w:pPr>
    <w:hyperlink r:id="rId1" w:history="1">
      <w:r w:rsidRPr="00B54E74">
        <w:rPr>
          <w:rStyle w:val="a6"/>
          <w:sz w:val="24"/>
        </w:rPr>
        <w:t>http://ej.kubagro.ru/2020/05/pdf/</w:t>
      </w:r>
      <w:r w:rsidRPr="00B54E74">
        <w:rPr>
          <w:rStyle w:val="a6"/>
          <w:sz w:val="24"/>
          <w:lang w:val="en-US"/>
        </w:rPr>
        <w:t>15</w:t>
      </w:r>
      <w:r w:rsidRPr="00B54E74">
        <w:rPr>
          <w:rStyle w:val="a6"/>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BF0" w:rsidRDefault="005C5BF0" w:rsidP="00BD0A5B">
      <w:pPr>
        <w:spacing w:after="0" w:line="240" w:lineRule="auto"/>
      </w:pPr>
      <w:r>
        <w:separator/>
      </w:r>
    </w:p>
  </w:footnote>
  <w:footnote w:type="continuationSeparator" w:id="0">
    <w:p w:rsidR="005C5BF0" w:rsidRDefault="005C5BF0" w:rsidP="00BD0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A5B" w:rsidRPr="00BD0A5B" w:rsidRDefault="00BD0A5B" w:rsidP="00BD0A5B">
    <w:pPr>
      <w:pStyle w:val="ac"/>
      <w:rPr>
        <w:rFonts w:ascii="Times New Roman" w:hAnsi="Times New Roman"/>
        <w:sz w:val="24"/>
        <w:szCs w:val="24"/>
      </w:rPr>
    </w:pPr>
    <w:r w:rsidRPr="00BD0A5B">
      <w:rPr>
        <w:rFonts w:ascii="Times New Roman" w:hAnsi="Times New Roman"/>
        <w:sz w:val="24"/>
        <w:szCs w:val="24"/>
      </w:rPr>
      <w:t xml:space="preserve">Научный журнал КубГАУ, №159(05), 2020 год </w:t>
    </w:r>
    <w:r>
      <w:rPr>
        <w:rFonts w:ascii="Times New Roman" w:hAnsi="Times New Roman"/>
        <w:sz w:val="24"/>
        <w:szCs w:val="24"/>
      </w:rPr>
      <w:tab/>
    </w:r>
    <w:r w:rsidRPr="00BD0A5B">
      <w:rPr>
        <w:rFonts w:ascii="Times New Roman" w:hAnsi="Times New Roman"/>
        <w:sz w:val="28"/>
        <w:szCs w:val="28"/>
      </w:rPr>
      <w:fldChar w:fldCharType="begin"/>
    </w:r>
    <w:r w:rsidRPr="00BD0A5B">
      <w:rPr>
        <w:rFonts w:ascii="Times New Roman" w:hAnsi="Times New Roman"/>
        <w:sz w:val="28"/>
        <w:szCs w:val="28"/>
      </w:rPr>
      <w:instrText>PAGE   \* MERGEFORMAT</w:instrText>
    </w:r>
    <w:r w:rsidRPr="00BD0A5B">
      <w:rPr>
        <w:rFonts w:ascii="Times New Roman" w:hAnsi="Times New Roman"/>
        <w:sz w:val="28"/>
        <w:szCs w:val="28"/>
      </w:rPr>
      <w:fldChar w:fldCharType="separate"/>
    </w:r>
    <w:r w:rsidR="00500C85">
      <w:rPr>
        <w:rFonts w:ascii="Times New Roman" w:hAnsi="Times New Roman"/>
        <w:noProof/>
        <w:sz w:val="28"/>
        <w:szCs w:val="28"/>
      </w:rPr>
      <w:t>4</w:t>
    </w:r>
    <w:r w:rsidRPr="00BD0A5B">
      <w:rPr>
        <w:rFonts w:ascii="Times New Roman" w:hAnsi="Times New Roman"/>
        <w:sz w:val="28"/>
        <w:szCs w:val="28"/>
      </w:rPr>
      <w:fldChar w:fldCharType="end"/>
    </w:r>
  </w:p>
  <w:p w:rsidR="00BD0A5B" w:rsidRDefault="00BD0A5B">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82D"/>
    <w:multiLevelType w:val="multilevel"/>
    <w:tmpl w:val="4D60DF86"/>
    <w:lvl w:ilvl="0">
      <w:start w:val="1"/>
      <w:numFmt w:val="decimal"/>
      <w:pStyle w:val="3"/>
      <w:lvlText w:val="%1."/>
      <w:lvlJc w:val="left"/>
      <w:pPr>
        <w:tabs>
          <w:tab w:val="num" w:pos="567"/>
        </w:tabs>
        <w:ind w:left="567" w:hanging="567"/>
      </w:pPr>
      <w:rPr>
        <w:rFonts w:cs="Times New Roman" w:hint="default"/>
        <w:sz w:val="28"/>
        <w:vertAlign w:val="baseline"/>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40FD638D"/>
    <w:multiLevelType w:val="hybridMultilevel"/>
    <w:tmpl w:val="B6009B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20" w:hanging="360"/>
      </w:pPr>
      <w:rPr>
        <w:rFonts w:cs="Times New Roman"/>
      </w:rPr>
    </w:lvl>
    <w:lvl w:ilvl="2" w:tplc="0419001B" w:tentative="1">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 w15:restartNumberingAfterBreak="0">
    <w:nsid w:val="4DD477C8"/>
    <w:multiLevelType w:val="hybridMultilevel"/>
    <w:tmpl w:val="05A86EF2"/>
    <w:lvl w:ilvl="0" w:tplc="0419000F">
      <w:start w:val="1"/>
      <w:numFmt w:val="decimal"/>
      <w:lvlText w:val="%1."/>
      <w:lvlJc w:val="left"/>
      <w:pPr>
        <w:ind w:left="57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3" w15:restartNumberingAfterBreak="0">
    <w:nsid w:val="73817687"/>
    <w:multiLevelType w:val="hybridMultilevel"/>
    <w:tmpl w:val="B6009B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20" w:hanging="360"/>
      </w:pPr>
      <w:rPr>
        <w:rFonts w:cs="Times New Roman"/>
      </w:rPr>
    </w:lvl>
    <w:lvl w:ilvl="2" w:tplc="0419001B" w:tentative="1">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420"/>
    <w:rsid w:val="00000BC3"/>
    <w:rsid w:val="00011778"/>
    <w:rsid w:val="00083B49"/>
    <w:rsid w:val="0009271F"/>
    <w:rsid w:val="000B3480"/>
    <w:rsid w:val="000B7CFD"/>
    <w:rsid w:val="000C3870"/>
    <w:rsid w:val="000C4694"/>
    <w:rsid w:val="000C7178"/>
    <w:rsid w:val="000E081E"/>
    <w:rsid w:val="000E37A1"/>
    <w:rsid w:val="000F59C7"/>
    <w:rsid w:val="000F70E1"/>
    <w:rsid w:val="00102843"/>
    <w:rsid w:val="00104A05"/>
    <w:rsid w:val="001064D3"/>
    <w:rsid w:val="0013198A"/>
    <w:rsid w:val="00154600"/>
    <w:rsid w:val="00182C21"/>
    <w:rsid w:val="00194639"/>
    <w:rsid w:val="001B0EFB"/>
    <w:rsid w:val="001E3D60"/>
    <w:rsid w:val="00226A90"/>
    <w:rsid w:val="002A5E96"/>
    <w:rsid w:val="002F710B"/>
    <w:rsid w:val="003068E4"/>
    <w:rsid w:val="003154DB"/>
    <w:rsid w:val="00354259"/>
    <w:rsid w:val="0037318E"/>
    <w:rsid w:val="0038482C"/>
    <w:rsid w:val="003923D6"/>
    <w:rsid w:val="003F7ECC"/>
    <w:rsid w:val="00431AEB"/>
    <w:rsid w:val="00473A23"/>
    <w:rsid w:val="004814AA"/>
    <w:rsid w:val="004C6E57"/>
    <w:rsid w:val="00500C85"/>
    <w:rsid w:val="0050523C"/>
    <w:rsid w:val="00517EDC"/>
    <w:rsid w:val="005402C8"/>
    <w:rsid w:val="00547163"/>
    <w:rsid w:val="0057143B"/>
    <w:rsid w:val="00583123"/>
    <w:rsid w:val="005874A8"/>
    <w:rsid w:val="005A0420"/>
    <w:rsid w:val="005B542C"/>
    <w:rsid w:val="005B7BD7"/>
    <w:rsid w:val="005C41B9"/>
    <w:rsid w:val="005C5BF0"/>
    <w:rsid w:val="00606785"/>
    <w:rsid w:val="00615192"/>
    <w:rsid w:val="006152CE"/>
    <w:rsid w:val="006176DE"/>
    <w:rsid w:val="00645193"/>
    <w:rsid w:val="00673C6F"/>
    <w:rsid w:val="006860CB"/>
    <w:rsid w:val="00691B4F"/>
    <w:rsid w:val="00697F31"/>
    <w:rsid w:val="006A7D21"/>
    <w:rsid w:val="006B5154"/>
    <w:rsid w:val="006D4B2E"/>
    <w:rsid w:val="006E0B3E"/>
    <w:rsid w:val="006F7A6F"/>
    <w:rsid w:val="0071743D"/>
    <w:rsid w:val="00725341"/>
    <w:rsid w:val="00776DEB"/>
    <w:rsid w:val="0078520B"/>
    <w:rsid w:val="00793B33"/>
    <w:rsid w:val="00794568"/>
    <w:rsid w:val="007D18DE"/>
    <w:rsid w:val="007D1A73"/>
    <w:rsid w:val="008217F1"/>
    <w:rsid w:val="0083187B"/>
    <w:rsid w:val="00846A62"/>
    <w:rsid w:val="008A5CCD"/>
    <w:rsid w:val="008B5A13"/>
    <w:rsid w:val="008F66B1"/>
    <w:rsid w:val="008F7236"/>
    <w:rsid w:val="00902A05"/>
    <w:rsid w:val="009068E9"/>
    <w:rsid w:val="00914C4B"/>
    <w:rsid w:val="009476A7"/>
    <w:rsid w:val="009A7B79"/>
    <w:rsid w:val="009D0E14"/>
    <w:rsid w:val="009D274B"/>
    <w:rsid w:val="009D316C"/>
    <w:rsid w:val="009F5F35"/>
    <w:rsid w:val="009F6003"/>
    <w:rsid w:val="00A01689"/>
    <w:rsid w:val="00A039F6"/>
    <w:rsid w:val="00A46A35"/>
    <w:rsid w:val="00A75CDA"/>
    <w:rsid w:val="00AA723C"/>
    <w:rsid w:val="00AC14AF"/>
    <w:rsid w:val="00B02A59"/>
    <w:rsid w:val="00B13104"/>
    <w:rsid w:val="00B20DD5"/>
    <w:rsid w:val="00B40650"/>
    <w:rsid w:val="00B45561"/>
    <w:rsid w:val="00B611AF"/>
    <w:rsid w:val="00BC1C6A"/>
    <w:rsid w:val="00BD0A5B"/>
    <w:rsid w:val="00BD2E7E"/>
    <w:rsid w:val="00BE6F70"/>
    <w:rsid w:val="00BF5307"/>
    <w:rsid w:val="00C067B3"/>
    <w:rsid w:val="00C21953"/>
    <w:rsid w:val="00C264A3"/>
    <w:rsid w:val="00C3620B"/>
    <w:rsid w:val="00C372FE"/>
    <w:rsid w:val="00C37E15"/>
    <w:rsid w:val="00C52753"/>
    <w:rsid w:val="00C92A03"/>
    <w:rsid w:val="00CD390F"/>
    <w:rsid w:val="00CD5ECC"/>
    <w:rsid w:val="00CF0658"/>
    <w:rsid w:val="00CF0973"/>
    <w:rsid w:val="00CF43CC"/>
    <w:rsid w:val="00D17F6A"/>
    <w:rsid w:val="00D36195"/>
    <w:rsid w:val="00D461FA"/>
    <w:rsid w:val="00D52F77"/>
    <w:rsid w:val="00D567C0"/>
    <w:rsid w:val="00D607AD"/>
    <w:rsid w:val="00DC1834"/>
    <w:rsid w:val="00DE409D"/>
    <w:rsid w:val="00E03060"/>
    <w:rsid w:val="00E226C4"/>
    <w:rsid w:val="00E2501E"/>
    <w:rsid w:val="00E442FD"/>
    <w:rsid w:val="00E53B72"/>
    <w:rsid w:val="00E570AD"/>
    <w:rsid w:val="00E743F8"/>
    <w:rsid w:val="00E90EDE"/>
    <w:rsid w:val="00E92410"/>
    <w:rsid w:val="00EA5107"/>
    <w:rsid w:val="00EC7802"/>
    <w:rsid w:val="00ED35E1"/>
    <w:rsid w:val="00EF4392"/>
    <w:rsid w:val="00F206AD"/>
    <w:rsid w:val="00F474BF"/>
    <w:rsid w:val="00F5477F"/>
    <w:rsid w:val="00F71EBD"/>
    <w:rsid w:val="00F9700E"/>
    <w:rsid w:val="00FA2A85"/>
    <w:rsid w:val="00FA2BBF"/>
    <w:rsid w:val="00FD75FA"/>
    <w:rsid w:val="00FF4A92"/>
    <w:rsid w:val="00FF6CFA"/>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E5CEC38"/>
  <w15:docId w15:val="{808F0120-D7C8-4088-AF41-4F145167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01E"/>
    <w:pPr>
      <w:spacing w:after="160" w:line="259" w:lineRule="auto"/>
    </w:pPr>
    <w:rPr>
      <w:sz w:val="22"/>
      <w:szCs w:val="22"/>
      <w:lang w:eastAsia="en-US"/>
    </w:rPr>
  </w:style>
  <w:style w:type="paragraph" w:styleId="30">
    <w:name w:val="heading 3"/>
    <w:basedOn w:val="a"/>
    <w:link w:val="31"/>
    <w:uiPriority w:val="99"/>
    <w:qFormat/>
    <w:rsid w:val="009F5F3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link w:val="30"/>
    <w:uiPriority w:val="99"/>
    <w:locked/>
    <w:rsid w:val="009F5F35"/>
    <w:rPr>
      <w:rFonts w:ascii="Times New Roman" w:hAnsi="Times New Roman" w:cs="Times New Roman"/>
      <w:b/>
      <w:bCs/>
      <w:sz w:val="27"/>
      <w:szCs w:val="27"/>
      <w:lang w:eastAsia="ru-RU"/>
    </w:rPr>
  </w:style>
  <w:style w:type="character" w:customStyle="1" w:styleId="2">
    <w:name w:val="Основной текст (2)_"/>
    <w:link w:val="20"/>
    <w:uiPriority w:val="99"/>
    <w:locked/>
    <w:rsid w:val="00E2501E"/>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E2501E"/>
    <w:pPr>
      <w:widowControl w:val="0"/>
      <w:shd w:val="clear" w:color="auto" w:fill="FFFFFF"/>
      <w:spacing w:after="0" w:line="240" w:lineRule="exact"/>
      <w:jc w:val="both"/>
    </w:pPr>
    <w:rPr>
      <w:rFonts w:ascii="Times New Roman" w:eastAsia="Times New Roman" w:hAnsi="Times New Roman"/>
      <w:sz w:val="20"/>
      <w:szCs w:val="20"/>
    </w:rPr>
  </w:style>
  <w:style w:type="character" w:customStyle="1" w:styleId="28pt">
    <w:name w:val="Основной текст (2) + 8 pt.Не полужирный"/>
    <w:uiPriority w:val="99"/>
    <w:rsid w:val="00E2501E"/>
    <w:rPr>
      <w:rFonts w:ascii="Times New Roman" w:hAnsi="Times New Roman" w:cs="Times New Roman"/>
      <w:b/>
      <w:bCs/>
      <w:color w:val="000000"/>
      <w:spacing w:val="0"/>
      <w:w w:val="100"/>
      <w:position w:val="0"/>
      <w:sz w:val="16"/>
      <w:szCs w:val="16"/>
      <w:u w:val="none"/>
      <w:shd w:val="clear" w:color="auto" w:fill="FFFFFF"/>
      <w:lang w:val="ru-RU" w:eastAsia="ru-RU"/>
    </w:rPr>
  </w:style>
  <w:style w:type="paragraph" w:styleId="a3">
    <w:name w:val="List Paragraph"/>
    <w:basedOn w:val="a"/>
    <w:uiPriority w:val="99"/>
    <w:qFormat/>
    <w:rsid w:val="00473A23"/>
    <w:pPr>
      <w:ind w:left="720"/>
      <w:contextualSpacing/>
    </w:pPr>
  </w:style>
  <w:style w:type="paragraph" w:styleId="a4">
    <w:name w:val="Normal (Web)"/>
    <w:basedOn w:val="a"/>
    <w:uiPriority w:val="99"/>
    <w:rsid w:val="0038482C"/>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99"/>
    <w:qFormat/>
    <w:rsid w:val="0038482C"/>
    <w:rPr>
      <w:rFonts w:cs="Times New Roman"/>
      <w:b/>
      <w:bCs/>
    </w:rPr>
  </w:style>
  <w:style w:type="character" w:styleId="a6">
    <w:name w:val="Hyperlink"/>
    <w:uiPriority w:val="99"/>
    <w:rsid w:val="00C21953"/>
    <w:rPr>
      <w:rFonts w:cs="Times New Roman"/>
      <w:color w:val="0000FF"/>
      <w:u w:val="single"/>
    </w:rPr>
  </w:style>
  <w:style w:type="table" w:styleId="a7">
    <w:name w:val="Table Grid"/>
    <w:basedOn w:val="a1"/>
    <w:uiPriority w:val="99"/>
    <w:rsid w:val="00FA2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semiHidden/>
    <w:rsid w:val="00E442FD"/>
    <w:pPr>
      <w:spacing w:after="120" w:line="276" w:lineRule="auto"/>
    </w:pPr>
  </w:style>
  <w:style w:type="character" w:customStyle="1" w:styleId="a9">
    <w:name w:val="Основной текст Знак"/>
    <w:link w:val="a8"/>
    <w:uiPriority w:val="99"/>
    <w:semiHidden/>
    <w:locked/>
    <w:rsid w:val="00E442FD"/>
    <w:rPr>
      <w:rFonts w:cs="Times New Roman"/>
    </w:rPr>
  </w:style>
  <w:style w:type="paragraph" w:customStyle="1" w:styleId="3">
    <w:name w:val="Список литературы (3 зн.)"/>
    <w:basedOn w:val="a8"/>
    <w:uiPriority w:val="99"/>
    <w:rsid w:val="00517EDC"/>
    <w:pPr>
      <w:keepLines/>
      <w:widowControl w:val="0"/>
      <w:numPr>
        <w:numId w:val="3"/>
      </w:numPr>
      <w:spacing w:after="0" w:line="360" w:lineRule="auto"/>
      <w:jc w:val="both"/>
    </w:pPr>
    <w:rPr>
      <w:rFonts w:ascii="Times New Roman" w:eastAsia="Times New Roman" w:hAnsi="Times New Roman"/>
      <w:sz w:val="28"/>
      <w:szCs w:val="20"/>
      <w:lang w:eastAsia="ru-RU"/>
    </w:rPr>
  </w:style>
  <w:style w:type="paragraph" w:styleId="aa">
    <w:name w:val="Balloon Text"/>
    <w:basedOn w:val="a"/>
    <w:link w:val="ab"/>
    <w:uiPriority w:val="99"/>
    <w:semiHidden/>
    <w:rsid w:val="00BF5307"/>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BF5307"/>
    <w:rPr>
      <w:rFonts w:ascii="Segoe UI" w:hAnsi="Segoe UI" w:cs="Segoe UI"/>
      <w:sz w:val="18"/>
      <w:szCs w:val="18"/>
    </w:rPr>
  </w:style>
  <w:style w:type="paragraph" w:styleId="ac">
    <w:name w:val="header"/>
    <w:basedOn w:val="a"/>
    <w:link w:val="ad"/>
    <w:uiPriority w:val="99"/>
    <w:unhideWhenUsed/>
    <w:rsid w:val="00BD0A5B"/>
    <w:pPr>
      <w:tabs>
        <w:tab w:val="center" w:pos="4677"/>
        <w:tab w:val="right" w:pos="9355"/>
      </w:tabs>
    </w:pPr>
  </w:style>
  <w:style w:type="character" w:customStyle="1" w:styleId="ad">
    <w:name w:val="Верхний колонтитул Знак"/>
    <w:link w:val="ac"/>
    <w:uiPriority w:val="99"/>
    <w:rsid w:val="00BD0A5B"/>
    <w:rPr>
      <w:lang w:val="ru-RU"/>
    </w:rPr>
  </w:style>
  <w:style w:type="paragraph" w:styleId="ae">
    <w:name w:val="footer"/>
    <w:basedOn w:val="a"/>
    <w:link w:val="af"/>
    <w:uiPriority w:val="99"/>
    <w:unhideWhenUsed/>
    <w:rsid w:val="00BD0A5B"/>
    <w:pPr>
      <w:tabs>
        <w:tab w:val="center" w:pos="4677"/>
        <w:tab w:val="right" w:pos="9355"/>
      </w:tabs>
    </w:pPr>
  </w:style>
  <w:style w:type="character" w:customStyle="1" w:styleId="af">
    <w:name w:val="Нижний колонтитул Знак"/>
    <w:link w:val="ae"/>
    <w:uiPriority w:val="99"/>
    <w:rsid w:val="00BD0A5B"/>
    <w:rPr>
      <w:lang w:val="ru-RU"/>
    </w:rPr>
  </w:style>
  <w:style w:type="paragraph" w:styleId="af0">
    <w:name w:val="Title"/>
    <w:basedOn w:val="a"/>
    <w:link w:val="af1"/>
    <w:uiPriority w:val="99"/>
    <w:qFormat/>
    <w:locked/>
    <w:rsid w:val="00547163"/>
    <w:pPr>
      <w:spacing w:after="0" w:line="240" w:lineRule="auto"/>
      <w:jc w:val="center"/>
    </w:pPr>
    <w:rPr>
      <w:rFonts w:ascii="Times New Roman" w:eastAsia="Times New Roman" w:hAnsi="Times New Roman"/>
      <w:sz w:val="32"/>
      <w:szCs w:val="24"/>
      <w:lang w:eastAsia="ru-RU"/>
    </w:rPr>
  </w:style>
  <w:style w:type="character" w:customStyle="1" w:styleId="af1">
    <w:name w:val="Заголовок Знак"/>
    <w:link w:val="af0"/>
    <w:uiPriority w:val="99"/>
    <w:rsid w:val="00547163"/>
    <w:rPr>
      <w:rFonts w:ascii="Times New Roman" w:eastAsia="Times New Roman" w:hAnsi="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646295">
      <w:marLeft w:val="0"/>
      <w:marRight w:val="0"/>
      <w:marTop w:val="0"/>
      <w:marBottom w:val="0"/>
      <w:divBdr>
        <w:top w:val="none" w:sz="0" w:space="0" w:color="auto"/>
        <w:left w:val="none" w:sz="0" w:space="0" w:color="auto"/>
        <w:bottom w:val="none" w:sz="0" w:space="0" w:color="auto"/>
        <w:right w:val="none" w:sz="0" w:space="0" w:color="auto"/>
      </w:divBdr>
      <w:divsChild>
        <w:div w:id="1405646301">
          <w:marLeft w:val="0"/>
          <w:marRight w:val="0"/>
          <w:marTop w:val="0"/>
          <w:marBottom w:val="0"/>
          <w:divBdr>
            <w:top w:val="none" w:sz="0" w:space="0" w:color="auto"/>
            <w:left w:val="none" w:sz="0" w:space="0" w:color="auto"/>
            <w:bottom w:val="none" w:sz="0" w:space="0" w:color="auto"/>
            <w:right w:val="none" w:sz="0" w:space="0" w:color="auto"/>
          </w:divBdr>
        </w:div>
      </w:divsChild>
    </w:div>
    <w:div w:id="1405646297">
      <w:marLeft w:val="0"/>
      <w:marRight w:val="0"/>
      <w:marTop w:val="0"/>
      <w:marBottom w:val="0"/>
      <w:divBdr>
        <w:top w:val="none" w:sz="0" w:space="0" w:color="auto"/>
        <w:left w:val="none" w:sz="0" w:space="0" w:color="auto"/>
        <w:bottom w:val="none" w:sz="0" w:space="0" w:color="auto"/>
        <w:right w:val="none" w:sz="0" w:space="0" w:color="auto"/>
      </w:divBdr>
    </w:div>
    <w:div w:id="1405646298">
      <w:marLeft w:val="0"/>
      <w:marRight w:val="0"/>
      <w:marTop w:val="0"/>
      <w:marBottom w:val="0"/>
      <w:divBdr>
        <w:top w:val="none" w:sz="0" w:space="0" w:color="auto"/>
        <w:left w:val="none" w:sz="0" w:space="0" w:color="auto"/>
        <w:bottom w:val="none" w:sz="0" w:space="0" w:color="auto"/>
        <w:right w:val="none" w:sz="0" w:space="0" w:color="auto"/>
      </w:divBdr>
      <w:divsChild>
        <w:div w:id="1405646296">
          <w:marLeft w:val="0"/>
          <w:marRight w:val="0"/>
          <w:marTop w:val="0"/>
          <w:marBottom w:val="0"/>
          <w:divBdr>
            <w:top w:val="none" w:sz="0" w:space="0" w:color="auto"/>
            <w:left w:val="none" w:sz="0" w:space="0" w:color="auto"/>
            <w:bottom w:val="none" w:sz="0" w:space="0" w:color="auto"/>
            <w:right w:val="none" w:sz="0" w:space="0" w:color="auto"/>
          </w:divBdr>
        </w:div>
      </w:divsChild>
    </w:div>
    <w:div w:id="1405646299">
      <w:marLeft w:val="0"/>
      <w:marRight w:val="0"/>
      <w:marTop w:val="0"/>
      <w:marBottom w:val="0"/>
      <w:divBdr>
        <w:top w:val="none" w:sz="0" w:space="0" w:color="auto"/>
        <w:left w:val="none" w:sz="0" w:space="0" w:color="auto"/>
        <w:bottom w:val="none" w:sz="0" w:space="0" w:color="auto"/>
        <w:right w:val="none" w:sz="0" w:space="0" w:color="auto"/>
      </w:divBdr>
    </w:div>
    <w:div w:id="1405646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9-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prakh@yandex.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entaconnect.com/content/klu/wib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nograd.info/knigi/osnovy-biohimii-vinodeliya/obmen-azotistyh-veschestv-pri-brozhenii-2.html" TargetMode="External"/><Relationship Id="rId4" Type="http://schemas.openxmlformats.org/officeDocument/2006/relationships/webSettings" Target="webSettings.xml"/><Relationship Id="rId9" Type="http://schemas.openxmlformats.org/officeDocument/2006/relationships/hyperlink" Target="mailto:aprakh@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5/pdf/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12</Pages>
  <Words>3549</Words>
  <Characters>20233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SEVERUS</cp:lastModifiedBy>
  <cp:revision>13</cp:revision>
  <dcterms:created xsi:type="dcterms:W3CDTF">2020-04-23T08:54:00Z</dcterms:created>
  <dcterms:modified xsi:type="dcterms:W3CDTF">2020-06-04T21:36:00Z</dcterms:modified>
</cp:coreProperties>
</file>