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0724BF" w:rsidRPr="007735C1" w:rsidTr="000724BF">
        <w:tc>
          <w:tcPr>
            <w:tcW w:w="4643" w:type="dxa"/>
          </w:tcPr>
          <w:p w:rsidR="000724BF" w:rsidRDefault="000724BF" w:rsidP="002C3A80">
            <w:pPr>
              <w:pStyle w:val="Title"/>
              <w:widowControl w:val="0"/>
              <w:jc w:val="left"/>
              <w:rPr>
                <w:sz w:val="20"/>
                <w:szCs w:val="20"/>
              </w:rPr>
            </w:pPr>
            <w:r w:rsidRPr="002C3A80">
              <w:rPr>
                <w:color w:val="000000" w:themeColor="text1"/>
                <w:sz w:val="20"/>
                <w:szCs w:val="20"/>
              </w:rPr>
              <w:t xml:space="preserve">УДК </w:t>
            </w:r>
            <w:r w:rsidRPr="002C3A80">
              <w:rPr>
                <w:sz w:val="20"/>
                <w:szCs w:val="20"/>
              </w:rPr>
              <w:t>634.1:631.54:338.43</w:t>
            </w:r>
          </w:p>
          <w:p w:rsidR="001F3106" w:rsidRPr="002C3A80" w:rsidRDefault="001F3106" w:rsidP="002C3A80">
            <w:pPr>
              <w:pStyle w:val="Title"/>
              <w:widowControl w:val="0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724BF" w:rsidRPr="001F3106" w:rsidRDefault="000724BF" w:rsidP="002C3A80">
            <w:pPr>
              <w:pStyle w:val="Title"/>
              <w:widowControl w:val="0"/>
              <w:jc w:val="left"/>
              <w:rPr>
                <w:color w:val="000000" w:themeColor="text1"/>
                <w:sz w:val="20"/>
                <w:szCs w:val="20"/>
              </w:rPr>
            </w:pPr>
            <w:r w:rsidRPr="001F3106">
              <w:rPr>
                <w:rStyle w:val="Hyperlink"/>
                <w:color w:val="000000" w:themeColor="text1"/>
                <w:sz w:val="20"/>
                <w:szCs w:val="20"/>
                <w:u w:val="none"/>
              </w:rPr>
              <w:t>06.01.01 Общее земледелие, растениеводство</w:t>
            </w:r>
          </w:p>
          <w:p w:rsidR="000724BF" w:rsidRPr="002C3A80" w:rsidRDefault="000724BF" w:rsidP="002C3A80">
            <w:pPr>
              <w:pStyle w:val="Title"/>
              <w:widowControl w:val="0"/>
              <w:jc w:val="left"/>
              <w:rPr>
                <w:caps/>
                <w:color w:val="000000" w:themeColor="text1"/>
                <w:sz w:val="20"/>
                <w:szCs w:val="20"/>
              </w:rPr>
            </w:pPr>
          </w:p>
          <w:p w:rsidR="000724BF" w:rsidRPr="002C3A80" w:rsidRDefault="000724BF" w:rsidP="002C3A80">
            <w:pPr>
              <w:widowControl w:val="0"/>
              <w:rPr>
                <w:b/>
              </w:rPr>
            </w:pPr>
            <w:r w:rsidRPr="002C3A80">
              <w:rPr>
                <w:b/>
              </w:rPr>
              <w:t>ОБОСНОВАНИЕ ОПТИМАЛЬНЫХ ПАРАМЕТРОВ РЕСУРСОЕМКОСТИ ПРОИЗВОДСТВЕННО-ТЕХНОЛОГИЧЕСКИХ ПРОЦЕССОВ В ПРОМЫШЛЕННОМ ПЛОДОВОДСТВЕ И ПРЕДЕЛОВ УСТОЙЧИВОСТИ АГРОЦЕНОЗОВ ПРИ ТЕХНОГЕННЫХ ВОЗДЕЙСТВИЯХ</w:t>
            </w:r>
            <w:r w:rsidR="00AE41CB" w:rsidRPr="002C3A80">
              <w:rPr>
                <w:rStyle w:val="FootnoteReference"/>
                <w:b/>
              </w:rPr>
              <w:footnoteReference w:customMarkFollows="1" w:id="1"/>
              <w:t>*</w:t>
            </w:r>
          </w:p>
          <w:p w:rsidR="000724BF" w:rsidRPr="008A0EE4" w:rsidRDefault="000724BF" w:rsidP="002C3A80">
            <w:pPr>
              <w:widowControl w:val="0"/>
              <w:rPr>
                <w:color w:val="000000" w:themeColor="text1"/>
              </w:rPr>
            </w:pP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 xml:space="preserve">Шадрина Жанна Александровна 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 xml:space="preserve">д-р </w:t>
            </w:r>
            <w:proofErr w:type="spellStart"/>
            <w:r w:rsidRPr="002C3A80">
              <w:rPr>
                <w:color w:val="000000" w:themeColor="text1"/>
              </w:rPr>
              <w:t>экон</w:t>
            </w:r>
            <w:proofErr w:type="spellEnd"/>
            <w:r w:rsidRPr="002C3A80">
              <w:rPr>
                <w:color w:val="000000" w:themeColor="text1"/>
              </w:rPr>
              <w:t>. наук, доцент,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>зав. лабораторией экономики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>РИНЦ SPIN-код: 6370-7329</w:t>
            </w:r>
          </w:p>
          <w:p w:rsidR="000724BF" w:rsidRPr="002C3A80" w:rsidRDefault="000724BF" w:rsidP="002C3A80">
            <w:pPr>
              <w:widowControl w:val="0"/>
            </w:pPr>
            <w:r w:rsidRPr="002C3A80">
              <w:rPr>
                <w:lang w:val="en-US"/>
              </w:rPr>
              <w:t>Scopus</w:t>
            </w:r>
            <w:r w:rsidRPr="002C3A80">
              <w:t xml:space="preserve"> </w:t>
            </w:r>
            <w:r w:rsidRPr="002C3A80">
              <w:rPr>
                <w:lang w:val="en-US"/>
              </w:rPr>
              <w:t>Author</w:t>
            </w:r>
            <w:r w:rsidRPr="002C3A80">
              <w:t xml:space="preserve"> </w:t>
            </w:r>
            <w:r w:rsidRPr="002C3A80">
              <w:rPr>
                <w:lang w:val="en-US"/>
              </w:rPr>
              <w:t>ID</w:t>
            </w:r>
            <w:r w:rsidRPr="002C3A80">
              <w:t>: 57200413990</w:t>
            </w:r>
          </w:p>
          <w:p w:rsidR="000724BF" w:rsidRPr="002C3A80" w:rsidRDefault="000724BF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 xml:space="preserve">Федеральное государственное бюджетное </w:t>
            </w:r>
          </w:p>
          <w:p w:rsidR="000724BF" w:rsidRPr="002C3A80" w:rsidRDefault="000724BF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>научное учреждение</w:t>
            </w:r>
            <w:r w:rsidRPr="002C3A80">
              <w:rPr>
                <w:color w:val="000000" w:themeColor="text1"/>
              </w:rPr>
              <w:t xml:space="preserve"> </w:t>
            </w:r>
            <w:r w:rsidRPr="002C3A80">
              <w:rPr>
                <w:i/>
                <w:color w:val="000000" w:themeColor="text1"/>
              </w:rPr>
              <w:t xml:space="preserve">«Северо-Кавказский </w:t>
            </w:r>
          </w:p>
          <w:p w:rsidR="000724BF" w:rsidRPr="002C3A80" w:rsidRDefault="000724BF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 xml:space="preserve">федеральный научный центр садоводства, </w:t>
            </w:r>
          </w:p>
          <w:p w:rsidR="000724BF" w:rsidRPr="002C3A80" w:rsidRDefault="000724BF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 xml:space="preserve">виноградарства, виноделия», </w:t>
            </w:r>
          </w:p>
          <w:p w:rsidR="000724BF" w:rsidRPr="002C3A80" w:rsidRDefault="000724BF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>Краснодар Россия,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>Шичиях Рустем Адамович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 xml:space="preserve">канд. </w:t>
            </w:r>
            <w:proofErr w:type="spellStart"/>
            <w:r w:rsidRPr="002C3A80">
              <w:rPr>
                <w:color w:val="000000" w:themeColor="text1"/>
              </w:rPr>
              <w:t>экон</w:t>
            </w:r>
            <w:proofErr w:type="spellEnd"/>
            <w:r w:rsidRPr="002C3A80">
              <w:rPr>
                <w:color w:val="000000" w:themeColor="text1"/>
              </w:rPr>
              <w:t>. наук,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</w:rPr>
            </w:pPr>
            <w:r w:rsidRPr="002C3A80">
              <w:rPr>
                <w:color w:val="000000" w:themeColor="text1"/>
              </w:rPr>
              <w:t>доцент кафедры менеджмента</w:t>
            </w:r>
          </w:p>
          <w:p w:rsidR="007C7361" w:rsidRPr="002C3A80" w:rsidRDefault="007C7361" w:rsidP="002C3A80">
            <w:pPr>
              <w:widowControl w:val="0"/>
              <w:rPr>
                <w:rStyle w:val="hps"/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 xml:space="preserve">SPIN-code: </w:t>
            </w:r>
            <w:r w:rsidR="00BA4A18" w:rsidRPr="002C3A80">
              <w:rPr>
                <w:color w:val="000000" w:themeColor="text1"/>
                <w:lang w:val="en-US"/>
              </w:rPr>
              <w:t>3243-1971</w:t>
            </w:r>
          </w:p>
          <w:p w:rsidR="000724BF" w:rsidRPr="002C3A80" w:rsidRDefault="007C7361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lang w:val="en-US"/>
              </w:rPr>
              <w:t xml:space="preserve">Scopus Author ID: </w:t>
            </w:r>
            <w:r w:rsidR="00BA4A18" w:rsidRPr="002C3A80">
              <w:rPr>
                <w:color w:val="000000" w:themeColor="text1"/>
                <w:lang w:val="en-US"/>
              </w:rPr>
              <w:t>57094051900</w:t>
            </w:r>
          </w:p>
          <w:p w:rsidR="000724BF" w:rsidRPr="001F3106" w:rsidRDefault="007C7361" w:rsidP="002C3A80">
            <w:pPr>
              <w:widowControl w:val="0"/>
              <w:rPr>
                <w:i/>
                <w:color w:val="000000" w:themeColor="text1"/>
              </w:rPr>
            </w:pPr>
            <w:r w:rsidRPr="002C3A80">
              <w:rPr>
                <w:i/>
                <w:color w:val="000000" w:themeColor="text1"/>
              </w:rPr>
              <w:t>Федеральное государственное бюджетное образовательное учреждение высшего образования «Кубанский государственный аграрный университет им. И.Т. Трубилина»</w:t>
            </w:r>
            <w:r w:rsidR="001F3106">
              <w:rPr>
                <w:i/>
                <w:color w:val="000000" w:themeColor="text1"/>
                <w:lang w:val="en-US"/>
              </w:rPr>
              <w:t xml:space="preserve">, </w:t>
            </w:r>
            <w:r w:rsidR="001F3106">
              <w:rPr>
                <w:i/>
                <w:color w:val="000000" w:themeColor="text1"/>
              </w:rPr>
              <w:t>Краснодар, Россия</w:t>
            </w:r>
          </w:p>
          <w:p w:rsidR="007C7361" w:rsidRPr="002C3A80" w:rsidRDefault="007C7361" w:rsidP="002C3A80">
            <w:pPr>
              <w:widowControl w:val="0"/>
              <w:rPr>
                <w:i/>
                <w:color w:val="000000" w:themeColor="text1"/>
              </w:rPr>
            </w:pPr>
          </w:p>
          <w:p w:rsidR="000724BF" w:rsidRPr="002C3A80" w:rsidRDefault="00AC2B85" w:rsidP="002C3A80">
            <w:pPr>
              <w:widowControl w:val="0"/>
            </w:pPr>
            <w:r w:rsidRPr="002C3A80">
              <w:t xml:space="preserve">Дана интегральная оценка ресурсоёмкости производственно-технологических процессов в промышленном плодоводстве. Обоснованы пределы устойчивости плодовых </w:t>
            </w:r>
            <w:proofErr w:type="spellStart"/>
            <w:r w:rsidRPr="002C3A80">
              <w:t>агроценозов</w:t>
            </w:r>
            <w:proofErr w:type="spellEnd"/>
            <w:r w:rsidRPr="002C3A80">
              <w:t xml:space="preserve"> при техногенных воздействиях. Установлены регрессионные зависимости по технологическим процессам в разрезе отдельных видов используемых ресурсов: капитальные (</w:t>
            </w:r>
            <w:proofErr w:type="spellStart"/>
            <w:r w:rsidRPr="002C3A80">
              <w:t>амортизациоемкость</w:t>
            </w:r>
            <w:proofErr w:type="spellEnd"/>
            <w:r w:rsidRPr="002C3A80">
              <w:t>), оборотные (материалоемкость и коэффициент закрепления) и трудовые (</w:t>
            </w:r>
            <w:proofErr w:type="spellStart"/>
            <w:r w:rsidRPr="002C3A80">
              <w:t>зарплатоемкость</w:t>
            </w:r>
            <w:proofErr w:type="spellEnd"/>
            <w:r w:rsidRPr="002C3A80">
              <w:t>). Обоснованы оптимальные параметры ресурсоемкости производственно-технологических процессов в промышленном плодоводстве</w:t>
            </w:r>
          </w:p>
          <w:p w:rsidR="00AC2B85" w:rsidRPr="002C3A80" w:rsidRDefault="00AC2B85" w:rsidP="002C3A80">
            <w:pPr>
              <w:widowControl w:val="0"/>
              <w:rPr>
                <w:color w:val="000000" w:themeColor="text1"/>
              </w:rPr>
            </w:pPr>
          </w:p>
          <w:p w:rsidR="000724BF" w:rsidRDefault="000724BF" w:rsidP="002C3A80">
            <w:pPr>
              <w:widowControl w:val="0"/>
              <w:suppressAutoHyphens/>
              <w:rPr>
                <w:caps/>
                <w:color w:val="000000" w:themeColor="text1"/>
              </w:rPr>
            </w:pPr>
            <w:r w:rsidRPr="002C3A80">
              <w:rPr>
                <w:color w:val="000000" w:themeColor="text1"/>
              </w:rPr>
              <w:t xml:space="preserve">Ключевые слова: </w:t>
            </w:r>
            <w:r w:rsidR="00AC2B85" w:rsidRPr="002C3A80">
              <w:rPr>
                <w:caps/>
                <w:color w:val="000000" w:themeColor="text1"/>
              </w:rPr>
              <w:t>ресурсоемкость, агроценоз, промышленное плодоводства, техногенные воздействия, пределы, параметры</w:t>
            </w:r>
          </w:p>
          <w:p w:rsidR="00EC2AFA" w:rsidRDefault="00EC2AFA" w:rsidP="002C3A80">
            <w:pPr>
              <w:widowControl w:val="0"/>
              <w:suppressAutoHyphens/>
              <w:rPr>
                <w:b/>
                <w:caps/>
                <w:color w:val="000000" w:themeColor="text1"/>
              </w:rPr>
            </w:pPr>
          </w:p>
          <w:p w:rsidR="00EC2AFA" w:rsidRPr="00EC2AFA" w:rsidRDefault="00EC2AFA" w:rsidP="002C3A80">
            <w:pPr>
              <w:widowControl w:val="0"/>
              <w:suppressAutoHyphens/>
              <w:rPr>
                <w:b/>
                <w:color w:val="000000" w:themeColor="text1"/>
                <w:lang w:val="en-US"/>
              </w:rPr>
            </w:pPr>
            <w:r>
              <w:rPr>
                <w:lang w:val="en-US"/>
              </w:rPr>
              <w:t xml:space="preserve">DOI: </w:t>
            </w:r>
            <w:hyperlink r:id="rId8" w:history="1">
              <w:r w:rsidRPr="004A7F76">
                <w:rPr>
                  <w:rStyle w:val="Hyperlink"/>
                  <w:lang w:val="en-US"/>
                </w:rPr>
                <w:t>http://dx.doi.org/10.21515/1990-4665-152-019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:rsidR="000724BF" w:rsidRDefault="000724BF" w:rsidP="002C3A80">
            <w:pPr>
              <w:pStyle w:val="Title"/>
              <w:widowControl w:val="0"/>
              <w:jc w:val="left"/>
              <w:rPr>
                <w:rStyle w:val="Hyperlink"/>
                <w:color w:val="000000" w:themeColor="text1"/>
                <w:sz w:val="20"/>
                <w:szCs w:val="20"/>
                <w:u w:val="none"/>
                <w:lang w:val="en-US"/>
              </w:rPr>
            </w:pPr>
            <w:r w:rsidRPr="001F3106">
              <w:rPr>
                <w:color w:val="000000" w:themeColor="text1"/>
                <w:sz w:val="20"/>
                <w:szCs w:val="20"/>
                <w:lang w:val="en-US"/>
              </w:rPr>
              <w:t xml:space="preserve">UDC </w:t>
            </w:r>
            <w:r w:rsidRPr="001F3106">
              <w:rPr>
                <w:rStyle w:val="Hyperlink"/>
                <w:color w:val="000000" w:themeColor="text1"/>
                <w:sz w:val="20"/>
                <w:szCs w:val="20"/>
                <w:u w:val="none"/>
                <w:lang w:val="en-US"/>
              </w:rPr>
              <w:t>634.1:631.54:338.43</w:t>
            </w:r>
          </w:p>
          <w:p w:rsidR="001F3106" w:rsidRPr="001F3106" w:rsidRDefault="001F3106" w:rsidP="002C3A80">
            <w:pPr>
              <w:pStyle w:val="Title"/>
              <w:widowControl w:val="0"/>
              <w:jc w:val="left"/>
              <w:rPr>
                <w:caps/>
                <w:color w:val="000000" w:themeColor="text1"/>
                <w:sz w:val="20"/>
                <w:szCs w:val="20"/>
                <w:lang w:val="en-US"/>
              </w:rPr>
            </w:pP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General agriculture and crop product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</w:p>
          <w:p w:rsidR="000724BF" w:rsidRPr="002C3A80" w:rsidRDefault="000724BF" w:rsidP="002C3A80">
            <w:pPr>
              <w:widowControl w:val="0"/>
              <w:rPr>
                <w:b/>
                <w:lang w:val="en-US"/>
              </w:rPr>
            </w:pPr>
            <w:r w:rsidRPr="002C3A80">
              <w:rPr>
                <w:b/>
                <w:lang w:val="en-US"/>
              </w:rPr>
              <w:t>JUSTIFICATION OF THE OPTIMAL PARAMETERS OF THE RESOURCE CAPACITY OF INDUSTRIAL AND TECHNOLOGICAL PROCESSES IN INDUSTRIAL FRUIT AND THE LIMITS OF STABILITY OF AGRICENE IN TECHNOLOGICAL EXPOSURE</w:t>
            </w:r>
          </w:p>
          <w:p w:rsidR="000724BF" w:rsidRPr="002C3A80" w:rsidRDefault="000724BF" w:rsidP="002C3A80">
            <w:pPr>
              <w:widowControl w:val="0"/>
              <w:rPr>
                <w:b/>
                <w:color w:val="000000" w:themeColor="text1"/>
                <w:lang w:val="en-US"/>
              </w:rPr>
            </w:pP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proofErr w:type="spellStart"/>
            <w:r w:rsidRPr="002C3A80">
              <w:rPr>
                <w:color w:val="000000" w:themeColor="text1"/>
                <w:lang w:val="en-US"/>
              </w:rPr>
              <w:t>Shadrina</w:t>
            </w:r>
            <w:proofErr w:type="spellEnd"/>
            <w:r w:rsidRPr="002C3A80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2C3A80">
              <w:rPr>
                <w:color w:val="000000" w:themeColor="text1"/>
                <w:lang w:val="en-US"/>
              </w:rPr>
              <w:t>Zhanna</w:t>
            </w:r>
            <w:proofErr w:type="spellEnd"/>
            <w:r w:rsidRPr="002C3A80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2C3A80">
              <w:rPr>
                <w:color w:val="000000" w:themeColor="text1"/>
                <w:lang w:val="en-US"/>
              </w:rPr>
              <w:t>Aleksandrovna</w:t>
            </w:r>
            <w:proofErr w:type="spellEnd"/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Doctor of Economics, Docent,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lang w:val="en-US"/>
              </w:rPr>
              <w:t>Head of the Laboratory of Economics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SPIN-code: 6370-7329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Scopus Author ID: 57200413990</w:t>
            </w:r>
          </w:p>
          <w:p w:rsidR="000724BF" w:rsidRPr="002C3A80" w:rsidRDefault="000724BF" w:rsidP="002C3A80">
            <w:pPr>
              <w:widowControl w:val="0"/>
              <w:contextualSpacing/>
              <w:rPr>
                <w:i/>
                <w:lang w:val="en-US"/>
              </w:rPr>
            </w:pPr>
            <w:r w:rsidRPr="002C3A80">
              <w:rPr>
                <w:i/>
                <w:color w:val="000000" w:themeColor="text1"/>
                <w:lang w:val="en-US"/>
              </w:rPr>
              <w:t xml:space="preserve">Federal State Budget Scientific Institution </w:t>
            </w:r>
          </w:p>
          <w:p w:rsidR="000724BF" w:rsidRPr="002C3A80" w:rsidRDefault="000724BF" w:rsidP="002C3A80">
            <w:pPr>
              <w:widowControl w:val="0"/>
              <w:contextualSpacing/>
              <w:rPr>
                <w:i/>
                <w:color w:val="000000" w:themeColor="text1"/>
                <w:lang w:val="en-US"/>
              </w:rPr>
            </w:pPr>
            <w:r w:rsidRPr="002C3A80">
              <w:rPr>
                <w:i/>
                <w:color w:val="000000" w:themeColor="text1"/>
                <w:lang w:val="en-US"/>
              </w:rPr>
              <w:t xml:space="preserve">«North Caucasian Federal Scientific Center </w:t>
            </w:r>
          </w:p>
          <w:p w:rsidR="000724BF" w:rsidRPr="002C3A80" w:rsidRDefault="000724BF" w:rsidP="002C3A80">
            <w:pPr>
              <w:widowControl w:val="0"/>
              <w:contextualSpacing/>
              <w:rPr>
                <w:i/>
                <w:iCs/>
                <w:color w:val="000000" w:themeColor="text1"/>
                <w:lang w:val="en-US"/>
              </w:rPr>
            </w:pPr>
            <w:r w:rsidRPr="002C3A80">
              <w:rPr>
                <w:i/>
                <w:color w:val="000000" w:themeColor="text1"/>
                <w:lang w:val="en-US"/>
              </w:rPr>
              <w:t>of Horticulture, Viticulture, Wine-making»,</w:t>
            </w:r>
            <w:r w:rsidRPr="002C3A80">
              <w:rPr>
                <w:i/>
                <w:iCs/>
                <w:color w:val="000000" w:themeColor="text1"/>
                <w:lang w:val="en-US"/>
              </w:rPr>
              <w:t xml:space="preserve"> </w:t>
            </w:r>
          </w:p>
          <w:p w:rsidR="000724BF" w:rsidRPr="002C3A80" w:rsidRDefault="000724BF" w:rsidP="002C3A80">
            <w:pPr>
              <w:widowControl w:val="0"/>
              <w:contextualSpacing/>
              <w:rPr>
                <w:i/>
                <w:iCs/>
                <w:caps/>
                <w:color w:val="000000" w:themeColor="text1"/>
                <w:lang w:val="en-US"/>
              </w:rPr>
            </w:pPr>
            <w:r w:rsidRPr="002C3A80">
              <w:rPr>
                <w:i/>
                <w:iCs/>
                <w:color w:val="000000" w:themeColor="text1"/>
                <w:lang w:val="en-US"/>
              </w:rPr>
              <w:t>Krasnodar, Russia</w:t>
            </w:r>
            <w:r w:rsidRPr="002C3A80">
              <w:rPr>
                <w:i/>
                <w:iCs/>
                <w:caps/>
                <w:color w:val="000000" w:themeColor="text1"/>
                <w:lang w:val="en-US"/>
              </w:rPr>
              <w:t xml:space="preserve"> </w:t>
            </w:r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</w:p>
          <w:p w:rsidR="007C7361" w:rsidRPr="002C3A80" w:rsidRDefault="007C7361" w:rsidP="002C3A80">
            <w:pPr>
              <w:widowControl w:val="0"/>
              <w:rPr>
                <w:color w:val="000000" w:themeColor="text1"/>
                <w:lang w:val="en-US"/>
              </w:rPr>
            </w:pPr>
          </w:p>
          <w:p w:rsidR="000724BF" w:rsidRPr="002C3A80" w:rsidRDefault="007C7361" w:rsidP="002C3A80">
            <w:pPr>
              <w:widowControl w:val="0"/>
              <w:rPr>
                <w:color w:val="000000" w:themeColor="text1"/>
                <w:lang w:val="en-US"/>
              </w:rPr>
            </w:pPr>
            <w:proofErr w:type="spellStart"/>
            <w:r w:rsidRPr="002C3A80">
              <w:rPr>
                <w:color w:val="000000" w:themeColor="text1"/>
                <w:lang w:val="en-US"/>
              </w:rPr>
              <w:t>Shichiyakh</w:t>
            </w:r>
            <w:proofErr w:type="spellEnd"/>
            <w:r w:rsidRPr="002C3A80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2C3A80">
              <w:rPr>
                <w:color w:val="000000" w:themeColor="text1"/>
                <w:lang w:val="en-US"/>
              </w:rPr>
              <w:t>Rust</w:t>
            </w:r>
            <w:r w:rsidR="00BA4A18" w:rsidRPr="002C3A80">
              <w:rPr>
                <w:color w:val="000000" w:themeColor="text1"/>
                <w:lang w:val="en-US"/>
              </w:rPr>
              <w:t>e</w:t>
            </w:r>
            <w:r w:rsidRPr="002C3A80">
              <w:rPr>
                <w:color w:val="000000" w:themeColor="text1"/>
                <w:lang w:val="en-US"/>
              </w:rPr>
              <w:t>m</w:t>
            </w:r>
            <w:proofErr w:type="spellEnd"/>
            <w:r w:rsidRPr="002C3A80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2C3A80">
              <w:rPr>
                <w:color w:val="000000" w:themeColor="text1"/>
                <w:lang w:val="en-US"/>
              </w:rPr>
              <w:t>Adamovich</w:t>
            </w:r>
            <w:proofErr w:type="spellEnd"/>
          </w:p>
          <w:p w:rsidR="000724BF" w:rsidRPr="002C3A80" w:rsidRDefault="000724BF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Candidate of Economics</w:t>
            </w:r>
            <w:r w:rsidR="00BA4A18" w:rsidRPr="002C3A80">
              <w:rPr>
                <w:color w:val="000000" w:themeColor="text1"/>
                <w:lang w:val="en-US"/>
              </w:rPr>
              <w:t xml:space="preserve"> science </w:t>
            </w:r>
          </w:p>
          <w:p w:rsidR="007C7361" w:rsidRPr="002C3A80" w:rsidRDefault="007C7361" w:rsidP="002C3A80">
            <w:pPr>
              <w:widowControl w:val="0"/>
              <w:rPr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>Associate Professor of Management</w:t>
            </w:r>
          </w:p>
          <w:p w:rsidR="000724BF" w:rsidRPr="002C3A80" w:rsidRDefault="000724BF" w:rsidP="002C3A80">
            <w:pPr>
              <w:widowControl w:val="0"/>
              <w:rPr>
                <w:rStyle w:val="hps"/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 xml:space="preserve">SPIN-code: </w:t>
            </w:r>
            <w:r w:rsidR="00BA4A18" w:rsidRPr="002C3A80">
              <w:rPr>
                <w:color w:val="000000" w:themeColor="text1"/>
                <w:lang w:val="en-US"/>
              </w:rPr>
              <w:t>3243-1971</w:t>
            </w:r>
          </w:p>
          <w:p w:rsidR="000724BF" w:rsidRPr="002C3A80" w:rsidRDefault="000724BF" w:rsidP="002C3A80">
            <w:pPr>
              <w:widowControl w:val="0"/>
              <w:rPr>
                <w:rStyle w:val="hps"/>
                <w:color w:val="000000" w:themeColor="text1"/>
                <w:lang w:val="en-US"/>
              </w:rPr>
            </w:pPr>
            <w:r w:rsidRPr="002C3A80">
              <w:rPr>
                <w:lang w:val="en-US"/>
              </w:rPr>
              <w:t xml:space="preserve">Scopus Author ID: </w:t>
            </w:r>
            <w:r w:rsidR="00BA4A18" w:rsidRPr="002C3A80">
              <w:rPr>
                <w:color w:val="000000" w:themeColor="text1"/>
                <w:lang w:val="en-US"/>
              </w:rPr>
              <w:t>57094051900</w:t>
            </w:r>
          </w:p>
          <w:p w:rsidR="000724BF" w:rsidRPr="002C3A80" w:rsidRDefault="007C7361" w:rsidP="002C3A80">
            <w:pPr>
              <w:widowControl w:val="0"/>
              <w:rPr>
                <w:i/>
                <w:color w:val="000000" w:themeColor="text1"/>
                <w:lang w:val="en-US"/>
              </w:rPr>
            </w:pPr>
            <w:r w:rsidRPr="002C3A80">
              <w:rPr>
                <w:i/>
                <w:color w:val="000000" w:themeColor="text1"/>
                <w:lang w:val="en-US"/>
              </w:rPr>
              <w:t>Federal State-funded Educational Institution of Higher Professional Education Kuban State Agrarian University</w:t>
            </w:r>
            <w:r w:rsidR="001F3106" w:rsidRPr="001F3106">
              <w:rPr>
                <w:i/>
                <w:color w:val="000000" w:themeColor="text1"/>
                <w:lang w:val="en-US"/>
              </w:rPr>
              <w:t xml:space="preserve"> </w:t>
            </w:r>
            <w:r w:rsidR="001F3106">
              <w:rPr>
                <w:i/>
                <w:color w:val="000000" w:themeColor="text1"/>
                <w:lang w:val="en-US"/>
              </w:rPr>
              <w:t xml:space="preserve">named after </w:t>
            </w:r>
            <w:proofErr w:type="spellStart"/>
            <w:r w:rsidR="001F3106">
              <w:rPr>
                <w:i/>
                <w:color w:val="000000" w:themeColor="text1"/>
                <w:lang w:val="en-US"/>
              </w:rPr>
              <w:t>I.T.Trubilin</w:t>
            </w:r>
            <w:proofErr w:type="spellEnd"/>
            <w:r w:rsidR="001F3106">
              <w:rPr>
                <w:i/>
                <w:color w:val="000000" w:themeColor="text1"/>
                <w:lang w:val="en-US"/>
              </w:rPr>
              <w:t>, Krasnodar, Russia</w:t>
            </w:r>
          </w:p>
          <w:p w:rsidR="000724BF" w:rsidRPr="002C3A80" w:rsidRDefault="000724BF" w:rsidP="002C3A80">
            <w:pPr>
              <w:widowControl w:val="0"/>
              <w:contextualSpacing/>
              <w:rPr>
                <w:i/>
                <w:iCs/>
                <w:caps/>
                <w:color w:val="000000" w:themeColor="text1"/>
                <w:lang w:val="en-US"/>
              </w:rPr>
            </w:pPr>
          </w:p>
          <w:p w:rsidR="00AC2B85" w:rsidRPr="002C3A80" w:rsidRDefault="00AC2B85" w:rsidP="002C3A80">
            <w:pPr>
              <w:widowControl w:val="0"/>
              <w:contextualSpacing/>
              <w:rPr>
                <w:i/>
                <w:iCs/>
                <w:caps/>
                <w:color w:val="000000" w:themeColor="text1"/>
                <w:lang w:val="en-US"/>
              </w:rPr>
            </w:pPr>
          </w:p>
          <w:p w:rsidR="000724BF" w:rsidRPr="002C3A80" w:rsidRDefault="00AC2B85" w:rsidP="002C3A80">
            <w:pPr>
              <w:widowControl w:val="0"/>
              <w:rPr>
                <w:lang w:val="en-US"/>
              </w:rPr>
            </w:pPr>
            <w:r w:rsidRPr="002C3A80">
              <w:rPr>
                <w:lang w:val="en-US"/>
              </w:rPr>
              <w:t xml:space="preserve">An integral assessment of the resource intensity of production and technological processes in industrial fruit growing is given. The limits of the stability of fruit </w:t>
            </w:r>
            <w:proofErr w:type="spellStart"/>
            <w:r w:rsidRPr="002C3A80">
              <w:rPr>
                <w:lang w:val="en-US"/>
              </w:rPr>
              <w:t>agrocenoses</w:t>
            </w:r>
            <w:proofErr w:type="spellEnd"/>
            <w:r w:rsidRPr="002C3A80">
              <w:rPr>
                <w:lang w:val="en-US"/>
              </w:rPr>
              <w:t xml:space="preserve"> under technogenic impacts are substantiated. Regressive dependencies were established for technological processes in the context of certain types of resources used: capital (depreciation), working capital (consumption of materials and the coefficient of consolidation) and labor (wage intensity). The optimal parameters of resource-intensiveness of production and technological processes in industrial fruit growing are substantiated</w:t>
            </w:r>
          </w:p>
          <w:p w:rsidR="000724BF" w:rsidRDefault="000724BF" w:rsidP="002C3A80">
            <w:pPr>
              <w:widowControl w:val="0"/>
              <w:rPr>
                <w:b/>
                <w:color w:val="000000" w:themeColor="text1"/>
                <w:lang w:val="en-US"/>
              </w:rPr>
            </w:pPr>
          </w:p>
          <w:p w:rsidR="00CC31A6" w:rsidRPr="002C3A80" w:rsidRDefault="00CC31A6" w:rsidP="002C3A80">
            <w:pPr>
              <w:widowControl w:val="0"/>
              <w:rPr>
                <w:b/>
                <w:color w:val="000000" w:themeColor="text1"/>
                <w:lang w:val="en-US"/>
              </w:rPr>
            </w:pPr>
          </w:p>
          <w:p w:rsidR="00AC2B85" w:rsidRPr="002C3A80" w:rsidRDefault="00AC2B85" w:rsidP="002C3A80">
            <w:pPr>
              <w:widowControl w:val="0"/>
              <w:rPr>
                <w:b/>
                <w:color w:val="000000" w:themeColor="text1"/>
                <w:lang w:val="en-US"/>
              </w:rPr>
            </w:pPr>
          </w:p>
          <w:p w:rsidR="000724BF" w:rsidRPr="002C3A80" w:rsidRDefault="000724BF" w:rsidP="002C3A80">
            <w:pPr>
              <w:widowControl w:val="0"/>
              <w:suppressAutoHyphens/>
              <w:rPr>
                <w:b/>
                <w:color w:val="000000" w:themeColor="text1"/>
                <w:lang w:val="en-US"/>
              </w:rPr>
            </w:pPr>
            <w:r w:rsidRPr="002C3A80">
              <w:rPr>
                <w:color w:val="000000" w:themeColor="text1"/>
                <w:lang w:val="en-US"/>
              </w:rPr>
              <w:t xml:space="preserve">Keywords: </w:t>
            </w:r>
            <w:r w:rsidR="00AC2B85" w:rsidRPr="002C3A80">
              <w:rPr>
                <w:caps/>
                <w:color w:val="000000" w:themeColor="text1"/>
                <w:lang w:val="en-US"/>
              </w:rPr>
              <w:t>RESOURCE CAPACITY, AGROCENOSIS, INDUSTRIAL FRUIT, TECHNOLOGICAL INFLUENCE, LIMITS, PARAMETERS</w:t>
            </w:r>
          </w:p>
        </w:tc>
      </w:tr>
    </w:tbl>
    <w:p w:rsidR="00EC2AFA" w:rsidRPr="00EC2AFA" w:rsidRDefault="00EC2AFA" w:rsidP="00AC2B85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AC2B85" w:rsidRDefault="00AC2B85" w:rsidP="00AC2B85">
      <w:pPr>
        <w:spacing w:after="0" w:line="360" w:lineRule="auto"/>
        <w:ind w:firstLine="709"/>
        <w:jc w:val="both"/>
        <w:rPr>
          <w:rFonts w:ascii="inherit" w:eastAsia="Times New Roman" w:hAnsi="inherit" w:cs="Times New Roman"/>
          <w:color w:val="000000"/>
          <w:szCs w:val="28"/>
          <w:lang w:eastAsia="ru-RU"/>
        </w:rPr>
      </w:pPr>
      <w:r w:rsidRPr="00AC2B85">
        <w:rPr>
          <w:rFonts w:eastAsia="Times New Roman" w:cs="Times New Roman"/>
          <w:b/>
          <w:szCs w:val="28"/>
          <w:lang w:eastAsia="ru-RU"/>
        </w:rPr>
        <w:lastRenderedPageBreak/>
        <w:t>Введение.</w:t>
      </w:r>
      <w:r w:rsidRPr="00AC2B85">
        <w:rPr>
          <w:rFonts w:ascii="inherit" w:eastAsia="Times New Roman" w:hAnsi="inherit" w:cs="Times New Roman"/>
          <w:color w:val="000000"/>
          <w:szCs w:val="28"/>
          <w:lang w:eastAsia="ru-RU"/>
        </w:rPr>
        <w:t xml:space="preserve"> Устойчивость функционирования </w:t>
      </w:r>
      <w:proofErr w:type="spellStart"/>
      <w:r w:rsidRPr="00AC2B85">
        <w:rPr>
          <w:rFonts w:ascii="inherit" w:eastAsia="Times New Roman" w:hAnsi="inherit" w:cs="Times New Roman"/>
          <w:color w:val="000000"/>
          <w:szCs w:val="28"/>
          <w:lang w:eastAsia="ru-RU"/>
        </w:rPr>
        <w:t>агроценозов</w:t>
      </w:r>
      <w:proofErr w:type="spellEnd"/>
      <w:r w:rsidRPr="00AC2B85">
        <w:rPr>
          <w:rFonts w:ascii="inherit" w:eastAsia="Times New Roman" w:hAnsi="inherit" w:cs="Times New Roman"/>
          <w:color w:val="000000"/>
          <w:szCs w:val="28"/>
          <w:lang w:eastAsia="ru-RU"/>
        </w:rPr>
        <w:t xml:space="preserve"> с участием многолетних сельскохозяйственных культур в решающей степени определяется ресурсным потенциалом конкретных экологических зон, объективными возможностями применяемых технологий и новых технологических операций и регламентов, направленных на снижение энергетических, материальных и трудовых затрат при возделывании насаждений. </w:t>
      </w:r>
      <w:r>
        <w:rPr>
          <w:rFonts w:ascii="inherit" w:eastAsia="Times New Roman" w:hAnsi="inherit" w:cs="Times New Roman"/>
          <w:color w:val="000000"/>
          <w:szCs w:val="28"/>
          <w:lang w:eastAsia="ru-RU"/>
        </w:rPr>
        <w:t xml:space="preserve"> </w:t>
      </w:r>
    </w:p>
    <w:p w:rsidR="000724BF" w:rsidRPr="000724BF" w:rsidRDefault="000724BF" w:rsidP="00AC2B85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Оптимальный баланс используемых ресурсов, их воспроизводство в должной размерности и пропорциях составляет основу устойчивости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агроценоза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как способности его сохранять свою структуру и функциональные особенности при воздействиях факторов внешней и внутренней среды, которую необходимо рассматривать в системной взаимосвязи всех составляющих, то есть рассматривать равновесные, устойчивые состояния (динамический оптимум) для каждого элемента или компонента системы [</w:t>
      </w:r>
      <w:r w:rsidR="00590AB7">
        <w:rPr>
          <w:rFonts w:eastAsia="Times New Roman" w:cs="Times New Roman"/>
          <w:szCs w:val="28"/>
          <w:lang w:eastAsia="ru-RU"/>
        </w:rPr>
        <w:t>1</w:t>
      </w:r>
      <w:r w:rsidRPr="000724BF">
        <w:rPr>
          <w:rFonts w:eastAsia="Times New Roman" w:cs="Times New Roman"/>
          <w:szCs w:val="28"/>
          <w:lang w:eastAsia="ru-RU"/>
        </w:rPr>
        <w:t>].</w:t>
      </w:r>
    </w:p>
    <w:p w:rsidR="00AC2B85" w:rsidRPr="00AC2B85" w:rsidRDefault="00AC2B85" w:rsidP="00AC2B85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713B0A">
        <w:rPr>
          <w:b/>
          <w:szCs w:val="28"/>
        </w:rPr>
        <w:t>Целью</w:t>
      </w:r>
      <w:r w:rsidRPr="00713B0A">
        <w:rPr>
          <w:szCs w:val="28"/>
        </w:rPr>
        <w:t xml:space="preserve"> </w:t>
      </w:r>
      <w:r w:rsidRPr="00AC2B85">
        <w:rPr>
          <w:szCs w:val="28"/>
        </w:rPr>
        <w:t xml:space="preserve">данной работы являлось обоснование оптимальных параметров ресурсоёмкости производственно-технологических процессов в промышленном плодоводстве и определение пределов устойчивости </w:t>
      </w:r>
      <w:proofErr w:type="spellStart"/>
      <w:r w:rsidRPr="00AC2B85">
        <w:rPr>
          <w:szCs w:val="28"/>
        </w:rPr>
        <w:t>агроценозов</w:t>
      </w:r>
      <w:proofErr w:type="spellEnd"/>
      <w:r w:rsidRPr="00AC2B85">
        <w:rPr>
          <w:szCs w:val="28"/>
        </w:rPr>
        <w:t xml:space="preserve"> при техногенных воздействиях.</w:t>
      </w:r>
    </w:p>
    <w:p w:rsidR="00AC2B85" w:rsidRPr="00713B0A" w:rsidRDefault="00AC2B85" w:rsidP="00AC2B85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713B0A">
        <w:rPr>
          <w:b/>
          <w:szCs w:val="28"/>
        </w:rPr>
        <w:t xml:space="preserve">Методика исследования. </w:t>
      </w:r>
      <w:r w:rsidRPr="00713B0A">
        <w:rPr>
          <w:szCs w:val="28"/>
        </w:rPr>
        <w:t>При</w:t>
      </w:r>
      <w:r w:rsidRPr="00713B0A">
        <w:rPr>
          <w:b/>
          <w:szCs w:val="28"/>
        </w:rPr>
        <w:t xml:space="preserve"> </w:t>
      </w:r>
      <w:r w:rsidRPr="00713B0A">
        <w:rPr>
          <w:szCs w:val="28"/>
        </w:rPr>
        <w:t>выполнении исследований использовались методы системного анализа, экономико-статистические методы, а также методы факторного анализа.</w:t>
      </w:r>
    </w:p>
    <w:p w:rsidR="000724BF" w:rsidRPr="000724BF" w:rsidRDefault="00AC2B85" w:rsidP="00AC2B85">
      <w:pPr>
        <w:spacing w:after="0" w:line="360" w:lineRule="auto"/>
        <w:ind w:firstLine="709"/>
        <w:jc w:val="both"/>
        <w:rPr>
          <w:rFonts w:eastAsia="Times New Roman" w:cs="Times New Roman"/>
          <w:spacing w:val="-4"/>
          <w:szCs w:val="28"/>
          <w:lang w:eastAsia="ru-RU"/>
        </w:rPr>
      </w:pPr>
      <w:r w:rsidRPr="00713B0A">
        <w:rPr>
          <w:b/>
          <w:szCs w:val="28"/>
        </w:rPr>
        <w:t>Результаты и обсуждение</w:t>
      </w:r>
      <w:r>
        <w:rPr>
          <w:b/>
          <w:szCs w:val="28"/>
        </w:rPr>
        <w:t>.</w:t>
      </w:r>
      <w:r w:rsidRPr="000724BF">
        <w:rPr>
          <w:rFonts w:eastAsia="Times New Roman" w:cs="Times New Roman"/>
          <w:szCs w:val="28"/>
          <w:lang w:eastAsia="ru-RU"/>
        </w:rPr>
        <w:t xml:space="preserve"> </w:t>
      </w:r>
      <w:r w:rsidR="000724BF" w:rsidRPr="000724BF">
        <w:rPr>
          <w:rFonts w:eastAsia="Times New Roman" w:cs="Times New Roman"/>
          <w:szCs w:val="28"/>
          <w:lang w:eastAsia="ru-RU"/>
        </w:rPr>
        <w:t>Материально-вещественные изменения в системах с популяционным типом управления: порог минимума – 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 xml:space="preserve">-6 </w:t>
      </w:r>
      <w:r w:rsidR="000724BF" w:rsidRPr="000724BF">
        <w:rPr>
          <w:rFonts w:eastAsia="Times New Roman" w:cs="Times New Roman"/>
          <w:szCs w:val="28"/>
          <w:lang w:eastAsia="ru-RU"/>
        </w:rPr>
        <w:t>-10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 xml:space="preserve">-8 </w:t>
      </w:r>
      <w:r w:rsidR="000724BF" w:rsidRPr="000724BF">
        <w:rPr>
          <w:rFonts w:eastAsia="Times New Roman" w:cs="Times New Roman"/>
          <w:szCs w:val="28"/>
          <w:lang w:eastAsia="ru-RU"/>
        </w:rPr>
        <w:t xml:space="preserve">раз от нормы; порог выхода из стационарного состояния (устойчивых колебаний без угрозы деструкции) – в среднем 10 % от нормы (правило 10 %); порог постепенной деструкции находится в среднем свыше 10% от нормы и до 10 % величины от среднего прироста популяции (потенциала </w:t>
      </w:r>
      <w:proofErr w:type="spellStart"/>
      <w:r w:rsidR="000724BF" w:rsidRPr="000724BF">
        <w:rPr>
          <w:rFonts w:eastAsia="Times New Roman" w:cs="Times New Roman"/>
          <w:szCs w:val="28"/>
          <w:lang w:eastAsia="ru-RU"/>
        </w:rPr>
        <w:t>самовозобновления</w:t>
      </w:r>
      <w:proofErr w:type="spellEnd"/>
      <w:r w:rsidR="000724BF" w:rsidRPr="000724BF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0724BF" w:rsidRPr="000724BF">
        <w:rPr>
          <w:rFonts w:eastAsia="Times New Roman" w:cs="Times New Roman"/>
          <w:szCs w:val="28"/>
          <w:lang w:eastAsia="ru-RU"/>
        </w:rPr>
        <w:t>саморегуляции</w:t>
      </w:r>
      <w:proofErr w:type="spellEnd"/>
      <w:r w:rsidR="000724BF" w:rsidRPr="000724BF">
        <w:rPr>
          <w:rFonts w:eastAsia="Times New Roman" w:cs="Times New Roman"/>
          <w:szCs w:val="28"/>
          <w:lang w:eastAsia="ru-RU"/>
        </w:rPr>
        <w:t xml:space="preserve">); порог катастрофического </w:t>
      </w:r>
      <w:proofErr w:type="spellStart"/>
      <w:r w:rsidR="000724BF" w:rsidRPr="000724BF">
        <w:rPr>
          <w:rFonts w:eastAsia="Times New Roman" w:cs="Times New Roman"/>
          <w:szCs w:val="28"/>
          <w:lang w:eastAsia="ru-RU"/>
        </w:rPr>
        <w:lastRenderedPageBreak/>
        <w:t>саморасширения</w:t>
      </w:r>
      <w:proofErr w:type="spellEnd"/>
      <w:r w:rsidR="000724BF" w:rsidRPr="000724BF">
        <w:rPr>
          <w:rFonts w:eastAsia="Times New Roman" w:cs="Times New Roman"/>
          <w:szCs w:val="28"/>
          <w:lang w:eastAsia="ru-RU"/>
        </w:rPr>
        <w:t xml:space="preserve"> или </w:t>
      </w:r>
      <w:proofErr w:type="spellStart"/>
      <w:r w:rsidR="000724BF" w:rsidRPr="000724BF">
        <w:rPr>
          <w:rFonts w:eastAsia="Times New Roman" w:cs="Times New Roman"/>
          <w:szCs w:val="28"/>
          <w:lang w:eastAsia="ru-RU"/>
        </w:rPr>
        <w:t>самосужения</w:t>
      </w:r>
      <w:proofErr w:type="spellEnd"/>
      <w:r w:rsidR="000724BF" w:rsidRPr="000724BF">
        <w:rPr>
          <w:rFonts w:eastAsia="Times New Roman" w:cs="Times New Roman"/>
          <w:szCs w:val="28"/>
          <w:lang w:eastAsia="ru-RU"/>
        </w:rPr>
        <w:t xml:space="preserve"> под влиянием внешних факторов равен 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>5</w:t>
      </w:r>
      <w:r w:rsidR="000724BF" w:rsidRPr="000724BF">
        <w:rPr>
          <w:rFonts w:eastAsia="Times New Roman" w:cs="Times New Roman"/>
          <w:szCs w:val="28"/>
          <w:lang w:eastAsia="ru-RU"/>
        </w:rPr>
        <w:t>-10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>6</w:t>
      </w:r>
      <w:r w:rsidR="000724BF" w:rsidRPr="000724BF">
        <w:rPr>
          <w:rFonts w:eastAsia="Times New Roman" w:cs="Times New Roman"/>
          <w:szCs w:val="28"/>
          <w:lang w:eastAsia="ru-RU"/>
        </w:rPr>
        <w:t>, очень редко – 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>7</w:t>
      </w:r>
      <w:r w:rsidR="000724BF" w:rsidRPr="000724BF">
        <w:rPr>
          <w:rFonts w:eastAsia="Times New Roman" w:cs="Times New Roman"/>
          <w:szCs w:val="28"/>
          <w:lang w:eastAsia="ru-RU"/>
        </w:rPr>
        <w:t>-10</w:t>
      </w:r>
      <w:r w:rsidR="000724BF" w:rsidRPr="000724BF">
        <w:rPr>
          <w:rFonts w:eastAsia="Times New Roman" w:cs="Times New Roman"/>
          <w:szCs w:val="28"/>
          <w:vertAlign w:val="superscript"/>
          <w:lang w:eastAsia="ru-RU"/>
        </w:rPr>
        <w:t>8</w:t>
      </w:r>
      <w:r w:rsidR="000724BF" w:rsidRPr="000724BF">
        <w:rPr>
          <w:rFonts w:eastAsia="Times New Roman" w:cs="Times New Roman"/>
          <w:szCs w:val="28"/>
          <w:lang w:eastAsia="ru-RU"/>
        </w:rPr>
        <w:t xml:space="preserve"> раз по сравнению со средним числом особей в популяции. </w:t>
      </w:r>
      <w:r w:rsidR="000724BF" w:rsidRPr="000724BF">
        <w:rPr>
          <w:rFonts w:eastAsia="Times New Roman" w:cs="Times New Roman"/>
          <w:spacing w:val="-4"/>
          <w:szCs w:val="28"/>
          <w:lang w:eastAsia="ru-RU"/>
        </w:rPr>
        <w:t xml:space="preserve">По остальным структурным компонентам </w:t>
      </w:r>
      <w:proofErr w:type="spellStart"/>
      <w:r w:rsidR="000724BF" w:rsidRPr="000724BF">
        <w:rPr>
          <w:rFonts w:eastAsia="Times New Roman" w:cs="Times New Roman"/>
          <w:spacing w:val="-4"/>
          <w:szCs w:val="28"/>
          <w:lang w:eastAsia="ru-RU"/>
        </w:rPr>
        <w:t>агроэкосистемы</w:t>
      </w:r>
      <w:proofErr w:type="spellEnd"/>
      <w:r w:rsidR="000724BF" w:rsidRPr="000724BF">
        <w:rPr>
          <w:rFonts w:eastAsia="Times New Roman" w:cs="Times New Roman"/>
          <w:spacing w:val="-4"/>
          <w:szCs w:val="28"/>
          <w:lang w:eastAsia="ru-RU"/>
        </w:rPr>
        <w:t xml:space="preserve"> пределы устойчивости составляют 0,38-0,62 от нормативных значений оценочных показателей</w:t>
      </w:r>
      <w:r w:rsidR="00590AB7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590AB7" w:rsidRPr="00590AB7">
        <w:rPr>
          <w:rFonts w:eastAsia="Times New Roman" w:cs="Times New Roman"/>
          <w:spacing w:val="-4"/>
          <w:szCs w:val="28"/>
          <w:lang w:eastAsia="ru-RU"/>
        </w:rPr>
        <w:t>[2]</w:t>
      </w:r>
      <w:r w:rsidR="000724BF" w:rsidRPr="000724BF">
        <w:rPr>
          <w:rFonts w:eastAsia="Times New Roman" w:cs="Times New Roman"/>
          <w:spacing w:val="-4"/>
          <w:szCs w:val="28"/>
          <w:lang w:eastAsia="ru-RU"/>
        </w:rPr>
        <w:t>.</w:t>
      </w:r>
    </w:p>
    <w:p w:rsidR="000724BF" w:rsidRPr="000724BF" w:rsidRDefault="000724BF" w:rsidP="001F3106">
      <w:pPr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Оптимум воспроизводственных возможностей и пределов устойчивости компонентов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агроэкосистемы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определяется в аналитических границах функциональных зависимостей биологического интервал</w:t>
      </w:r>
      <w:r w:rsidR="00590AB7">
        <w:rPr>
          <w:rFonts w:eastAsia="Times New Roman" w:cs="Times New Roman"/>
          <w:szCs w:val="28"/>
          <w:lang w:eastAsia="ru-RU"/>
        </w:rPr>
        <w:t>а выживаемости и гипотетической</w:t>
      </w:r>
      <w:r w:rsidRPr="000724BF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взаимосбалансированностью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прибыльности и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экологичности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производства</w:t>
      </w:r>
      <w:r w:rsidR="00590AB7" w:rsidRPr="00590AB7">
        <w:rPr>
          <w:rFonts w:eastAsia="Times New Roman" w:cs="Times New Roman"/>
          <w:szCs w:val="28"/>
          <w:lang w:eastAsia="ru-RU"/>
        </w:rPr>
        <w:t xml:space="preserve"> [3]</w:t>
      </w:r>
      <w:r w:rsidRPr="000724BF">
        <w:rPr>
          <w:rFonts w:eastAsia="Times New Roman" w:cs="Times New Roman"/>
          <w:szCs w:val="28"/>
          <w:lang w:eastAsia="ru-RU"/>
        </w:rPr>
        <w:t>.</w:t>
      </w:r>
    </w:p>
    <w:p w:rsidR="000724BF" w:rsidRPr="000724BF" w:rsidRDefault="000724BF" w:rsidP="001F3106">
      <w:pPr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Достижение оптимума воспроизводственных возможностей и пределов устойчивости компонентов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агроэкосистемы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в сопоставимости с уровнем техногенной нагрузки достигается посредством нормирования допустимых антропогенных нагрузок в отдельных структурных элементах </w:t>
      </w:r>
      <w:proofErr w:type="spellStart"/>
      <w:r w:rsidRPr="000724BF">
        <w:rPr>
          <w:rFonts w:eastAsia="Times New Roman" w:cs="Times New Roman"/>
          <w:szCs w:val="28"/>
          <w:lang w:eastAsia="ru-RU"/>
        </w:rPr>
        <w:t>агроэкосистемы</w:t>
      </w:r>
      <w:proofErr w:type="spellEnd"/>
      <w:r w:rsidRPr="000724BF">
        <w:rPr>
          <w:rFonts w:eastAsia="Times New Roman" w:cs="Times New Roman"/>
          <w:szCs w:val="28"/>
          <w:lang w:eastAsia="ru-RU"/>
        </w:rPr>
        <w:t xml:space="preserve"> и ресурсной сбалансированности организации элементов и процессов.</w:t>
      </w:r>
    </w:p>
    <w:p w:rsidR="000724BF" w:rsidRPr="001F3106" w:rsidRDefault="000724BF" w:rsidP="001F3106">
      <w:pPr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В целях оптимизации параметров ресурсоёмкости необходимо дать интегральную оценку ресурсоёмкости производственно-технологических процессов в промышленном плодоводстве (таблица </w:t>
      </w:r>
      <w:r w:rsidR="00590AB7">
        <w:rPr>
          <w:rFonts w:eastAsia="Times New Roman" w:cs="Times New Roman"/>
          <w:szCs w:val="28"/>
          <w:lang w:eastAsia="ru-RU"/>
        </w:rPr>
        <w:t>1</w:t>
      </w:r>
      <w:r w:rsidRPr="000724BF">
        <w:rPr>
          <w:rFonts w:eastAsia="Times New Roman" w:cs="Times New Roman"/>
          <w:szCs w:val="28"/>
          <w:lang w:eastAsia="ru-RU"/>
        </w:rPr>
        <w:t>).</w:t>
      </w:r>
    </w:p>
    <w:p w:rsidR="000724BF" w:rsidRPr="000724BF" w:rsidRDefault="000724BF" w:rsidP="000724BF">
      <w:pPr>
        <w:spacing w:after="0" w:line="360" w:lineRule="auto"/>
        <w:ind w:hanging="142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Таблица </w:t>
      </w:r>
      <w:r w:rsidR="00590AB7">
        <w:rPr>
          <w:rFonts w:eastAsia="Times New Roman" w:cs="Times New Roman"/>
          <w:szCs w:val="28"/>
          <w:lang w:eastAsia="ru-RU"/>
        </w:rPr>
        <w:t>1</w:t>
      </w:r>
      <w:r w:rsidRPr="000724BF">
        <w:rPr>
          <w:rFonts w:eastAsia="Times New Roman" w:cs="Times New Roman"/>
          <w:szCs w:val="28"/>
          <w:lang w:eastAsia="ru-RU"/>
        </w:rPr>
        <w:t xml:space="preserve"> – Оценка ресурсоемкости производственно-технологических процессов в промышленном плодоводстве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0"/>
        <w:gridCol w:w="972"/>
        <w:gridCol w:w="1083"/>
        <w:gridCol w:w="1023"/>
        <w:gridCol w:w="1194"/>
        <w:gridCol w:w="1313"/>
        <w:gridCol w:w="704"/>
        <w:gridCol w:w="1192"/>
      </w:tblGrid>
      <w:tr w:rsidR="000724BF" w:rsidRPr="001F3106" w:rsidTr="00A7609C">
        <w:tc>
          <w:tcPr>
            <w:tcW w:w="363" w:type="pct"/>
            <w:vMerge w:val="restar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Рентабельность производства, %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(у)</w:t>
            </w:r>
          </w:p>
        </w:tc>
        <w:tc>
          <w:tcPr>
            <w:tcW w:w="3386" w:type="pct"/>
            <w:gridSpan w:val="6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Интегральная оценка ресурсоёмкости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Интегральный показатель</w:t>
            </w:r>
          </w:p>
        </w:tc>
      </w:tr>
      <w:tr w:rsidR="000724BF" w:rsidRPr="001F3106" w:rsidTr="00A7609C">
        <w:tc>
          <w:tcPr>
            <w:tcW w:w="363" w:type="pct"/>
            <w:vMerge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6" w:type="pct"/>
            <w:gridSpan w:val="6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Технологические процессы</w:t>
            </w:r>
          </w:p>
        </w:tc>
        <w:tc>
          <w:tcPr>
            <w:tcW w:w="6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724BF" w:rsidRPr="001F3106" w:rsidTr="00A7609C">
        <w:tc>
          <w:tcPr>
            <w:tcW w:w="363" w:type="pct"/>
            <w:vMerge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подготовка почвы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1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разбивка участка, устройство опорно-шпалерной конструкции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2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закладка насаждений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3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уход за молодыми насаждениями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4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7" w:type="pct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уход за плодоносящими насаждениями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5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79" w:type="pct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уборка урожая</w:t>
            </w:r>
          </w:p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(х</w:t>
            </w:r>
            <w:r w:rsidRPr="001F3106">
              <w:rPr>
                <w:rFonts w:eastAsia="Times New Roman" w:cs="Times New Roman"/>
                <w:sz w:val="18"/>
                <w:szCs w:val="18"/>
                <w:vertAlign w:val="subscript"/>
                <w:lang w:eastAsia="ru-RU"/>
              </w:rPr>
              <w:t>6</w:t>
            </w: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0,654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0,239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0,966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0,664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0,674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0,242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0,672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2,898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0,235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0,663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2,894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0,237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0,665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0,971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0,674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0,241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0,677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2,899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0,667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2,244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0,662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0,908</w:t>
            </w:r>
          </w:p>
        </w:tc>
      </w:tr>
      <w:tr w:rsidR="000724BF" w:rsidRPr="001F3106" w:rsidTr="00A7609C">
        <w:tc>
          <w:tcPr>
            <w:tcW w:w="363" w:type="pct"/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2,127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0,242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0,965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4BF" w:rsidRPr="001F3106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4BF" w:rsidRPr="001F3106" w:rsidRDefault="000724BF" w:rsidP="000724B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F3106">
              <w:rPr>
                <w:rFonts w:eastAsia="Times New Roman" w:cs="Times New Roman"/>
                <w:sz w:val="18"/>
                <w:szCs w:val="18"/>
                <w:lang w:eastAsia="ru-RU"/>
              </w:rPr>
              <w:t>0,670</w:t>
            </w:r>
          </w:p>
        </w:tc>
      </w:tr>
    </w:tbl>
    <w:p w:rsidR="000724BF" w:rsidRPr="000724BF" w:rsidRDefault="000724BF" w:rsidP="000724BF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0724BF" w:rsidRPr="000724BF" w:rsidRDefault="000724BF" w:rsidP="00A7609C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lastRenderedPageBreak/>
        <w:t>Уравнение регрессии, полученное в результате проведенного анализа, показывающее степень влияния на рентабельность производства частных показателей ресурсоемкости, выглядит следующим образом:</w:t>
      </w:r>
    </w:p>
    <w:p w:rsidR="000724BF" w:rsidRPr="000724BF" w:rsidRDefault="002C43EA" w:rsidP="00A7609C">
      <w:pPr>
        <w:spacing w:after="0" w:line="276" w:lineRule="auto"/>
        <w:ind w:firstLine="709"/>
        <w:jc w:val="right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noProof/>
          <w:position w:val="-12"/>
          <w:szCs w:val="28"/>
          <w:lang w:eastAsia="ru-RU"/>
        </w:rPr>
        <w:object w:dxaOrig="5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alt="" style="width:345.9pt;height:21.9pt;mso-width-percent:0;mso-height-percent:0;mso-width-percent:0;mso-height-percent:0" o:ole="">
            <v:imagedata r:id="rId9" o:title=""/>
          </v:shape>
          <o:OLEObject Type="Embed" ProgID="Equation.3" ShapeID="_x0000_i1076" DrawAspect="Content" ObjectID="_1634972544" r:id="rId10"/>
        </w:object>
      </w:r>
      <w:r w:rsidR="000724BF" w:rsidRPr="000724BF">
        <w:rPr>
          <w:rFonts w:eastAsia="Times New Roman" w:cs="Times New Roman"/>
          <w:szCs w:val="28"/>
          <w:lang w:eastAsia="ru-RU"/>
        </w:rPr>
        <w:t>.</w:t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  <w:t>(1)</w:t>
      </w:r>
    </w:p>
    <w:p w:rsidR="000724BF" w:rsidRPr="000724BF" w:rsidRDefault="000724BF" w:rsidP="00A7609C">
      <w:pPr>
        <w:spacing w:after="0" w:line="276" w:lineRule="auto"/>
        <w:ind w:firstLine="709"/>
        <w:jc w:val="both"/>
        <w:rPr>
          <w:rFonts w:eastAsia="Times New Roman" w:cs="Times New Roman"/>
          <w:spacing w:val="-1"/>
          <w:szCs w:val="28"/>
          <w:lang w:eastAsia="ru-RU"/>
        </w:rPr>
      </w:pPr>
      <w:r w:rsidRPr="000724BF">
        <w:rPr>
          <w:rFonts w:eastAsia="Times New Roman" w:cs="Times New Roman"/>
          <w:spacing w:val="-1"/>
          <w:szCs w:val="28"/>
          <w:lang w:eastAsia="ru-RU"/>
        </w:rPr>
        <w:t>Смысл данной методики состоит в следующем, чем ближе значение показателя, полученного в результате оценки степени соответствия фактического распределения темпов роста частных показателей ресурсоемкости их распределению с учетом полезности затрат производственных ресурсов, к единице, тем выше эффективность развития экономического механизма ресурсосбережения с учетом предельной полезности затрат производственных ресурсов.</w:t>
      </w:r>
    </w:p>
    <w:p w:rsidR="000724BF" w:rsidRPr="000724BF" w:rsidRDefault="000724BF" w:rsidP="00A7609C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>Для оценки используются коэффициенты Спирмена и Кендалла:</w:t>
      </w:r>
    </w:p>
    <w:p w:rsidR="000724BF" w:rsidRPr="000724BF" w:rsidRDefault="002C43EA" w:rsidP="00A7609C">
      <w:pPr>
        <w:spacing w:after="0" w:line="276" w:lineRule="auto"/>
        <w:ind w:firstLine="709"/>
        <w:jc w:val="right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noProof/>
          <w:position w:val="-28"/>
          <w:szCs w:val="28"/>
          <w:lang w:eastAsia="ru-RU"/>
        </w:rPr>
        <w:object w:dxaOrig="1980" w:dyaOrig="999">
          <v:shape id="_x0000_i1075" type="#_x0000_t75" alt="" style="width:100.7pt;height:50.1pt;mso-width-percent:0;mso-height-percent:0;mso-width-percent:0;mso-height-percent:0" o:ole="">
            <v:imagedata r:id="rId11" o:title=""/>
          </v:shape>
          <o:OLEObject Type="Embed" ProgID="Equation.3" ShapeID="_x0000_i1075" DrawAspect="Content" ObjectID="_1634972545" r:id="rId12"/>
        </w:object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  <w:t>(</w:t>
      </w:r>
      <w:r w:rsidR="00590AB7" w:rsidRPr="00AE41CB">
        <w:rPr>
          <w:rFonts w:eastAsia="Times New Roman" w:cs="Times New Roman"/>
          <w:szCs w:val="28"/>
          <w:lang w:eastAsia="ru-RU"/>
        </w:rPr>
        <w:t>2</w:t>
      </w:r>
      <w:r w:rsidR="000724BF" w:rsidRPr="000724BF">
        <w:rPr>
          <w:rFonts w:eastAsia="Times New Roman" w:cs="Times New Roman"/>
          <w:szCs w:val="28"/>
          <w:lang w:eastAsia="ru-RU"/>
        </w:rPr>
        <w:t>)</w:t>
      </w:r>
    </w:p>
    <w:p w:rsidR="000724BF" w:rsidRPr="000724BF" w:rsidRDefault="000724BF" w:rsidP="00A7609C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где </w:t>
      </w:r>
      <w:r w:rsidRPr="000724BF">
        <w:rPr>
          <w:rFonts w:eastAsia="Times New Roman" w:cs="Times New Roman"/>
          <w:i/>
          <w:szCs w:val="28"/>
          <w:lang w:eastAsia="ru-RU"/>
        </w:rPr>
        <w:t>К</w:t>
      </w:r>
      <w:r w:rsidRPr="000724BF">
        <w:rPr>
          <w:rFonts w:eastAsia="Times New Roman" w:cs="Times New Roman"/>
          <w:i/>
          <w:szCs w:val="28"/>
          <w:vertAlign w:val="subscript"/>
          <w:lang w:val="en-US" w:eastAsia="ru-RU"/>
        </w:rPr>
        <w:t>sp</w:t>
      </w:r>
      <w:r w:rsidRPr="000724BF">
        <w:rPr>
          <w:rFonts w:eastAsia="Times New Roman" w:cs="Times New Roman"/>
          <w:szCs w:val="28"/>
          <w:lang w:eastAsia="ru-RU"/>
        </w:rPr>
        <w:t xml:space="preserve"> – коэффициент Спирмена;</w:t>
      </w:r>
    </w:p>
    <w:p w:rsidR="000724BF" w:rsidRPr="000724BF" w:rsidRDefault="000724BF" w:rsidP="00A7609C">
      <w:pPr>
        <w:spacing w:after="0" w:line="276" w:lineRule="auto"/>
        <w:ind w:left="1134" w:hanging="708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i/>
          <w:szCs w:val="28"/>
          <w:lang w:val="en-US" w:eastAsia="ru-RU"/>
        </w:rPr>
        <w:t>m</w:t>
      </w:r>
      <w:r w:rsidRPr="000724BF">
        <w:rPr>
          <w:rFonts w:eastAsia="Times New Roman" w:cs="Times New Roman"/>
          <w:szCs w:val="28"/>
          <w:lang w:eastAsia="ru-RU"/>
        </w:rPr>
        <w:t xml:space="preserve"> – общее количество показателей;</w:t>
      </w:r>
    </w:p>
    <w:p w:rsidR="000724BF" w:rsidRPr="000724BF" w:rsidRDefault="000724BF" w:rsidP="00A7609C">
      <w:pPr>
        <w:spacing w:after="0" w:line="276" w:lineRule="auto"/>
        <w:ind w:left="1134" w:hanging="708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i/>
          <w:szCs w:val="28"/>
          <w:lang w:val="en-US" w:eastAsia="ru-RU"/>
        </w:rPr>
        <w:t>D</w:t>
      </w:r>
      <w:r w:rsidRPr="000724BF">
        <w:rPr>
          <w:rFonts w:eastAsia="Times New Roman" w:cs="Times New Roman"/>
          <w:i/>
          <w:szCs w:val="28"/>
          <w:vertAlign w:val="subscript"/>
          <w:lang w:val="en-US" w:eastAsia="ru-RU"/>
        </w:rPr>
        <w:t>i</w:t>
      </w:r>
      <w:r w:rsidRPr="000724BF">
        <w:rPr>
          <w:rFonts w:eastAsia="Times New Roman" w:cs="Times New Roman"/>
          <w:szCs w:val="28"/>
          <w:lang w:eastAsia="ru-RU"/>
        </w:rPr>
        <w:t xml:space="preserve"> – разность между рангами.</w:t>
      </w:r>
    </w:p>
    <w:p w:rsidR="000724BF" w:rsidRPr="000724BF" w:rsidRDefault="002C43EA" w:rsidP="00A7609C">
      <w:pPr>
        <w:spacing w:after="0" w:line="276" w:lineRule="auto"/>
        <w:ind w:left="1134" w:hanging="708"/>
        <w:jc w:val="right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noProof/>
          <w:position w:val="-28"/>
          <w:szCs w:val="28"/>
          <w:lang w:eastAsia="ru-RU"/>
        </w:rPr>
        <w:object w:dxaOrig="2060" w:dyaOrig="999">
          <v:shape id="_x0000_i1074" type="#_x0000_t75" alt="" style="width:100.7pt;height:50.1pt;mso-width-percent:0;mso-height-percent:0;mso-width-percent:0;mso-height-percent:0" o:ole="">
            <v:imagedata r:id="rId13" o:title=""/>
          </v:shape>
          <o:OLEObject Type="Embed" ProgID="Equation.3" ShapeID="_x0000_i1074" DrawAspect="Content" ObjectID="_1634972546" r:id="rId14"/>
        </w:object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  <w:t>(</w:t>
      </w:r>
      <w:r w:rsidR="00590AB7" w:rsidRPr="00AE41CB">
        <w:rPr>
          <w:rFonts w:eastAsia="Times New Roman" w:cs="Times New Roman"/>
          <w:szCs w:val="28"/>
          <w:lang w:eastAsia="ru-RU"/>
        </w:rPr>
        <w:t>3</w:t>
      </w:r>
      <w:r w:rsidR="000724BF" w:rsidRPr="000724BF">
        <w:rPr>
          <w:rFonts w:eastAsia="Times New Roman" w:cs="Times New Roman"/>
          <w:szCs w:val="28"/>
          <w:lang w:eastAsia="ru-RU"/>
        </w:rPr>
        <w:t>)</w:t>
      </w:r>
    </w:p>
    <w:p w:rsidR="000724BF" w:rsidRPr="000724BF" w:rsidRDefault="000724BF" w:rsidP="00A7609C">
      <w:pPr>
        <w:spacing w:after="0" w:line="276" w:lineRule="auto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 w:val="24"/>
          <w:szCs w:val="24"/>
          <w:lang w:eastAsia="ru-RU"/>
        </w:rPr>
        <w:t xml:space="preserve">где </w:t>
      </w:r>
      <w:r w:rsidRPr="000724BF">
        <w:rPr>
          <w:rFonts w:eastAsia="Times New Roman" w:cs="Times New Roman"/>
          <w:i/>
          <w:szCs w:val="28"/>
          <w:lang w:eastAsia="ru-RU"/>
        </w:rPr>
        <w:t>К</w:t>
      </w:r>
      <w:r w:rsidRPr="000724BF">
        <w:rPr>
          <w:rFonts w:eastAsia="Times New Roman" w:cs="Times New Roman"/>
          <w:i/>
          <w:szCs w:val="28"/>
          <w:vertAlign w:val="subscript"/>
          <w:lang w:val="en-US" w:eastAsia="ru-RU"/>
        </w:rPr>
        <w:t>Ken</w:t>
      </w:r>
      <w:r w:rsidRPr="000724BF">
        <w:rPr>
          <w:rFonts w:eastAsia="Times New Roman" w:cs="Times New Roman"/>
          <w:szCs w:val="28"/>
          <w:lang w:eastAsia="ru-RU"/>
        </w:rPr>
        <w:t xml:space="preserve"> – коэффициент Кендалла;</w:t>
      </w:r>
    </w:p>
    <w:p w:rsidR="000724BF" w:rsidRPr="000724BF" w:rsidRDefault="000724BF" w:rsidP="00A7609C">
      <w:pPr>
        <w:spacing w:after="0" w:line="276" w:lineRule="auto"/>
        <w:ind w:left="426"/>
        <w:rPr>
          <w:rFonts w:eastAsia="Times New Roman" w:cs="Times New Roman"/>
          <w:sz w:val="24"/>
          <w:szCs w:val="24"/>
          <w:lang w:eastAsia="ru-RU"/>
        </w:rPr>
      </w:pPr>
      <w:r w:rsidRPr="000724BF">
        <w:rPr>
          <w:rFonts w:eastAsia="Times New Roman" w:cs="Times New Roman"/>
          <w:i/>
          <w:szCs w:val="28"/>
          <w:lang w:val="en-US" w:eastAsia="ru-RU"/>
        </w:rPr>
        <w:t>S</w:t>
      </w:r>
      <w:r w:rsidRPr="000724BF">
        <w:rPr>
          <w:rFonts w:eastAsia="Times New Roman" w:cs="Times New Roman"/>
          <w:i/>
          <w:szCs w:val="28"/>
          <w:vertAlign w:val="subscript"/>
          <w:lang w:val="en-US" w:eastAsia="ru-RU"/>
        </w:rPr>
        <w:t>i</w:t>
      </w:r>
      <w:r w:rsidRPr="000724BF">
        <w:rPr>
          <w:rFonts w:eastAsia="Times New Roman" w:cs="Times New Roman"/>
          <w:szCs w:val="28"/>
          <w:lang w:eastAsia="ru-RU"/>
        </w:rPr>
        <w:t xml:space="preserve"> – инверсия </w:t>
      </w:r>
      <w:r w:rsidRPr="000724BF">
        <w:rPr>
          <w:rFonts w:eastAsia="Times New Roman" w:cs="Times New Roman"/>
          <w:i/>
          <w:szCs w:val="28"/>
          <w:lang w:val="en-US" w:eastAsia="ru-RU"/>
        </w:rPr>
        <w:t>i</w:t>
      </w:r>
      <w:r w:rsidRPr="000724BF">
        <w:rPr>
          <w:rFonts w:eastAsia="Times New Roman" w:cs="Times New Roman"/>
          <w:szCs w:val="28"/>
          <w:lang w:eastAsia="ru-RU"/>
        </w:rPr>
        <w:t>-го показателя.</w:t>
      </w:r>
    </w:p>
    <w:p w:rsidR="000724BF" w:rsidRPr="000724BF" w:rsidRDefault="000724BF" w:rsidP="00A7609C">
      <w:pPr>
        <w:spacing w:after="0" w:line="276" w:lineRule="auto"/>
        <w:ind w:firstLine="709"/>
        <w:rPr>
          <w:rFonts w:eastAsia="Times New Roman" w:cs="Times New Roman"/>
          <w:szCs w:val="28"/>
          <w:lang w:eastAsia="ru-RU"/>
        </w:rPr>
      </w:pPr>
    </w:p>
    <w:p w:rsidR="000724BF" w:rsidRPr="000724BF" w:rsidRDefault="000724BF" w:rsidP="00A7609C">
      <w:pPr>
        <w:spacing w:after="0"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В результате проведенных расчетов коэффициент Спирмена составил 0,671, коэффициент Кэндалла 0,567. </w:t>
      </w:r>
    </w:p>
    <w:p w:rsidR="000724BF" w:rsidRPr="000724BF" w:rsidRDefault="000724BF" w:rsidP="00A7609C">
      <w:pPr>
        <w:spacing w:after="0" w:line="276" w:lineRule="auto"/>
        <w:ind w:firstLine="709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>Комплексный коэффициент эффективности экономического механизма ресурсосбережения рассчитывается при помощи формулы 11:</w:t>
      </w:r>
    </w:p>
    <w:p w:rsidR="000724BF" w:rsidRPr="000724BF" w:rsidRDefault="002C43EA" w:rsidP="00A7609C">
      <w:pPr>
        <w:spacing w:after="0" w:line="276" w:lineRule="auto"/>
        <w:ind w:firstLine="709"/>
        <w:jc w:val="right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noProof/>
          <w:position w:val="-24"/>
          <w:szCs w:val="28"/>
          <w:lang w:eastAsia="ru-RU"/>
        </w:rPr>
        <w:object w:dxaOrig="2600" w:dyaOrig="660">
          <v:shape id="_x0000_i1073" type="#_x0000_t75" alt="" style="width:2in;height:36pt;mso-width-percent:0;mso-height-percent:0;mso-width-percent:0;mso-height-percent:0" o:ole="">
            <v:imagedata r:id="rId15" o:title=""/>
          </v:shape>
          <o:OLEObject Type="Embed" ProgID="Equation.3" ShapeID="_x0000_i1073" DrawAspect="Content" ObjectID="_1634972547" r:id="rId16"/>
        </w:object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  <w:r w:rsidR="000724BF" w:rsidRPr="000724BF">
        <w:rPr>
          <w:rFonts w:eastAsia="Times New Roman" w:cs="Times New Roman"/>
          <w:szCs w:val="28"/>
          <w:lang w:eastAsia="ru-RU"/>
        </w:rPr>
        <w:tab/>
      </w:r>
    </w:p>
    <w:p w:rsidR="000724BF" w:rsidRPr="000724BF" w:rsidRDefault="000724BF" w:rsidP="00A7609C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>Комплексный коэффициент эффективности составит 0,655. При оценке эффективности экономического механизма ресурсосбережения используется следующая шкала</w:t>
      </w:r>
      <w:r w:rsidR="00590AB7">
        <w:rPr>
          <w:rFonts w:eastAsia="Times New Roman" w:cs="Times New Roman"/>
          <w:szCs w:val="28"/>
          <w:lang w:eastAsia="ru-RU"/>
        </w:rPr>
        <w:t xml:space="preserve"> данного показателя (таблица 2</w:t>
      </w:r>
      <w:r w:rsidRPr="000724BF">
        <w:rPr>
          <w:rFonts w:eastAsia="Times New Roman" w:cs="Times New Roman"/>
          <w:szCs w:val="28"/>
          <w:lang w:eastAsia="ru-RU"/>
        </w:rPr>
        <w:t>).</w:t>
      </w:r>
    </w:p>
    <w:p w:rsidR="000724BF" w:rsidRPr="000724BF" w:rsidRDefault="000724BF" w:rsidP="000724BF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F3106" w:rsidRDefault="001F3106" w:rsidP="000724BF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0724BF" w:rsidRPr="000724BF" w:rsidRDefault="00590AB7" w:rsidP="000724BF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Таблица 2</w:t>
      </w:r>
      <w:r w:rsidR="000724BF" w:rsidRPr="000724BF">
        <w:rPr>
          <w:rFonts w:eastAsia="Times New Roman" w:cs="Times New Roman"/>
          <w:szCs w:val="28"/>
          <w:lang w:eastAsia="ru-RU"/>
        </w:rPr>
        <w:t xml:space="preserve"> – Шкала оценки эффективности экономического механизма ресурсосбережения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51"/>
        <w:gridCol w:w="7035"/>
      </w:tblGrid>
      <w:tr w:rsidR="000724BF" w:rsidRPr="00A7609C" w:rsidTr="008A0EE4">
        <w:tc>
          <w:tcPr>
            <w:tcW w:w="1212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sz w:val="24"/>
                <w:szCs w:val="24"/>
              </w:rPr>
              <w:t>Значения ресурсоемкости</w:t>
            </w:r>
          </w:p>
        </w:tc>
        <w:tc>
          <w:tcPr>
            <w:tcW w:w="3788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sz w:val="24"/>
                <w:szCs w:val="24"/>
              </w:rPr>
              <w:t>Семантическая интерпретация</w:t>
            </w:r>
          </w:p>
        </w:tc>
      </w:tr>
      <w:tr w:rsidR="000724BF" w:rsidRPr="00A7609C" w:rsidTr="008A0EE4">
        <w:tc>
          <w:tcPr>
            <w:tcW w:w="1212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 xml:space="preserve">0,000 ≤ </w:t>
            </w:r>
            <w:r w:rsidRPr="00A7609C">
              <w:rPr>
                <w:rFonts w:eastAsia="Calibri"/>
                <w:i/>
                <w:sz w:val="24"/>
                <w:szCs w:val="24"/>
              </w:rPr>
              <w:t>К</w:t>
            </w:r>
            <w:r w:rsidRPr="00A7609C">
              <w:rPr>
                <w:rFonts w:eastAsia="Calibri"/>
                <w:i/>
                <w:sz w:val="24"/>
                <w:szCs w:val="24"/>
                <w:vertAlign w:val="subscript"/>
              </w:rPr>
              <w:t>эф</w:t>
            </w:r>
            <w:r w:rsidRPr="00A7609C">
              <w:rPr>
                <w:rFonts w:eastAsia="Calibri"/>
                <w:sz w:val="24"/>
                <w:szCs w:val="24"/>
              </w:rPr>
              <w:t xml:space="preserve"> ≤ 0,330</w:t>
            </w:r>
          </w:p>
        </w:tc>
        <w:tc>
          <w:tcPr>
            <w:tcW w:w="3788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>эффективность развития экономического механизма ресурсосбережения низкая, то есть развитие экономического механизма ресурсосбережения осуществляется без учета полезности производственных ресурсов отраслевого производства</w:t>
            </w:r>
          </w:p>
        </w:tc>
      </w:tr>
      <w:tr w:rsidR="000724BF" w:rsidRPr="00A7609C" w:rsidTr="008A0EE4">
        <w:tc>
          <w:tcPr>
            <w:tcW w:w="1212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 xml:space="preserve">0,331 ≤ </w:t>
            </w:r>
            <w:r w:rsidRPr="00A7609C">
              <w:rPr>
                <w:rFonts w:eastAsia="Calibri"/>
                <w:i/>
                <w:sz w:val="24"/>
                <w:szCs w:val="24"/>
              </w:rPr>
              <w:t>К</w:t>
            </w:r>
            <w:r w:rsidRPr="00A7609C">
              <w:rPr>
                <w:rFonts w:eastAsia="Calibri"/>
                <w:i/>
                <w:sz w:val="24"/>
                <w:szCs w:val="24"/>
                <w:vertAlign w:val="subscript"/>
              </w:rPr>
              <w:t>эф</w:t>
            </w:r>
            <w:r w:rsidRPr="00A7609C">
              <w:rPr>
                <w:rFonts w:eastAsia="Calibri"/>
                <w:sz w:val="24"/>
                <w:szCs w:val="24"/>
              </w:rPr>
              <w:t xml:space="preserve"> ≤ 0,660 </w:t>
            </w:r>
          </w:p>
        </w:tc>
        <w:tc>
          <w:tcPr>
            <w:tcW w:w="3788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>эффективность развития экономического механизма ресурсосбережения средняя, то есть при развитии экономического механизма ресурсосбережения недостаточно учитывается полезность производственных ресурсов отраслевого производства</w:t>
            </w:r>
          </w:p>
        </w:tc>
      </w:tr>
      <w:tr w:rsidR="000724BF" w:rsidRPr="00A7609C" w:rsidTr="008A0EE4">
        <w:tc>
          <w:tcPr>
            <w:tcW w:w="1212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 xml:space="preserve">0,661 ≤ </w:t>
            </w:r>
            <w:r w:rsidRPr="00A7609C">
              <w:rPr>
                <w:rFonts w:eastAsia="Calibri"/>
                <w:i/>
                <w:sz w:val="24"/>
                <w:szCs w:val="24"/>
              </w:rPr>
              <w:t>K</w:t>
            </w:r>
            <w:r w:rsidRPr="00A7609C">
              <w:rPr>
                <w:rFonts w:eastAsia="Calibri"/>
                <w:i/>
                <w:sz w:val="24"/>
                <w:szCs w:val="24"/>
                <w:vertAlign w:val="subscript"/>
              </w:rPr>
              <w:t>эф</w:t>
            </w:r>
            <w:r w:rsidRPr="00A7609C">
              <w:rPr>
                <w:rFonts w:eastAsia="Calibri"/>
                <w:sz w:val="24"/>
                <w:szCs w:val="24"/>
              </w:rPr>
              <w:t xml:space="preserve"> ≤ 1,000 </w:t>
            </w:r>
          </w:p>
        </w:tc>
        <w:tc>
          <w:tcPr>
            <w:tcW w:w="3788" w:type="pct"/>
          </w:tcPr>
          <w:p w:rsidR="000724BF" w:rsidRPr="00A7609C" w:rsidRDefault="000724BF" w:rsidP="000724BF">
            <w:pPr>
              <w:jc w:val="both"/>
              <w:rPr>
                <w:sz w:val="24"/>
                <w:szCs w:val="24"/>
              </w:rPr>
            </w:pPr>
            <w:r w:rsidRPr="00A7609C">
              <w:rPr>
                <w:rFonts w:eastAsia="Calibri"/>
                <w:sz w:val="24"/>
                <w:szCs w:val="24"/>
              </w:rPr>
              <w:t>эффективность развития экономического механизма ресурсосбережения высокая, то есть развитие экономического механизма ресурсосбережения осуществляется на основе полезности производственных ресурсов отраслевого производства</w:t>
            </w:r>
          </w:p>
        </w:tc>
      </w:tr>
    </w:tbl>
    <w:p w:rsidR="000724BF" w:rsidRPr="000724BF" w:rsidRDefault="000724BF" w:rsidP="000724BF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>Полученные значения комплексного коэффициента оценки свидетельствуют о том, что эффективность экономического механизма ресурсосбережения в промышленном плодоводстве находится на среднем уровне, то есть возникает необходимость в оптимизации показателей ресурсоемкости производственно-технологических процессов</w:t>
      </w:r>
      <w:r w:rsidR="00590AB7" w:rsidRPr="00590AB7">
        <w:rPr>
          <w:rFonts w:eastAsia="Times New Roman" w:cs="Times New Roman"/>
          <w:szCs w:val="28"/>
          <w:lang w:eastAsia="ru-RU"/>
        </w:rPr>
        <w:t xml:space="preserve"> [4]</w:t>
      </w:r>
      <w:r w:rsidRPr="000724BF">
        <w:rPr>
          <w:rFonts w:eastAsia="Times New Roman" w:cs="Times New Roman"/>
          <w:szCs w:val="28"/>
          <w:lang w:eastAsia="ru-RU"/>
        </w:rPr>
        <w:t>.</w:t>
      </w:r>
    </w:p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Для определения оптимальных показателей ресурсоемкости необходимо установить </w:t>
      </w:r>
      <w:r w:rsidR="00AC2B85" w:rsidRPr="000724BF">
        <w:rPr>
          <w:rFonts w:eastAsia="Times New Roman" w:cs="Times New Roman"/>
          <w:szCs w:val="28"/>
          <w:lang w:eastAsia="ru-RU"/>
        </w:rPr>
        <w:t>регрессионные</w:t>
      </w:r>
      <w:r w:rsidRPr="000724BF">
        <w:rPr>
          <w:rFonts w:eastAsia="Times New Roman" w:cs="Times New Roman"/>
          <w:szCs w:val="28"/>
          <w:lang w:eastAsia="ru-RU"/>
        </w:rPr>
        <w:t xml:space="preserve"> зависимости по технологическим процессам в разрезе отдельных видов используемых ресурсов: капитальные (амортизациоемкость), оборотные (материалоемкость и коэффициент закрепления) и трудовые</w:t>
      </w:r>
      <w:r w:rsidR="00590AB7">
        <w:rPr>
          <w:rFonts w:eastAsia="Times New Roman" w:cs="Times New Roman"/>
          <w:szCs w:val="28"/>
          <w:lang w:eastAsia="ru-RU"/>
        </w:rPr>
        <w:t xml:space="preserve"> (зарплатоемкость) (таблица 3</w:t>
      </w:r>
      <w:r w:rsidRPr="000724BF">
        <w:rPr>
          <w:rFonts w:eastAsia="Times New Roman" w:cs="Times New Roman"/>
          <w:szCs w:val="28"/>
          <w:lang w:eastAsia="ru-RU"/>
        </w:rPr>
        <w:t>).</w:t>
      </w:r>
    </w:p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>Далее для расчётного обоснования оптимальных показателей ресурсоемкости необходимо продифференцировать полученные ура</w:t>
      </w:r>
      <w:r w:rsidR="00590AB7">
        <w:rPr>
          <w:rFonts w:eastAsia="Times New Roman" w:cs="Times New Roman"/>
          <w:szCs w:val="28"/>
          <w:lang w:eastAsia="ru-RU"/>
        </w:rPr>
        <w:t>внения регрессии (таблица 4</w:t>
      </w:r>
      <w:r w:rsidRPr="000724BF">
        <w:rPr>
          <w:rFonts w:eastAsia="Times New Roman" w:cs="Times New Roman"/>
          <w:szCs w:val="28"/>
          <w:lang w:eastAsia="ru-RU"/>
        </w:rPr>
        <w:t>).</w:t>
      </w:r>
    </w:p>
    <w:p w:rsidR="000724BF" w:rsidRPr="000724BF" w:rsidRDefault="000724BF" w:rsidP="000724BF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724BF">
        <w:rPr>
          <w:rFonts w:eastAsia="Times New Roman" w:cs="Times New Roman"/>
          <w:b/>
          <w:szCs w:val="28"/>
          <w:lang w:eastAsia="ru-RU"/>
        </w:rPr>
        <w:br w:type="page"/>
      </w:r>
    </w:p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  <w:sectPr w:rsidR="000724BF" w:rsidRPr="000724BF" w:rsidSect="007F0688">
          <w:headerReference w:type="even" r:id="rId17"/>
          <w:headerReference w:type="default" r:id="rId18"/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81"/>
        </w:sectPr>
      </w:pPr>
    </w:p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lastRenderedPageBreak/>
        <w:t>Таблица</w:t>
      </w:r>
      <w:r w:rsidR="00590AB7" w:rsidRPr="00590AB7">
        <w:rPr>
          <w:rFonts w:eastAsia="Times New Roman" w:cs="Times New Roman"/>
          <w:szCs w:val="28"/>
          <w:lang w:eastAsia="ru-RU"/>
        </w:rPr>
        <w:t xml:space="preserve"> 3</w:t>
      </w:r>
      <w:r w:rsidRPr="000724BF">
        <w:rPr>
          <w:rFonts w:eastAsia="Times New Roman" w:cs="Times New Roman"/>
          <w:szCs w:val="28"/>
          <w:lang w:eastAsia="ru-RU"/>
        </w:rPr>
        <w:t xml:space="preserve"> – Регрессионные зависимости показателей ресурсоёмкости по технологическим процессам</w:t>
      </w: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513"/>
        <w:gridCol w:w="3187"/>
        <w:gridCol w:w="3186"/>
        <w:gridCol w:w="3292"/>
      </w:tblGrid>
      <w:tr w:rsidR="000724BF" w:rsidRPr="000724BF" w:rsidTr="000724BF">
        <w:trPr>
          <w:trHeight w:val="288"/>
        </w:trPr>
        <w:tc>
          <w:tcPr>
            <w:tcW w:w="2127" w:type="dxa"/>
            <w:vMerge w:val="restart"/>
            <w:shd w:val="clear" w:color="auto" w:fill="auto"/>
            <w:noWrap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Технологический процесс</w:t>
            </w:r>
          </w:p>
        </w:tc>
        <w:tc>
          <w:tcPr>
            <w:tcW w:w="13144" w:type="dxa"/>
            <w:gridSpan w:val="4"/>
            <w:shd w:val="clear" w:color="auto" w:fill="auto"/>
            <w:noWrap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Показатели ресурсоемкости</w:t>
            </w:r>
          </w:p>
        </w:tc>
      </w:tr>
      <w:tr w:rsidR="000724BF" w:rsidRPr="000724BF" w:rsidTr="000724BF">
        <w:trPr>
          <w:trHeight w:val="218"/>
        </w:trPr>
        <w:tc>
          <w:tcPr>
            <w:tcW w:w="2127" w:type="dxa"/>
            <w:vMerge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99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амортизациоемкость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материалоемкость</w:t>
            </w:r>
          </w:p>
        </w:tc>
        <w:tc>
          <w:tcPr>
            <w:tcW w:w="3176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коэффициент закрепления</w:t>
            </w:r>
          </w:p>
        </w:tc>
        <w:tc>
          <w:tcPr>
            <w:tcW w:w="3282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зарплатоемкость</w:t>
            </w:r>
          </w:p>
        </w:tc>
      </w:tr>
      <w:tr w:rsidR="000724BF" w:rsidRPr="000724BF" w:rsidTr="000724BF">
        <w:trPr>
          <w:trHeight w:val="288"/>
        </w:trPr>
        <w:tc>
          <w:tcPr>
            <w:tcW w:w="2127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Предпосадочная подготовка почвы</w:t>
            </w:r>
          </w:p>
        </w:tc>
        <w:tc>
          <w:tcPr>
            <w:tcW w:w="3499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600" w:dyaOrig="340">
                <v:shape id="_x0000_i1072" type="#_x0000_t75" alt="" style="width:160.55pt;height:15.1pt;mso-width-percent:0;mso-height-percent:0;mso-width-percent:0;mso-height-percent:0" o:ole="">
                  <v:imagedata r:id="rId20" o:title=""/>
                </v:shape>
                <o:OLEObject Type="Embed" ProgID="Equation.3" ShapeID="_x0000_i1072" DrawAspect="Content" ObjectID="_1634972548" r:id="rId21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79" w:dyaOrig="340">
                <v:shape id="_x0000_i1071" type="#_x0000_t75" alt="" style="width:148.4pt;height:15.1pt;mso-width-percent:0;mso-height-percent:0;mso-width-percent:0;mso-height-percent:0" o:ole="">
                  <v:imagedata r:id="rId22" o:title=""/>
                </v:shape>
                <o:OLEObject Type="Embed" ProgID="Equation.3" ShapeID="_x0000_i1071" DrawAspect="Content" ObjectID="_1634972549" r:id="rId23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40" w:dyaOrig="340">
                <v:shape id="_x0000_i1070" type="#_x0000_t75" alt="" style="width:148.4pt;height:15.1pt;mso-width-percent:0;mso-height-percent:0;mso-width-percent:0;mso-height-percent:0" o:ole="">
                  <v:imagedata r:id="rId24" o:title=""/>
                </v:shape>
                <o:OLEObject Type="Embed" ProgID="Equation.3" ShapeID="_x0000_i1070" DrawAspect="Content" ObjectID="_1634972550" r:id="rId25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460" w:dyaOrig="340">
                <v:shape id="_x0000_i1069" type="#_x0000_t75" alt="" style="width:153.75pt;height:15.1pt;mso-width-percent:0;mso-height-percent:0;mso-width-percent:0;mso-height-percent:0" o:ole="">
                  <v:imagedata r:id="rId26" o:title=""/>
                </v:shape>
                <o:OLEObject Type="Embed" ProgID="Equation.3" ShapeID="_x0000_i1069" DrawAspect="Content" ObjectID="_1634972551" r:id="rId27"/>
              </w:object>
            </w:r>
          </w:p>
        </w:tc>
      </w:tr>
      <w:tr w:rsidR="000724BF" w:rsidRPr="000724BF" w:rsidTr="000724BF">
        <w:trPr>
          <w:trHeight w:val="864"/>
        </w:trPr>
        <w:tc>
          <w:tcPr>
            <w:tcW w:w="2127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Разбивка участка, устройство опорно-шпалерной конструкции и мелиоративной системы</w:t>
            </w:r>
          </w:p>
        </w:tc>
        <w:tc>
          <w:tcPr>
            <w:tcW w:w="3499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680" w:dyaOrig="340">
                <v:shape id="_x0000_i1068" type="#_x0000_t75" alt="" style="width:163.45pt;height:15.1pt;mso-width-percent:0;mso-height-percent:0;mso-width-percent:0;mso-height-percent:0" o:ole="">
                  <v:imagedata r:id="rId28" o:title=""/>
                </v:shape>
                <o:OLEObject Type="Embed" ProgID="Equation.3" ShapeID="_x0000_i1068" DrawAspect="Content" ObjectID="_1634972552" r:id="rId29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00" w:dyaOrig="340">
                <v:shape id="_x0000_i1067" type="#_x0000_t75" alt="" style="width:145.45pt;height:15.1pt;mso-width-percent:0;mso-height-percent:0;mso-width-percent:0;mso-height-percent:0" o:ole="">
                  <v:imagedata r:id="rId30" o:title=""/>
                </v:shape>
                <o:OLEObject Type="Embed" ProgID="Equation.3" ShapeID="_x0000_i1067" DrawAspect="Content" ObjectID="_1634972553" r:id="rId31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20" w:dyaOrig="340">
                <v:shape id="_x0000_i1066" type="#_x0000_t75" alt="" style="width:146.9pt;height:15.1pt;mso-width-percent:0;mso-height-percent:0;mso-width-percent:0;mso-height-percent:0" o:ole="">
                  <v:imagedata r:id="rId32" o:title=""/>
                </v:shape>
                <o:OLEObject Type="Embed" ProgID="Equation.3" ShapeID="_x0000_i1066" DrawAspect="Content" ObjectID="_1634972554" r:id="rId33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180" w:dyaOrig="340">
                <v:shape id="_x0000_i1065" type="#_x0000_t75" alt="" style="width:141.1pt;height:15.1pt;mso-width-percent:0;mso-height-percent:0;mso-width-percent:0;mso-height-percent:0" o:ole="">
                  <v:imagedata r:id="rId34" o:title=""/>
                </v:shape>
                <o:OLEObject Type="Embed" ProgID="Equation.3" ShapeID="_x0000_i1065" DrawAspect="Content" ObjectID="_1634972555" r:id="rId35"/>
              </w:object>
            </w:r>
          </w:p>
        </w:tc>
      </w:tr>
      <w:tr w:rsidR="000724BF" w:rsidRPr="000724BF" w:rsidTr="000724BF">
        <w:trPr>
          <w:trHeight w:val="288"/>
        </w:trPr>
        <w:tc>
          <w:tcPr>
            <w:tcW w:w="2127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Закладка насаждений</w:t>
            </w:r>
          </w:p>
        </w:tc>
        <w:tc>
          <w:tcPr>
            <w:tcW w:w="3499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00" w:dyaOrig="340">
                <v:shape id="_x0000_i1064" type="#_x0000_t75" alt="" style="width:146.9pt;height:15.1pt;mso-width-percent:0;mso-height-percent:0;mso-width-percent:0;mso-height-percent:0" o:ole="">
                  <v:imagedata r:id="rId36" o:title=""/>
                </v:shape>
                <o:OLEObject Type="Embed" ProgID="Equation.3" ShapeID="_x0000_i1064" DrawAspect="Content" ObjectID="_1634972556" r:id="rId37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100" w:dyaOrig="340">
                <v:shape id="_x0000_i1063" type="#_x0000_t75" alt="" style="width:136.7pt;height:15.1pt;mso-width-percent:0;mso-height-percent:0;mso-width-percent:0;mso-height-percent:0" o:ole="">
                  <v:imagedata r:id="rId38" o:title=""/>
                </v:shape>
                <o:OLEObject Type="Embed" ProgID="Equation.3" ShapeID="_x0000_i1063" DrawAspect="Content" ObjectID="_1634972557" r:id="rId39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2980" w:dyaOrig="340">
                <v:shape id="_x0000_i1062" type="#_x0000_t75" alt="" style="width:131.85pt;height:15.1pt;mso-width-percent:0;mso-height-percent:0;mso-width-percent:0;mso-height-percent:0" o:ole="">
                  <v:imagedata r:id="rId40" o:title=""/>
                </v:shape>
                <o:OLEObject Type="Embed" ProgID="Equation.3" ShapeID="_x0000_i1062" DrawAspect="Content" ObjectID="_1634972558" r:id="rId41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080" w:dyaOrig="340">
                <v:shape id="_x0000_i1061" type="#_x0000_t75" alt="" style="width:136.2pt;height:15.1pt;mso-width-percent:0;mso-height-percent:0;mso-width-percent:0;mso-height-percent:0" o:ole="">
                  <v:imagedata r:id="rId42" o:title=""/>
                </v:shape>
                <o:OLEObject Type="Embed" ProgID="Equation.3" ShapeID="_x0000_i1061" DrawAspect="Content" ObjectID="_1634972559" r:id="rId43"/>
              </w:object>
            </w:r>
          </w:p>
        </w:tc>
      </w:tr>
      <w:tr w:rsidR="000724BF" w:rsidRPr="000724BF" w:rsidTr="000724BF">
        <w:trPr>
          <w:trHeight w:val="576"/>
        </w:trPr>
        <w:tc>
          <w:tcPr>
            <w:tcW w:w="2127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Уход за молодыми неплодоносящими насаждениями</w:t>
            </w:r>
          </w:p>
        </w:tc>
        <w:tc>
          <w:tcPr>
            <w:tcW w:w="3499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40" w:dyaOrig="340">
                <v:shape id="_x0000_i1060" type="#_x0000_t75" alt="" style="width:149.35pt;height:15.1pt;mso-width-percent:0;mso-height-percent:0;mso-width-percent:0;mso-height-percent:0" o:ole="">
                  <v:imagedata r:id="rId44" o:title=""/>
                </v:shape>
                <o:OLEObject Type="Embed" ProgID="Equation.3" ShapeID="_x0000_i1060" DrawAspect="Content" ObjectID="_1634972560" r:id="rId45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200" w:dyaOrig="340">
                <v:shape id="_x0000_i1059" type="#_x0000_t75" alt="" style="width:141.1pt;height:15.1pt;mso-width-percent:0;mso-height-percent:0;mso-width-percent:0;mso-height-percent:0" o:ole="">
                  <v:imagedata r:id="rId46" o:title=""/>
                </v:shape>
                <o:OLEObject Type="Embed" ProgID="Equation.3" ShapeID="_x0000_i1059" DrawAspect="Content" ObjectID="_1634972561" r:id="rId47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240" w:dyaOrig="340">
                <v:shape id="_x0000_i1058" type="#_x0000_t75" alt="" style="width:2in;height:15.1pt;mso-width-percent:0;mso-height-percent:0;mso-width-percent:0;mso-height-percent:0" o:ole="">
                  <v:imagedata r:id="rId48" o:title=""/>
                </v:shape>
                <o:OLEObject Type="Embed" ProgID="Equation.3" ShapeID="_x0000_i1058" DrawAspect="Content" ObjectID="_1634972562" r:id="rId49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060" w:dyaOrig="340">
                <v:shape id="_x0000_i1057" type="#_x0000_t75" alt="" style="width:134.75pt;height:15.1pt;mso-width-percent:0;mso-height-percent:0;mso-width-percent:0;mso-height-percent:0" o:ole="">
                  <v:imagedata r:id="rId50" o:title=""/>
                </v:shape>
                <o:OLEObject Type="Embed" ProgID="Equation.3" ShapeID="_x0000_i1057" DrawAspect="Content" ObjectID="_1634972563" r:id="rId51"/>
              </w:object>
            </w:r>
          </w:p>
        </w:tc>
      </w:tr>
      <w:tr w:rsidR="000724BF" w:rsidRPr="000724BF" w:rsidTr="000724BF">
        <w:trPr>
          <w:trHeight w:val="576"/>
        </w:trPr>
        <w:tc>
          <w:tcPr>
            <w:tcW w:w="2127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Уход за вступающими и плодоносящими насаждениями</w:t>
            </w:r>
          </w:p>
        </w:tc>
        <w:tc>
          <w:tcPr>
            <w:tcW w:w="3499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420" w:dyaOrig="340">
                <v:shape id="_x0000_i1056" type="#_x0000_t75" alt="" style="width:153.25pt;height:15.1pt;mso-width-percent:0;mso-height-percent:0;mso-width-percent:0;mso-height-percent:0" o:ole="">
                  <v:imagedata r:id="rId52" o:title=""/>
                </v:shape>
                <o:OLEObject Type="Embed" ProgID="Equation.3" ShapeID="_x0000_i1056" DrawAspect="Content" ObjectID="_1634972564" r:id="rId53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00" w:dyaOrig="340">
                <v:shape id="_x0000_i1055" type="#_x0000_t75" alt="" style="width:145.45pt;height:15.1pt;mso-width-percent:0;mso-height-percent:0;mso-width-percent:0;mso-height-percent:0" o:ole="">
                  <v:imagedata r:id="rId54" o:title=""/>
                </v:shape>
                <o:OLEObject Type="Embed" ProgID="Equation.3" ShapeID="_x0000_i1055" DrawAspect="Content" ObjectID="_1634972565" r:id="rId55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180" w:dyaOrig="340">
                <v:shape id="_x0000_i1054" type="#_x0000_t75" alt="" style="width:141.1pt;height:15.1pt;mso-width-percent:0;mso-height-percent:0;mso-width-percent:0;mso-height-percent:0" o:ole="">
                  <v:imagedata r:id="rId56" o:title=""/>
                </v:shape>
                <o:OLEObject Type="Embed" ProgID="Equation.3" ShapeID="_x0000_i1054" DrawAspect="Content" ObjectID="_1634972566" r:id="rId57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2980" w:dyaOrig="340">
                <v:shape id="_x0000_i1053" type="#_x0000_t75" alt="" style="width:131.85pt;height:15.1pt;mso-width-percent:0;mso-height-percent:0;mso-width-percent:0;mso-height-percent:0" o:ole="">
                  <v:imagedata r:id="rId58" o:title=""/>
                </v:shape>
                <o:OLEObject Type="Embed" ProgID="Equation.3" ShapeID="_x0000_i1053" DrawAspect="Content" ObjectID="_1634972567" r:id="rId59"/>
              </w:object>
            </w:r>
          </w:p>
        </w:tc>
      </w:tr>
      <w:tr w:rsidR="000724BF" w:rsidRPr="000724BF" w:rsidTr="000724BF">
        <w:trPr>
          <w:trHeight w:val="576"/>
        </w:trPr>
        <w:tc>
          <w:tcPr>
            <w:tcW w:w="2127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урожая</w:t>
            </w:r>
          </w:p>
        </w:tc>
        <w:tc>
          <w:tcPr>
            <w:tcW w:w="3499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700" w:dyaOrig="340">
                <v:shape id="_x0000_i1052" type="#_x0000_t75" alt="" style="width:164.9pt;height:15.1pt;mso-width-percent:0;mso-height-percent:0;mso-width-percent:0;mso-height-percent:0" o:ole="">
                  <v:imagedata r:id="rId60" o:title=""/>
                </v:shape>
                <o:OLEObject Type="Embed" ProgID="Equation.3" ShapeID="_x0000_i1052" DrawAspect="Content" ObjectID="_1634972568" r:id="rId61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300" w:dyaOrig="340">
                <v:shape id="_x0000_i1051" type="#_x0000_t75" alt="" style="width:145.45pt;height:15.1pt;mso-width-percent:0;mso-height-percent:0;mso-width-percent:0;mso-height-percent:0" o:ole="">
                  <v:imagedata r:id="rId62" o:title=""/>
                </v:shape>
                <o:OLEObject Type="Embed" ProgID="Equation.3" ShapeID="_x0000_i1051" DrawAspect="Content" ObjectID="_1634972569" r:id="rId63"/>
              </w:object>
            </w:r>
          </w:p>
        </w:tc>
        <w:tc>
          <w:tcPr>
            <w:tcW w:w="3176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2980" w:dyaOrig="340">
                <v:shape id="_x0000_i1050" type="#_x0000_t75" alt="" style="width:131.85pt;height:15.1pt;mso-width-percent:0;mso-height-percent:0;mso-width-percent:0;mso-height-percent:0" o:ole="">
                  <v:imagedata r:id="rId64" o:title=""/>
                </v:shape>
                <o:OLEObject Type="Embed" ProgID="Equation.3" ShapeID="_x0000_i1050" DrawAspect="Content" ObjectID="_1634972570" r:id="rId65"/>
              </w:object>
            </w:r>
          </w:p>
        </w:tc>
        <w:tc>
          <w:tcPr>
            <w:tcW w:w="3282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8"/>
                <w:szCs w:val="28"/>
                <w:lang w:eastAsia="ru-RU"/>
              </w:rPr>
              <w:object w:dxaOrig="3159" w:dyaOrig="340">
                <v:shape id="_x0000_i1049" type="#_x0000_t75" alt="" style="width:139.6pt;height:15.1pt;mso-width-percent:0;mso-height-percent:0;mso-width-percent:0;mso-height-percent:0" o:ole="">
                  <v:imagedata r:id="rId66" o:title=""/>
                </v:shape>
                <o:OLEObject Type="Embed" ProgID="Equation.3" ShapeID="_x0000_i1049" DrawAspect="Content" ObjectID="_1634972571" r:id="rId67"/>
              </w:object>
            </w:r>
          </w:p>
        </w:tc>
      </w:tr>
    </w:tbl>
    <w:p w:rsidR="000724BF" w:rsidRPr="000724BF" w:rsidRDefault="000724BF" w:rsidP="000724BF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</w:p>
    <w:p w:rsid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ind w:firstLine="709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  <w:bookmarkStart w:id="0" w:name="_GoBack"/>
      <w:bookmarkEnd w:id="0"/>
    </w:p>
    <w:p w:rsidR="000724BF" w:rsidRPr="000724BF" w:rsidRDefault="000724BF" w:rsidP="000724BF">
      <w:pPr>
        <w:widowControl w:val="0"/>
        <w:suppressAutoHyphens/>
        <w:spacing w:after="0" w:line="360" w:lineRule="auto"/>
        <w:jc w:val="both"/>
        <w:outlineLvl w:val="1"/>
        <w:rPr>
          <w:rFonts w:eastAsia="Times New Roman" w:cs="Arial"/>
          <w:bCs/>
          <w:iCs/>
          <w:szCs w:val="28"/>
          <w:lang w:eastAsia="ru-RU"/>
        </w:rPr>
      </w:pPr>
      <w:r w:rsidRPr="000724BF">
        <w:rPr>
          <w:rFonts w:eastAsia="Times New Roman" w:cs="Arial"/>
          <w:bCs/>
          <w:iCs/>
          <w:szCs w:val="28"/>
          <w:lang w:eastAsia="ru-RU"/>
        </w:rPr>
        <w:lastRenderedPageBreak/>
        <w:t xml:space="preserve"> Таблица </w:t>
      </w:r>
      <w:r w:rsidR="00590AB7" w:rsidRPr="00590AB7">
        <w:rPr>
          <w:rFonts w:eastAsia="Times New Roman" w:cs="Arial"/>
          <w:bCs/>
          <w:iCs/>
          <w:szCs w:val="28"/>
          <w:lang w:eastAsia="ru-RU"/>
        </w:rPr>
        <w:t>4</w:t>
      </w:r>
      <w:r w:rsidRPr="000724BF">
        <w:rPr>
          <w:rFonts w:eastAsia="Times New Roman" w:cs="Arial"/>
          <w:bCs/>
          <w:iCs/>
          <w:szCs w:val="28"/>
          <w:lang w:eastAsia="ru-RU"/>
        </w:rPr>
        <w:t xml:space="preserve"> – Расчётное обоснование оптимальных показателей ресурсоемкости по технологическим процессам в </w:t>
      </w:r>
    </w:p>
    <w:p w:rsidR="000724BF" w:rsidRPr="000724BF" w:rsidRDefault="000724BF" w:rsidP="000724BF">
      <w:pPr>
        <w:widowControl w:val="0"/>
        <w:suppressAutoHyphens/>
        <w:spacing w:after="0" w:line="360" w:lineRule="auto"/>
        <w:jc w:val="both"/>
        <w:outlineLvl w:val="1"/>
        <w:rPr>
          <w:rFonts w:eastAsia="Times New Roman" w:cs="Arial"/>
          <w:bCs/>
          <w:iCs/>
          <w:szCs w:val="28"/>
          <w:lang w:eastAsia="ru-RU"/>
        </w:rPr>
      </w:pPr>
      <w:r w:rsidRPr="000724BF">
        <w:rPr>
          <w:rFonts w:eastAsia="Times New Roman" w:cs="Arial"/>
          <w:bCs/>
          <w:iCs/>
          <w:szCs w:val="28"/>
          <w:lang w:eastAsia="ru-RU"/>
        </w:rPr>
        <w:t>промышленном плодоводстве</w:t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17"/>
        <w:gridCol w:w="3187"/>
        <w:gridCol w:w="3034"/>
        <w:gridCol w:w="3015"/>
      </w:tblGrid>
      <w:tr w:rsidR="000724BF" w:rsidRPr="000724BF" w:rsidTr="000724BF">
        <w:trPr>
          <w:trHeight w:val="288"/>
        </w:trPr>
        <w:tc>
          <w:tcPr>
            <w:tcW w:w="2689" w:type="dxa"/>
            <w:vMerge w:val="restart"/>
            <w:shd w:val="clear" w:color="auto" w:fill="auto"/>
            <w:noWrap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Технологический процесс</w:t>
            </w:r>
          </w:p>
        </w:tc>
        <w:tc>
          <w:tcPr>
            <w:tcW w:w="12753" w:type="dxa"/>
            <w:gridSpan w:val="4"/>
            <w:shd w:val="clear" w:color="auto" w:fill="auto"/>
            <w:noWrap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Показатели ресурсоемкости</w:t>
            </w:r>
          </w:p>
        </w:tc>
      </w:tr>
      <w:tr w:rsidR="000724BF" w:rsidRPr="000724BF" w:rsidTr="000724BF">
        <w:trPr>
          <w:trHeight w:val="218"/>
        </w:trPr>
        <w:tc>
          <w:tcPr>
            <w:tcW w:w="2689" w:type="dxa"/>
            <w:vMerge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17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амортизациоемкость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материалоемкость</w:t>
            </w:r>
          </w:p>
        </w:tc>
        <w:tc>
          <w:tcPr>
            <w:tcW w:w="3034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коэффициент закрепления</w:t>
            </w:r>
          </w:p>
        </w:tc>
        <w:tc>
          <w:tcPr>
            <w:tcW w:w="3015" w:type="dxa"/>
            <w:shd w:val="clear" w:color="auto" w:fill="auto"/>
            <w:vAlign w:val="bottom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зарплатоемкость</w:t>
            </w:r>
          </w:p>
        </w:tc>
      </w:tr>
      <w:tr w:rsidR="000724BF" w:rsidRPr="000724BF" w:rsidTr="000724BF">
        <w:trPr>
          <w:trHeight w:val="288"/>
        </w:trPr>
        <w:tc>
          <w:tcPr>
            <w:tcW w:w="15442" w:type="dxa"/>
            <w:gridSpan w:val="5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Предпосадочная подготовка почвы</w:t>
            </w:r>
          </w:p>
        </w:tc>
      </w:tr>
      <w:tr w:rsidR="000724BF" w:rsidRPr="000724BF" w:rsidTr="000724BF">
        <w:trPr>
          <w:trHeight w:val="288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Cs w:val="28"/>
                <w:lang w:eastAsia="ru-RU"/>
              </w:rPr>
              <w:object w:dxaOrig="2420" w:dyaOrig="340">
                <v:shape id="_x0000_i1048" type="#_x0000_t75" alt="" style="width:108pt;height:15.1pt;mso-width-percent:0;mso-height-percent:0;mso-width-percent:0;mso-height-percent:0" o:ole="">
                  <v:imagedata r:id="rId68" o:title=""/>
                </v:shape>
                <o:OLEObject Type="Embed" ProgID="Equation.3" ShapeID="_x0000_i1048" DrawAspect="Content" ObjectID="_1634972572" r:id="rId69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Cs w:val="28"/>
                <w:lang w:eastAsia="ru-RU"/>
              </w:rPr>
              <w:object w:dxaOrig="2560" w:dyaOrig="380">
                <v:shape id="_x0000_i1047" type="#_x0000_t75" alt="" style="width:112.4pt;height:16.55pt;mso-width-percent:0;mso-height-percent:0;mso-width-percent:0;mso-height-percent:0" o:ole="">
                  <v:imagedata r:id="rId70" o:title=""/>
                </v:shape>
                <o:OLEObject Type="Embed" ProgID="Equation.3" ShapeID="_x0000_i1047" DrawAspect="Content" ObjectID="_1634972573" r:id="rId71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Cs w:val="28"/>
                <w:lang w:eastAsia="ru-RU"/>
              </w:rPr>
              <w:object w:dxaOrig="2360" w:dyaOrig="360">
                <v:shape id="_x0000_i1046" type="#_x0000_t75" alt="" style="width:105.1pt;height:15.1pt;mso-width-percent:0;mso-height-percent:0;mso-width-percent:0;mso-height-percent:0" o:ole="">
                  <v:imagedata r:id="rId72" o:title=""/>
                </v:shape>
                <o:OLEObject Type="Embed" ProgID="Equation.3" ShapeID="_x0000_i1046" DrawAspect="Content" ObjectID="_1634972574" r:id="rId73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Cs w:val="28"/>
                <w:lang w:eastAsia="ru-RU"/>
              </w:rPr>
              <w:object w:dxaOrig="2420" w:dyaOrig="380">
                <v:shape id="_x0000_i1045" type="#_x0000_t75" alt="" style="width:106.55pt;height:16.55pt;mso-width-percent:0;mso-height-percent:0;mso-width-percent:0;mso-height-percent:0" o:ole="">
                  <v:imagedata r:id="rId74" o:title=""/>
                </v:shape>
                <o:OLEObject Type="Embed" ProgID="Equation.3" ShapeID="_x0000_i1045" DrawAspect="Content" ObjectID="_1634972575" r:id="rId75"/>
              </w:object>
            </w:r>
          </w:p>
        </w:tc>
      </w:tr>
      <w:tr w:rsidR="000724BF" w:rsidRPr="000724BF" w:rsidTr="000724BF">
        <w:trPr>
          <w:trHeight w:val="288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0,106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0,878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2,703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0,044</w:t>
            </w:r>
          </w:p>
        </w:tc>
      </w:tr>
      <w:tr w:rsidR="000724BF" w:rsidRPr="000724BF" w:rsidTr="000724BF">
        <w:trPr>
          <w:trHeight w:val="297"/>
        </w:trPr>
        <w:tc>
          <w:tcPr>
            <w:tcW w:w="15442" w:type="dxa"/>
            <w:gridSpan w:val="5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Разбивка участка, устройство опорно-шпалерной конструкции и мелиоративной системы</w:t>
            </w:r>
          </w:p>
        </w:tc>
      </w:tr>
      <w:tr w:rsidR="000724BF" w:rsidRPr="000724BF" w:rsidTr="000724BF">
        <w:trPr>
          <w:trHeight w:val="542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 w:val="22"/>
                <w:lang w:eastAsia="ru-RU"/>
              </w:rPr>
              <w:object w:dxaOrig="2520" w:dyaOrig="340">
                <v:shape id="_x0000_i1044" type="#_x0000_t75" alt="" style="width:112.4pt;height:15.1pt;mso-width-percent:0;mso-height-percent:0;mso-width-percent:0;mso-height-percent:0" o:ole="">
                  <v:imagedata r:id="rId76" o:title=""/>
                </v:shape>
                <o:OLEObject Type="Embed" ProgID="Equation.3" ShapeID="_x0000_i1044" DrawAspect="Content" ObjectID="_1634972576" r:id="rId77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40" w:dyaOrig="360">
                <v:shape id="_x0000_i1043" type="#_x0000_t75" alt="" style="width:98.25pt;height:15.1pt;mso-width-percent:0;mso-height-percent:0;mso-width-percent:0;mso-height-percent:0" o:ole="">
                  <v:imagedata r:id="rId78" o:title=""/>
                </v:shape>
                <o:OLEObject Type="Embed" ProgID="Equation.3" ShapeID="_x0000_i1043" DrawAspect="Content" ObjectID="_1634972577" r:id="rId79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40" w:dyaOrig="360">
                <v:shape id="_x0000_i1042" type="#_x0000_t75" alt="" style="width:99.25pt;height:15.1pt;mso-width-percent:0;mso-height-percent:0;mso-width-percent:0;mso-height-percent:0" o:ole="">
                  <v:imagedata r:id="rId80" o:title=""/>
                </v:shape>
                <o:OLEObject Type="Embed" ProgID="Equation.3" ShapeID="_x0000_i1042" DrawAspect="Content" ObjectID="_1634972578" r:id="rId81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20" w:dyaOrig="360">
                <v:shape id="_x0000_i1041" type="#_x0000_t75" alt="" style="width:98.25pt;height:15.1pt;mso-width-percent:0;mso-height-percent:0;mso-width-percent:0;mso-height-percent:0" o:ole="">
                  <v:imagedata r:id="rId82" o:title=""/>
                </v:shape>
                <o:OLEObject Type="Embed" ProgID="Equation.3" ShapeID="_x0000_i1041" DrawAspect="Content" ObjectID="_1634972579" r:id="rId83"/>
              </w:object>
            </w:r>
          </w:p>
        </w:tc>
      </w:tr>
      <w:tr w:rsidR="000724BF" w:rsidRPr="000724BF" w:rsidTr="000724BF">
        <w:trPr>
          <w:trHeight w:val="147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0,054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5,448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8,560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0,132</w:t>
            </w:r>
          </w:p>
        </w:tc>
      </w:tr>
      <w:tr w:rsidR="000724BF" w:rsidRPr="000724BF" w:rsidTr="000724BF">
        <w:trPr>
          <w:trHeight w:val="288"/>
        </w:trPr>
        <w:tc>
          <w:tcPr>
            <w:tcW w:w="15442" w:type="dxa"/>
            <w:gridSpan w:val="5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Закладка насаждений</w:t>
            </w:r>
          </w:p>
        </w:tc>
      </w:tr>
      <w:tr w:rsidR="000724BF" w:rsidRPr="000724BF" w:rsidTr="000724BF">
        <w:trPr>
          <w:trHeight w:val="288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 w:val="22"/>
                <w:lang w:eastAsia="ru-RU"/>
              </w:rPr>
              <w:object w:dxaOrig="2380" w:dyaOrig="360">
                <v:shape id="_x0000_i1040" type="#_x0000_t75" alt="" style="width:105.55pt;height:15.1pt;mso-width-percent:0;mso-height-percent:0;mso-width-percent:0;mso-height-percent:0" o:ole="">
                  <v:imagedata r:id="rId84" o:title=""/>
                </v:shape>
                <o:OLEObject Type="Embed" ProgID="Equation.3" ShapeID="_x0000_i1040" DrawAspect="Content" ObjectID="_1634972580" r:id="rId85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00" w:dyaOrig="380">
                <v:shape id="_x0000_i1039" type="#_x0000_t75" alt="" style="width:97.3pt;height:16.55pt;mso-width-percent:0;mso-height-percent:0;mso-width-percent:0;mso-height-percent:0" o:ole="">
                  <v:imagedata r:id="rId86" o:title=""/>
                </v:shape>
                <o:OLEObject Type="Embed" ProgID="Equation.3" ShapeID="_x0000_i1039" DrawAspect="Content" ObjectID="_1634972581" r:id="rId87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00" w:dyaOrig="380">
                <v:shape id="_x0000_i1038" type="#_x0000_t75" alt="" style="width:97.3pt;height:16.55pt;mso-width-percent:0;mso-height-percent:0;mso-width-percent:0;mso-height-percent:0" o:ole="">
                  <v:imagedata r:id="rId88" o:title=""/>
                </v:shape>
                <o:OLEObject Type="Embed" ProgID="Equation.3" ShapeID="_x0000_i1038" DrawAspect="Content" ObjectID="_1634972582" r:id="rId89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00" w:dyaOrig="380">
                <v:shape id="_x0000_i1037" type="#_x0000_t75" alt="" style="width:97.3pt;height:16.55pt;mso-width-percent:0;mso-height-percent:0;mso-width-percent:0;mso-height-percent:0" o:ole="">
                  <v:imagedata r:id="rId90" o:title=""/>
                </v:shape>
                <o:OLEObject Type="Embed" ProgID="Equation.3" ShapeID="_x0000_i1037" DrawAspect="Content" ObjectID="_1634972583" r:id="rId91"/>
              </w:object>
            </w:r>
          </w:p>
        </w:tc>
      </w:tr>
      <w:tr w:rsidR="000724BF" w:rsidRPr="000724BF" w:rsidTr="000724BF">
        <w:trPr>
          <w:trHeight w:val="288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0,197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3,958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4,588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0,416</w:t>
            </w:r>
          </w:p>
        </w:tc>
      </w:tr>
      <w:tr w:rsidR="000724BF" w:rsidRPr="000724BF" w:rsidTr="000724BF">
        <w:trPr>
          <w:trHeight w:val="229"/>
        </w:trPr>
        <w:tc>
          <w:tcPr>
            <w:tcW w:w="15442" w:type="dxa"/>
            <w:gridSpan w:val="5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Уход за молодыми неплодоносящими насаждениями</w:t>
            </w:r>
          </w:p>
        </w:tc>
      </w:tr>
      <w:tr w:rsidR="000724BF" w:rsidRPr="000724BF" w:rsidTr="000724BF">
        <w:trPr>
          <w:trHeight w:val="576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 w:val="22"/>
                <w:lang w:eastAsia="ru-RU"/>
              </w:rPr>
              <w:object w:dxaOrig="2380" w:dyaOrig="360">
                <v:shape id="_x0000_i1036" type="#_x0000_t75" alt="" style="width:105.55pt;height:15.1pt;mso-width-percent:0;mso-height-percent:0;mso-width-percent:0;mso-height-percent:0" o:ole="">
                  <v:imagedata r:id="rId92" o:title=""/>
                </v:shape>
                <o:OLEObject Type="Embed" ProgID="Equation.3" ShapeID="_x0000_i1036" DrawAspect="Content" ObjectID="_1634972584" r:id="rId93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120" w:dyaOrig="360">
                <v:shape id="_x0000_i1035" type="#_x0000_t75" alt="" style="width:92.9pt;height:15.1pt;mso-width-percent:0;mso-height-percent:0;mso-width-percent:0;mso-height-percent:0" o:ole="">
                  <v:imagedata r:id="rId94" o:title=""/>
                </v:shape>
                <o:OLEObject Type="Embed" ProgID="Equation.3" ShapeID="_x0000_i1035" DrawAspect="Content" ObjectID="_1634972585" r:id="rId95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00" w:dyaOrig="360">
                <v:shape id="_x0000_i1034" type="#_x0000_t75" alt="" style="width:97.3pt;height:15.1pt;mso-width-percent:0;mso-height-percent:0;mso-width-percent:0;mso-height-percent:0" o:ole="">
                  <v:imagedata r:id="rId96" o:title=""/>
                </v:shape>
                <o:OLEObject Type="Embed" ProgID="Equation.3" ShapeID="_x0000_i1034" DrawAspect="Content" ObjectID="_1634972586" r:id="rId97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320" w:dyaOrig="380">
                <v:shape id="_x0000_i1033" type="#_x0000_t75" alt="" style="width:102.65pt;height:16.55pt;mso-width-percent:0;mso-height-percent:0;mso-width-percent:0;mso-height-percent:0" o:ole="">
                  <v:imagedata r:id="rId98" o:title=""/>
                </v:shape>
                <o:OLEObject Type="Embed" ProgID="Equation.3" ShapeID="_x0000_i1033" DrawAspect="Content" ObjectID="_1634972587" r:id="rId99"/>
              </w:object>
            </w:r>
          </w:p>
        </w:tc>
      </w:tr>
      <w:tr w:rsidR="000724BF" w:rsidRPr="000724BF" w:rsidTr="000724BF">
        <w:trPr>
          <w:trHeight w:val="70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0,107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0,58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0,69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0,403</w:t>
            </w:r>
          </w:p>
        </w:tc>
      </w:tr>
      <w:tr w:rsidR="000724BF" w:rsidRPr="000724BF" w:rsidTr="000724BF">
        <w:trPr>
          <w:trHeight w:val="191"/>
        </w:trPr>
        <w:tc>
          <w:tcPr>
            <w:tcW w:w="15442" w:type="dxa"/>
            <w:gridSpan w:val="5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Уход за вступающими и плодоносящими насаждениями</w:t>
            </w:r>
          </w:p>
        </w:tc>
      </w:tr>
      <w:tr w:rsidR="000724BF" w:rsidRPr="000724BF" w:rsidTr="000724BF">
        <w:trPr>
          <w:trHeight w:val="576"/>
        </w:trPr>
        <w:tc>
          <w:tcPr>
            <w:tcW w:w="2689" w:type="dxa"/>
            <w:shd w:val="clear" w:color="auto" w:fill="auto"/>
            <w:vAlign w:val="center"/>
            <w:hideMark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 w:val="22"/>
                <w:lang w:eastAsia="ru-RU"/>
              </w:rPr>
              <w:object w:dxaOrig="2420" w:dyaOrig="340">
                <v:shape id="_x0000_i1032" type="#_x0000_t75" alt="" style="width:108pt;height:15.1pt;mso-width-percent:0;mso-height-percent:0;mso-width-percent:0;mso-height-percent:0" o:ole="">
                  <v:imagedata r:id="rId100" o:title=""/>
                </v:shape>
                <o:OLEObject Type="Embed" ProgID="Equation.3" ShapeID="_x0000_i1032" DrawAspect="Content" ObjectID="_1634972588" r:id="rId101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340" w:dyaOrig="380">
                <v:shape id="_x0000_i1031" type="#_x0000_t75" alt="" style="width:102.65pt;height:16.55pt;mso-width-percent:0;mso-height-percent:0;mso-width-percent:0;mso-height-percent:0" o:ole="">
                  <v:imagedata r:id="rId102" o:title=""/>
                </v:shape>
                <o:OLEObject Type="Embed" ProgID="Equation.3" ShapeID="_x0000_i1031" DrawAspect="Content" ObjectID="_1634972589" r:id="rId103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320" w:dyaOrig="380">
                <v:shape id="_x0000_i1030" type="#_x0000_t75" alt="" style="width:102.65pt;height:16.55pt;mso-width-percent:0;mso-height-percent:0;mso-width-percent:0;mso-height-percent:0" o:ole="">
                  <v:imagedata r:id="rId104" o:title=""/>
                </v:shape>
                <o:OLEObject Type="Embed" ProgID="Equation.3" ShapeID="_x0000_i1030" DrawAspect="Content" ObjectID="_1634972590" r:id="rId105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  <w:hideMark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060" w:dyaOrig="360">
                <v:shape id="_x0000_i1029" type="#_x0000_t75" alt="" style="width:91.45pt;height:15.1pt;mso-width-percent:0;mso-height-percent:0;mso-width-percent:0;mso-height-percent:0" o:ole="">
                  <v:imagedata r:id="rId106" o:title=""/>
                </v:shape>
                <o:OLEObject Type="Embed" ProgID="Equation.3" ShapeID="_x0000_i1029" DrawAspect="Content" ObjectID="_1634972591" r:id="rId107"/>
              </w:object>
            </w:r>
          </w:p>
        </w:tc>
      </w:tr>
      <w:tr w:rsidR="000724BF" w:rsidRPr="000724BF" w:rsidTr="000724BF">
        <w:trPr>
          <w:trHeight w:val="183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1,103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2,641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3,139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0,671</w:t>
            </w:r>
          </w:p>
        </w:tc>
      </w:tr>
      <w:tr w:rsidR="000724BF" w:rsidRPr="000724BF" w:rsidTr="000724BF">
        <w:trPr>
          <w:trHeight w:val="273"/>
        </w:trPr>
        <w:tc>
          <w:tcPr>
            <w:tcW w:w="15442" w:type="dxa"/>
            <w:gridSpan w:val="5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урожая</w:t>
            </w:r>
          </w:p>
        </w:tc>
      </w:tr>
      <w:tr w:rsidR="000724BF" w:rsidRPr="000724BF" w:rsidTr="000724BF">
        <w:trPr>
          <w:trHeight w:val="576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дифференцированное уравнение регрессии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0"/>
                <w:sz w:val="22"/>
                <w:lang w:eastAsia="ru-RU"/>
              </w:rPr>
              <w:object w:dxaOrig="2520" w:dyaOrig="340">
                <v:shape id="_x0000_i1028" type="#_x0000_t75" alt="" style="width:112.4pt;height:15.1pt;mso-width-percent:0;mso-height-percent:0;mso-width-percent:0;mso-height-percent:0" o:ole="">
                  <v:imagedata r:id="rId108" o:title=""/>
                </v:shape>
                <o:OLEObject Type="Embed" ProgID="Equation.3" ShapeID="_x0000_i1028" DrawAspect="Content" ObjectID="_1634972592" r:id="rId109"/>
              </w:objec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380" w:dyaOrig="360">
                <v:shape id="_x0000_i1027" type="#_x0000_t75" alt="" style="width:105.1pt;height:15.1pt;mso-width-percent:0;mso-height-percent:0;mso-width-percent:0;mso-height-percent:0" o:ole="">
                  <v:imagedata r:id="rId110" o:title=""/>
                </v:shape>
                <o:OLEObject Type="Embed" ProgID="Equation.3" ShapeID="_x0000_i1027" DrawAspect="Content" ObjectID="_1634972593" r:id="rId111"/>
              </w:objec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280" w:dyaOrig="360">
                <v:shape id="_x0000_i1026" type="#_x0000_t75" alt="" style="width:101.2pt;height:15.1pt;mso-width-percent:0;mso-height-percent:0;mso-width-percent:0;mso-height-percent:0" o:ole="">
                  <v:imagedata r:id="rId112" o:title=""/>
                </v:shape>
                <o:OLEObject Type="Embed" ProgID="Equation.3" ShapeID="_x0000_i1026" DrawAspect="Content" ObjectID="_1634972594" r:id="rId113"/>
              </w:objec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2C43EA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noProof/>
                <w:position w:val="-12"/>
                <w:sz w:val="22"/>
                <w:lang w:eastAsia="ru-RU"/>
              </w:rPr>
              <w:object w:dxaOrig="2160" w:dyaOrig="360">
                <v:shape id="_x0000_i1025" type="#_x0000_t75" alt="" style="width:95.85pt;height:15.1pt;mso-width-percent:0;mso-height-percent:0;mso-width-percent:0;mso-height-percent:0" o:ole="">
                  <v:imagedata r:id="rId114" o:title=""/>
                </v:shape>
                <o:OLEObject Type="Embed" ProgID="Equation.3" ShapeID="_x0000_i1025" DrawAspect="Content" ObjectID="_1634972595" r:id="rId115"/>
              </w:object>
            </w:r>
          </w:p>
        </w:tc>
      </w:tr>
      <w:tr w:rsidR="000724BF" w:rsidRPr="000724BF" w:rsidTr="000724BF">
        <w:trPr>
          <w:trHeight w:val="257"/>
        </w:trPr>
        <w:tc>
          <w:tcPr>
            <w:tcW w:w="2689" w:type="dxa"/>
            <w:shd w:val="clear" w:color="auto" w:fill="auto"/>
            <w:vAlign w:val="center"/>
          </w:tcPr>
          <w:p w:rsidR="000724BF" w:rsidRPr="000724BF" w:rsidRDefault="000724BF" w:rsidP="000724BF">
            <w:pPr>
              <w:spacing w:after="0" w:line="240" w:lineRule="auto"/>
              <w:ind w:firstLine="171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color w:val="000000"/>
                <w:sz w:val="22"/>
                <w:lang w:eastAsia="ru-RU"/>
              </w:rPr>
              <w:t>- оптимальное значение</w:t>
            </w:r>
          </w:p>
        </w:tc>
        <w:tc>
          <w:tcPr>
            <w:tcW w:w="351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0,042</w:t>
            </w:r>
          </w:p>
        </w:tc>
        <w:tc>
          <w:tcPr>
            <w:tcW w:w="3187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0,035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0,042</w:t>
            </w:r>
          </w:p>
        </w:tc>
        <w:tc>
          <w:tcPr>
            <w:tcW w:w="3015" w:type="dxa"/>
            <w:shd w:val="clear" w:color="auto" w:fill="auto"/>
            <w:noWrap/>
            <w:vAlign w:val="center"/>
          </w:tcPr>
          <w:p w:rsidR="000724BF" w:rsidRPr="000724BF" w:rsidRDefault="000724BF" w:rsidP="000724B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24BF">
              <w:rPr>
                <w:rFonts w:eastAsia="Times New Roman" w:cs="Times New Roman"/>
                <w:sz w:val="22"/>
                <w:lang w:eastAsia="ru-RU"/>
              </w:rPr>
              <w:t>0,585</w:t>
            </w:r>
          </w:p>
        </w:tc>
      </w:tr>
    </w:tbl>
    <w:p w:rsidR="000724BF" w:rsidRPr="000724BF" w:rsidRDefault="000724BF" w:rsidP="000724BF">
      <w:pPr>
        <w:spacing w:after="0" w:line="240" w:lineRule="auto"/>
        <w:rPr>
          <w:rFonts w:eastAsia="Times New Roman" w:cs="Times New Roman"/>
          <w:sz w:val="22"/>
          <w:lang w:eastAsia="ru-RU"/>
        </w:rPr>
      </w:pPr>
    </w:p>
    <w:p w:rsidR="000724BF" w:rsidRPr="000724BF" w:rsidRDefault="000724BF" w:rsidP="000724B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724BF" w:rsidRPr="000724BF" w:rsidRDefault="000724BF" w:rsidP="000724BF">
      <w:pPr>
        <w:widowControl w:val="0"/>
        <w:suppressAutoHyphens/>
        <w:spacing w:after="0" w:line="360" w:lineRule="auto"/>
        <w:jc w:val="both"/>
        <w:outlineLvl w:val="1"/>
        <w:rPr>
          <w:rFonts w:eastAsia="Times New Roman" w:cs="Arial"/>
          <w:bCs/>
          <w:iCs/>
          <w:szCs w:val="28"/>
          <w:lang w:eastAsia="ru-RU"/>
        </w:rPr>
        <w:sectPr w:rsidR="000724BF" w:rsidRPr="000724BF" w:rsidSect="000724BF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 w:rsidRPr="000724BF">
        <w:rPr>
          <w:rFonts w:eastAsia="Times New Roman" w:cs="Arial"/>
          <w:bCs/>
          <w:iCs/>
          <w:szCs w:val="28"/>
          <w:lang w:eastAsia="ru-RU"/>
        </w:rPr>
        <w:br w:type="page"/>
      </w:r>
    </w:p>
    <w:p w:rsidR="00590AB7" w:rsidRPr="000724BF" w:rsidRDefault="00590AB7" w:rsidP="00590AB7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lastRenderedPageBreak/>
        <w:t xml:space="preserve">На основании полученных дифференцированных уравнений регрессий было рассчитано нормативное значение совокупного индекса ресурсоемкости по технологическим процессам (рисунок </w:t>
      </w:r>
      <w:r w:rsidR="00B31DB5">
        <w:rPr>
          <w:rFonts w:eastAsia="Times New Roman" w:cs="Times New Roman"/>
          <w:szCs w:val="28"/>
          <w:lang w:eastAsia="ru-RU"/>
        </w:rPr>
        <w:t>1</w:t>
      </w:r>
      <w:r w:rsidRPr="000724BF">
        <w:rPr>
          <w:rFonts w:eastAsia="Times New Roman" w:cs="Times New Roman"/>
          <w:szCs w:val="28"/>
          <w:lang w:eastAsia="ru-RU"/>
        </w:rPr>
        <w:t>).</w:t>
      </w:r>
    </w:p>
    <w:p w:rsidR="00590AB7" w:rsidRPr="000724BF" w:rsidRDefault="00590AB7" w:rsidP="00590AB7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590AB7" w:rsidRPr="000724BF" w:rsidRDefault="00590AB7" w:rsidP="00590AB7">
      <w:pPr>
        <w:widowControl w:val="0"/>
        <w:suppressAutoHyphens/>
        <w:spacing w:after="0" w:line="360" w:lineRule="auto"/>
        <w:jc w:val="both"/>
        <w:outlineLvl w:val="1"/>
        <w:rPr>
          <w:rFonts w:eastAsia="Times New Roman" w:cs="Arial"/>
          <w:b/>
          <w:bCs/>
          <w:iCs/>
          <w:szCs w:val="28"/>
          <w:lang w:eastAsia="ru-RU"/>
        </w:rPr>
      </w:pPr>
      <w:r w:rsidRPr="000724BF">
        <w:rPr>
          <w:rFonts w:eastAsia="Times New Roman" w:cs="Arial"/>
          <w:b/>
          <w:bCs/>
          <w:iCs/>
          <w:noProof/>
          <w:szCs w:val="28"/>
          <w:lang w:eastAsia="ru-RU"/>
        </w:rPr>
        <w:drawing>
          <wp:inline distT="0" distB="0" distL="0" distR="0" wp14:anchorId="53094164" wp14:editId="251E6DC6">
            <wp:extent cx="5935980" cy="2339340"/>
            <wp:effectExtent l="0" t="0" r="7620" b="381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6"/>
              </a:graphicData>
            </a:graphic>
          </wp:inline>
        </w:drawing>
      </w:r>
    </w:p>
    <w:p w:rsidR="00590AB7" w:rsidRPr="00590AB7" w:rsidRDefault="00590AB7" w:rsidP="00590AB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724BF">
        <w:rPr>
          <w:rFonts w:eastAsia="Times New Roman" w:cs="Times New Roman"/>
          <w:szCs w:val="28"/>
          <w:lang w:eastAsia="ru-RU"/>
        </w:rPr>
        <w:t xml:space="preserve">Рисунок </w:t>
      </w:r>
      <w:r w:rsidR="00B31DB5">
        <w:rPr>
          <w:rFonts w:eastAsia="Times New Roman" w:cs="Times New Roman"/>
          <w:szCs w:val="28"/>
          <w:lang w:eastAsia="ru-RU"/>
        </w:rPr>
        <w:t>1</w:t>
      </w:r>
      <w:r w:rsidRPr="000724BF">
        <w:rPr>
          <w:rFonts w:eastAsia="Times New Roman" w:cs="Times New Roman"/>
          <w:szCs w:val="28"/>
          <w:lang w:eastAsia="ru-RU"/>
        </w:rPr>
        <w:t xml:space="preserve"> – Сопоставимая характеристика фактических и нормативных показателей ресурсоемкости производственно-технологических процессов в промышленном плодоводстве</w:t>
      </w:r>
      <w:r w:rsidRPr="00590AB7">
        <w:rPr>
          <w:rFonts w:eastAsia="Times New Roman" w:cs="Times New Roman"/>
          <w:szCs w:val="28"/>
          <w:lang w:eastAsia="ru-RU"/>
        </w:rPr>
        <w:t>/</w:t>
      </w:r>
    </w:p>
    <w:p w:rsidR="000724BF" w:rsidRDefault="00AC2B85" w:rsidP="00590AB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C2B85">
        <w:rPr>
          <w:rFonts w:eastAsia="Times New Roman" w:cs="Times New Roman"/>
          <w:b/>
          <w:szCs w:val="28"/>
          <w:lang w:eastAsia="ru-RU"/>
        </w:rPr>
        <w:t>Заключение.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724BF" w:rsidRPr="000724BF">
        <w:rPr>
          <w:rFonts w:eastAsia="Times New Roman" w:cs="Times New Roman"/>
          <w:szCs w:val="28"/>
          <w:lang w:eastAsia="ru-RU"/>
        </w:rPr>
        <w:t>Таким образом, по всем стадиям технологического процесса в промышленном плодоводстве наблюдается несоблюдение нормативных значений показателей ресурсоемкости, что обуславливает необходимость разработки направлений по снижению ресурсоёмкости и повышению эффективности и конкурентоспособности производства отраслевой продукции.</w:t>
      </w:r>
    </w:p>
    <w:p w:rsidR="00B31DB5" w:rsidRDefault="00B31DB5" w:rsidP="00590AB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F3239" w:rsidRPr="00B31DB5" w:rsidRDefault="00AC2B85" w:rsidP="00AC2B85">
      <w:pPr>
        <w:jc w:val="center"/>
        <w:rPr>
          <w:b/>
          <w:sz w:val="24"/>
          <w:szCs w:val="24"/>
        </w:rPr>
      </w:pPr>
      <w:r w:rsidRPr="00B31DB5">
        <w:rPr>
          <w:b/>
          <w:sz w:val="24"/>
          <w:szCs w:val="24"/>
        </w:rPr>
        <w:t>Список литературы</w:t>
      </w:r>
    </w:p>
    <w:p w:rsidR="00AC2B85" w:rsidRPr="00590AB7" w:rsidRDefault="00AC2B85" w:rsidP="00590AB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0AB7">
        <w:rPr>
          <w:rFonts w:eastAsia="Times New Roman" w:cs="Times New Roman"/>
          <w:sz w:val="24"/>
          <w:szCs w:val="24"/>
          <w:lang w:eastAsia="ru-RU"/>
        </w:rPr>
        <w:t xml:space="preserve">Егоров Е.А., Шадрина Ж.А., Кочьян Г.А. </w:t>
      </w:r>
      <w:r w:rsidR="00590AB7" w:rsidRPr="00590AB7">
        <w:rPr>
          <w:rFonts w:eastAsia="Times New Roman" w:cs="Times New Roman"/>
          <w:sz w:val="24"/>
          <w:szCs w:val="24"/>
          <w:lang w:eastAsia="ru-RU"/>
        </w:rPr>
        <w:t>Оптимизация воспроизводственных процессов в промышленном плодоводстве</w:t>
      </w:r>
      <w:r w:rsidRPr="00590AB7">
        <w:rPr>
          <w:rFonts w:eastAsia="Times New Roman" w:cs="Times New Roman"/>
          <w:sz w:val="24"/>
          <w:szCs w:val="24"/>
          <w:lang w:eastAsia="ru-RU"/>
        </w:rPr>
        <w:t xml:space="preserve"> // Экономика сельскохозяйственных и перерабатывающих предприятий. 2009. № 10. С. 40-42.</w:t>
      </w:r>
    </w:p>
    <w:p w:rsidR="00590AB7" w:rsidRPr="00590AB7" w:rsidRDefault="00590AB7" w:rsidP="00590AB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0AB7">
        <w:rPr>
          <w:rFonts w:eastAsia="Times New Roman" w:cs="Times New Roman"/>
          <w:sz w:val="24"/>
          <w:szCs w:val="24"/>
          <w:lang w:eastAsia="ru-RU"/>
        </w:rPr>
        <w:t>Сороко Э.М. Золотые сечения, процессы самоорганизации и эволюции систем. Введение в общую теорию гармонии систем</w:t>
      </w:r>
      <w:r w:rsidR="00B31DB5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590AB7">
        <w:rPr>
          <w:rFonts w:eastAsia="Times New Roman" w:cs="Times New Roman"/>
          <w:sz w:val="24"/>
          <w:szCs w:val="24"/>
          <w:lang w:eastAsia="ru-RU"/>
        </w:rPr>
        <w:t>– М.: КомКнига, 2006. – 264 с.</w:t>
      </w:r>
    </w:p>
    <w:p w:rsidR="00590AB7" w:rsidRPr="00590AB7" w:rsidRDefault="00590AB7" w:rsidP="00590AB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0AB7">
        <w:rPr>
          <w:rFonts w:eastAsia="Times New Roman" w:cs="Times New Roman"/>
          <w:sz w:val="24"/>
          <w:szCs w:val="24"/>
          <w:lang w:eastAsia="ru-RU"/>
        </w:rPr>
        <w:t>Реймерс Н.Ф. Экология (теории, законы, правила принципы и гипотезы). – М.: Журнал «Россия Молодая», 1994. – 376 с.</w:t>
      </w:r>
    </w:p>
    <w:p w:rsidR="00590AB7" w:rsidRPr="00590AB7" w:rsidRDefault="00590AB7" w:rsidP="00590AB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0AB7">
        <w:rPr>
          <w:rFonts w:eastAsia="Times New Roman" w:cs="Times New Roman"/>
          <w:sz w:val="24"/>
          <w:szCs w:val="24"/>
          <w:lang w:eastAsia="ru-RU"/>
        </w:rPr>
        <w:t>Егоров Е.А., Шадрина Ж.А., Кочьян Г.А. Экономическая сущность ресурсосбережения в интенсивном плодоводстве // Садоводство и виноградарство. – 2014. – № 5. – С. 7-12.</w:t>
      </w:r>
    </w:p>
    <w:p w:rsidR="00590AB7" w:rsidRPr="005C1331" w:rsidRDefault="00590AB7" w:rsidP="00590AB7">
      <w:pPr>
        <w:tabs>
          <w:tab w:val="num" w:pos="0"/>
        </w:tabs>
        <w:jc w:val="center"/>
        <w:rPr>
          <w:color w:val="00008F"/>
        </w:rPr>
      </w:pPr>
      <w:r w:rsidRPr="00B31DB5">
        <w:rPr>
          <w:b/>
          <w:sz w:val="24"/>
          <w:szCs w:val="24"/>
          <w:lang w:val="en-US"/>
        </w:rPr>
        <w:lastRenderedPageBreak/>
        <w:t>References</w:t>
      </w:r>
    </w:p>
    <w:p w:rsidR="00590AB7" w:rsidRPr="00AE41CB" w:rsidRDefault="00590AB7" w:rsidP="00B31DB5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B31DB5">
        <w:rPr>
          <w:sz w:val="24"/>
          <w:szCs w:val="24"/>
        </w:rPr>
        <w:t>1.</w:t>
      </w:r>
      <w:r w:rsidRPr="00590AB7">
        <w:rPr>
          <w:b/>
        </w:rPr>
        <w:tab/>
      </w:r>
      <w:r w:rsidRPr="00590AB7">
        <w:rPr>
          <w:rFonts w:eastAsia="Times New Roman" w:cs="Times New Roman"/>
          <w:sz w:val="24"/>
          <w:szCs w:val="24"/>
          <w:lang w:eastAsia="ru-RU"/>
        </w:rPr>
        <w:t xml:space="preserve">Egorov E.A., SHadrina ZH.A., Koch'yan G.A. Optimizaciya vosproizvodstvennyh processov v promyshlennom plodovodstve // Ekonomika sel'skohozyajstvennyh i pererabatyvayushchih predpriyatij. </w:t>
      </w:r>
      <w:r w:rsidRPr="00AE41CB">
        <w:rPr>
          <w:rFonts w:eastAsia="Times New Roman" w:cs="Times New Roman"/>
          <w:sz w:val="24"/>
          <w:szCs w:val="24"/>
          <w:lang w:val="en-US" w:eastAsia="ru-RU"/>
        </w:rPr>
        <w:t>2009. № 10. S. 40-42.</w:t>
      </w:r>
    </w:p>
    <w:p w:rsidR="00590AB7" w:rsidRPr="00AE41CB" w:rsidRDefault="00590AB7" w:rsidP="00B31DB5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B31DB5">
        <w:rPr>
          <w:rFonts w:eastAsia="Times New Roman" w:cs="Times New Roman"/>
          <w:sz w:val="24"/>
          <w:szCs w:val="24"/>
          <w:lang w:val="en-US" w:eastAsia="ru-RU"/>
        </w:rPr>
        <w:t>2.</w:t>
      </w:r>
      <w:r w:rsidRPr="00B31DB5">
        <w:rPr>
          <w:rFonts w:eastAsia="Times New Roman" w:cs="Times New Roman"/>
          <w:sz w:val="24"/>
          <w:szCs w:val="24"/>
          <w:lang w:val="en-US" w:eastAsia="ru-RU"/>
        </w:rPr>
        <w:tab/>
        <w:t xml:space="preserve">Soroko, E.M. Zolotye secheniya, processy samoorganizacii i evolyucii sistem.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Vvedenie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v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obshchuyu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teoriyu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garmonii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sistem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/ E.M.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Soroko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 xml:space="preserve"> – M.: </w:t>
      </w:r>
      <w:proofErr w:type="spellStart"/>
      <w:r w:rsidRPr="00AE41CB">
        <w:rPr>
          <w:rFonts w:eastAsia="Times New Roman" w:cs="Times New Roman"/>
          <w:sz w:val="24"/>
          <w:szCs w:val="24"/>
          <w:lang w:val="en-US" w:eastAsia="ru-RU"/>
        </w:rPr>
        <w:t>KomKniga</w:t>
      </w:r>
      <w:proofErr w:type="spellEnd"/>
      <w:r w:rsidRPr="00AE41CB">
        <w:rPr>
          <w:rFonts w:eastAsia="Times New Roman" w:cs="Times New Roman"/>
          <w:sz w:val="24"/>
          <w:szCs w:val="24"/>
          <w:lang w:val="en-US" w:eastAsia="ru-RU"/>
        </w:rPr>
        <w:t>, 2006. – 264 s.</w:t>
      </w:r>
    </w:p>
    <w:p w:rsidR="00590AB7" w:rsidRPr="00B31DB5" w:rsidRDefault="00590AB7" w:rsidP="00B31DB5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B31DB5">
        <w:rPr>
          <w:rFonts w:eastAsia="Times New Roman" w:cs="Times New Roman"/>
          <w:sz w:val="24"/>
          <w:szCs w:val="24"/>
          <w:lang w:val="en-US" w:eastAsia="ru-RU"/>
        </w:rPr>
        <w:t>3.</w:t>
      </w:r>
      <w:r w:rsidRPr="00B31DB5">
        <w:rPr>
          <w:rFonts w:eastAsia="Times New Roman" w:cs="Times New Roman"/>
          <w:sz w:val="24"/>
          <w:szCs w:val="24"/>
          <w:lang w:val="en-US" w:eastAsia="ru-RU"/>
        </w:rPr>
        <w:tab/>
        <w:t>Rejmers, N.F. Ekologiya (teorii, zakony, pravila principy i gipotezy) / N.F. Rejmers. – M.: ZHurnal «Rossiya Molodaya», 1994. – 376 s.</w:t>
      </w:r>
    </w:p>
    <w:p w:rsidR="00590AB7" w:rsidRPr="00B31DB5" w:rsidRDefault="00590AB7" w:rsidP="00B31DB5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B31DB5">
        <w:rPr>
          <w:rFonts w:eastAsia="Times New Roman" w:cs="Times New Roman"/>
          <w:sz w:val="24"/>
          <w:szCs w:val="24"/>
          <w:lang w:val="en-US" w:eastAsia="ru-RU"/>
        </w:rPr>
        <w:t>4.</w:t>
      </w:r>
      <w:r w:rsidRPr="00B31DB5">
        <w:rPr>
          <w:rFonts w:eastAsia="Times New Roman" w:cs="Times New Roman"/>
          <w:sz w:val="24"/>
          <w:szCs w:val="24"/>
          <w:lang w:val="en-US" w:eastAsia="ru-RU"/>
        </w:rPr>
        <w:tab/>
        <w:t>Egorov E.A., SHadrina ZH.A., Koch'yan G.A. Ekonomicheskaya sushchnost' resursosberezheniya v intensivnom plodovodstve // Sadovodstvo i vinogradarstvo. – 2014. – № 5. – S. 7-12.</w:t>
      </w:r>
    </w:p>
    <w:sectPr w:rsidR="00590AB7" w:rsidRPr="00B31DB5" w:rsidSect="008A0EE4">
      <w:pgSz w:w="11906" w:h="16838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3EA" w:rsidRDefault="002C43EA" w:rsidP="00AE41CB">
      <w:pPr>
        <w:spacing w:after="0" w:line="240" w:lineRule="auto"/>
      </w:pPr>
      <w:r>
        <w:separator/>
      </w:r>
    </w:p>
  </w:endnote>
  <w:endnote w:type="continuationSeparator" w:id="0">
    <w:p w:rsidR="002C43EA" w:rsidRDefault="002C43EA" w:rsidP="00AE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2AFA" w:rsidRDefault="002C43EA">
    <w:pPr>
      <w:pStyle w:val="Footer"/>
    </w:pPr>
    <w:hyperlink r:id="rId1" w:history="1">
      <w:r w:rsidR="00EC2AFA" w:rsidRPr="004A7F76">
        <w:rPr>
          <w:rStyle w:val="Hyperlink"/>
          <w:rFonts w:cs="Times New Roman"/>
          <w:sz w:val="24"/>
          <w:szCs w:val="24"/>
        </w:rPr>
        <w:t>http://ej.kubagro.ru/2019/08/pdf/1</w:t>
      </w:r>
      <w:r w:rsidR="00EC2AFA" w:rsidRPr="004A7F76">
        <w:rPr>
          <w:rStyle w:val="Hyperlink"/>
          <w:rFonts w:cs="Times New Roman"/>
          <w:sz w:val="24"/>
          <w:szCs w:val="24"/>
          <w:lang w:val="en-US"/>
        </w:rPr>
        <w:t>9</w:t>
      </w:r>
      <w:r w:rsidR="00EC2AFA" w:rsidRPr="004A7F76">
        <w:rPr>
          <w:rStyle w:val="Hyperlink"/>
          <w:rFonts w:cs="Times New Roman"/>
          <w:sz w:val="24"/>
          <w:szCs w:val="24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3EA" w:rsidRDefault="002C43EA" w:rsidP="00AE41CB">
      <w:pPr>
        <w:spacing w:after="0" w:line="240" w:lineRule="auto"/>
      </w:pPr>
      <w:r>
        <w:separator/>
      </w:r>
    </w:p>
  </w:footnote>
  <w:footnote w:type="continuationSeparator" w:id="0">
    <w:p w:rsidR="002C43EA" w:rsidRDefault="002C43EA" w:rsidP="00AE41CB">
      <w:pPr>
        <w:spacing w:after="0" w:line="240" w:lineRule="auto"/>
      </w:pPr>
      <w:r>
        <w:continuationSeparator/>
      </w:r>
    </w:p>
  </w:footnote>
  <w:footnote w:id="1">
    <w:p w:rsidR="00EC2AFA" w:rsidRDefault="00EC2AFA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A122E6">
        <w:rPr>
          <w:sz w:val="18"/>
          <w:szCs w:val="18"/>
        </w:rPr>
        <w:t xml:space="preserve">Работа выполнена при поддержке РФФИ и администрации Краснодарского края № 18-410-230009 </w:t>
      </w:r>
      <w:proofErr w:type="spellStart"/>
      <w:r w:rsidRPr="00A122E6">
        <w:rPr>
          <w:sz w:val="18"/>
          <w:szCs w:val="18"/>
        </w:rPr>
        <w:t>р_а</w:t>
      </w:r>
      <w:proofErr w:type="spellEnd"/>
      <w:r w:rsidRPr="00A122E6">
        <w:rPr>
          <w:sz w:val="18"/>
          <w:szCs w:val="18"/>
        </w:rPr>
        <w:t xml:space="preserve"> и в рамках выполнени</w:t>
      </w:r>
      <w:r>
        <w:rPr>
          <w:sz w:val="18"/>
          <w:szCs w:val="18"/>
        </w:rPr>
        <w:t>я</w:t>
      </w:r>
      <w:r w:rsidRPr="00A122E6">
        <w:rPr>
          <w:sz w:val="18"/>
          <w:szCs w:val="18"/>
        </w:rPr>
        <w:t xml:space="preserve"> государственного задания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28785507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EC2AFA" w:rsidRDefault="00EC2AFA" w:rsidP="00EC2AF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C2AFA" w:rsidRDefault="00EC2AFA" w:rsidP="00A1164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0720402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EC2AFA" w:rsidRDefault="00EC2AFA" w:rsidP="00EC2AF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1410072568"/>
      <w:docPartObj>
        <w:docPartGallery w:val="Page Numbers (Top of Page)"/>
        <w:docPartUnique/>
      </w:docPartObj>
    </w:sdtPr>
    <w:sdtEndPr/>
    <w:sdtContent>
      <w:p w:rsidR="00EC2AFA" w:rsidRDefault="00EC2AFA" w:rsidP="00A1164E">
        <w:pPr>
          <w:pStyle w:val="Header"/>
          <w:ind w:right="360"/>
        </w:pPr>
        <w:r w:rsidRPr="0054566F">
          <w:rPr>
            <w:rFonts w:cs="Times New Roman"/>
            <w:sz w:val="24"/>
            <w:szCs w:val="24"/>
          </w:rPr>
          <w:t xml:space="preserve">Научный журнал </w:t>
        </w:r>
        <w:proofErr w:type="spellStart"/>
        <w:r w:rsidRPr="0054566F">
          <w:rPr>
            <w:rFonts w:cs="Times New Roman"/>
            <w:sz w:val="24"/>
            <w:szCs w:val="24"/>
          </w:rPr>
          <w:t>КубГАУ</w:t>
        </w:r>
        <w:proofErr w:type="spellEnd"/>
        <w:r w:rsidRPr="0054566F">
          <w:rPr>
            <w:rFonts w:cs="Times New Roman"/>
            <w:sz w:val="24"/>
            <w:szCs w:val="24"/>
          </w:rPr>
          <w:t>, №</w:t>
        </w:r>
        <w:r w:rsidRPr="0054566F">
          <w:rPr>
            <w:rFonts w:cs="Times New Roman"/>
            <w:sz w:val="24"/>
            <w:szCs w:val="24"/>
            <w:lang w:val="en-US"/>
          </w:rPr>
          <w:t>1</w:t>
        </w:r>
        <w:r w:rsidRPr="0054566F">
          <w:rPr>
            <w:rFonts w:cs="Times New Roman"/>
            <w:sz w:val="24"/>
            <w:szCs w:val="24"/>
          </w:rPr>
          <w:t>52(</w:t>
        </w:r>
        <w:r w:rsidRPr="0054566F">
          <w:rPr>
            <w:rFonts w:cs="Times New Roman"/>
            <w:sz w:val="24"/>
            <w:szCs w:val="24"/>
            <w:lang w:val="en-US"/>
          </w:rPr>
          <w:t>0</w:t>
        </w:r>
        <w:r w:rsidR="007735C1">
          <w:rPr>
            <w:rFonts w:cs="Times New Roman"/>
            <w:sz w:val="24"/>
            <w:szCs w:val="24"/>
          </w:rPr>
          <w:t>8</w:t>
        </w:r>
        <w:r w:rsidRPr="0054566F">
          <w:rPr>
            <w:rFonts w:cs="Times New Roman"/>
            <w:sz w:val="24"/>
            <w:szCs w:val="24"/>
          </w:rPr>
          <w:t>), 20</w:t>
        </w:r>
        <w:r w:rsidRPr="0054566F">
          <w:rPr>
            <w:rFonts w:cs="Times New Roman"/>
            <w:sz w:val="24"/>
            <w:szCs w:val="24"/>
            <w:lang w:val="en-US"/>
          </w:rPr>
          <w:t>19</w:t>
        </w:r>
        <w:r w:rsidRPr="0054566F">
          <w:rPr>
            <w:rFonts w:cs="Times New Roman"/>
            <w:sz w:val="24"/>
            <w:szCs w:val="24"/>
          </w:rPr>
          <w:t xml:space="preserve"> года</w:t>
        </w:r>
      </w:p>
    </w:sdtContent>
  </w:sdt>
  <w:p w:rsidR="00EC2AFA" w:rsidRDefault="00EC2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3FE8"/>
    <w:multiLevelType w:val="hybridMultilevel"/>
    <w:tmpl w:val="DC38D300"/>
    <w:lvl w:ilvl="0" w:tplc="BFF0DA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52F04"/>
    <w:multiLevelType w:val="hybridMultilevel"/>
    <w:tmpl w:val="EE2A8B2C"/>
    <w:lvl w:ilvl="0" w:tplc="BFF0DAC4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4BF"/>
    <w:rsid w:val="000724BF"/>
    <w:rsid w:val="001377F8"/>
    <w:rsid w:val="001A1C75"/>
    <w:rsid w:val="001F3106"/>
    <w:rsid w:val="002C3A80"/>
    <w:rsid w:val="002C43EA"/>
    <w:rsid w:val="00444444"/>
    <w:rsid w:val="004C04B3"/>
    <w:rsid w:val="004C4BDC"/>
    <w:rsid w:val="00590AB7"/>
    <w:rsid w:val="006A39CA"/>
    <w:rsid w:val="00721234"/>
    <w:rsid w:val="007735C1"/>
    <w:rsid w:val="007C7361"/>
    <w:rsid w:val="007F0688"/>
    <w:rsid w:val="008A0EE4"/>
    <w:rsid w:val="00A1164E"/>
    <w:rsid w:val="00A7609C"/>
    <w:rsid w:val="00AC2B85"/>
    <w:rsid w:val="00AE41CB"/>
    <w:rsid w:val="00B31DB5"/>
    <w:rsid w:val="00BA4A18"/>
    <w:rsid w:val="00BF3239"/>
    <w:rsid w:val="00CC31A6"/>
    <w:rsid w:val="00E45558"/>
    <w:rsid w:val="00E56F26"/>
    <w:rsid w:val="00E639BA"/>
    <w:rsid w:val="00E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AD980"/>
  <w15:docId w15:val="{3AB4D6A6-C615-5C4F-9C31-41EE4468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24B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724BF"/>
    <w:rPr>
      <w:color w:val="0000FF"/>
      <w:u w:val="single"/>
    </w:rPr>
  </w:style>
  <w:style w:type="character" w:customStyle="1" w:styleId="hps">
    <w:name w:val="hps"/>
    <w:basedOn w:val="DefaultParagraphFont"/>
    <w:rsid w:val="000724BF"/>
  </w:style>
  <w:style w:type="paragraph" w:styleId="Title">
    <w:name w:val="Title"/>
    <w:basedOn w:val="Normal"/>
    <w:link w:val="TitleChar"/>
    <w:qFormat/>
    <w:rsid w:val="000724BF"/>
    <w:pPr>
      <w:spacing w:after="0" w:line="240" w:lineRule="auto"/>
      <w:jc w:val="center"/>
    </w:pPr>
    <w:rPr>
      <w:rFonts w:eastAsia="Times New Roman" w:cs="Times New Roman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0724BF"/>
    <w:rPr>
      <w:rFonts w:eastAsia="Times New Roman" w:cs="Times New Roman"/>
      <w:sz w:val="32"/>
      <w:szCs w:val="24"/>
      <w:lang w:eastAsia="ru-RU"/>
    </w:rPr>
  </w:style>
  <w:style w:type="character" w:customStyle="1" w:styleId="shorttext">
    <w:name w:val="short_text"/>
    <w:basedOn w:val="DefaultParagraphFont"/>
    <w:rsid w:val="000724BF"/>
  </w:style>
  <w:style w:type="paragraph" w:styleId="ListParagraph">
    <w:name w:val="List Paragraph"/>
    <w:basedOn w:val="Normal"/>
    <w:uiPriority w:val="34"/>
    <w:qFormat/>
    <w:rsid w:val="00590AB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E41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41CB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AE41C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E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0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EE4"/>
  </w:style>
  <w:style w:type="paragraph" w:styleId="Footer">
    <w:name w:val="footer"/>
    <w:basedOn w:val="Normal"/>
    <w:link w:val="FooterChar"/>
    <w:uiPriority w:val="99"/>
    <w:unhideWhenUsed/>
    <w:rsid w:val="008A0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EE4"/>
  </w:style>
  <w:style w:type="character" w:styleId="PageNumber">
    <w:name w:val="page number"/>
    <w:basedOn w:val="DefaultParagraphFont"/>
    <w:uiPriority w:val="99"/>
    <w:semiHidden/>
    <w:unhideWhenUsed/>
    <w:rsid w:val="00A1164E"/>
  </w:style>
  <w:style w:type="character" w:styleId="UnresolvedMention">
    <w:name w:val="Unresolved Mention"/>
    <w:basedOn w:val="DefaultParagraphFont"/>
    <w:uiPriority w:val="99"/>
    <w:semiHidden/>
    <w:unhideWhenUsed/>
    <w:rsid w:val="001A1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1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2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18" Type="http://schemas.openxmlformats.org/officeDocument/2006/relationships/theme" Target="theme/theme1.xml"/><Relationship Id="rId80" Type="http://schemas.openxmlformats.org/officeDocument/2006/relationships/image" Target="media/image35.wmf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49.wmf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2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5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47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8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2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6.wmf"/><Relationship Id="rId19" Type="http://schemas.openxmlformats.org/officeDocument/2006/relationships/footer" Target="footer1.xml"/><Relationship Id="rId14" Type="http://schemas.openxmlformats.org/officeDocument/2006/relationships/oleObject" Target="embeddings/oleObject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7.bin"/><Relationship Id="rId8" Type="http://schemas.openxmlformats.org/officeDocument/2006/relationships/hyperlink" Target="http://dx.doi.org/10.21515/1990-4665-152-019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18.wmf"/><Relationship Id="rId67" Type="http://schemas.openxmlformats.org/officeDocument/2006/relationships/oleObject" Target="embeddings/oleObject28.bin"/><Relationship Id="rId116" Type="http://schemas.openxmlformats.org/officeDocument/2006/relationships/chart" Target="charts/chart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6.wmf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0.bin"/><Relationship Id="rId15" Type="http://schemas.openxmlformats.org/officeDocument/2006/relationships/image" Target="media/image4.wmf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8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8/pdf/19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Лист2!$B$23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accent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solidFill>
                  <a:schemeClr val="bg1">
                    <a:lumMod val="75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DD3-0645-92D2-443695C2AB1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Лист2!$A$24:$A$29</c:f>
              <c:strCache>
                <c:ptCount val="6"/>
                <c:pt idx="0">
                  <c:v>Предпосадочная подготовка почвы</c:v>
                </c:pt>
                <c:pt idx="1">
                  <c:v>Разбивка участка, устройство опорно-шпалерной конструкции и мелиоративной системы</c:v>
                </c:pt>
                <c:pt idx="2">
                  <c:v>Закладка насаждений</c:v>
                </c:pt>
                <c:pt idx="3">
                  <c:v>Уход за молодыми неплодоносящими насаждениями</c:v>
                </c:pt>
                <c:pt idx="4">
                  <c:v>Уход за вступающими и плодоносящими насаждениями</c:v>
                </c:pt>
                <c:pt idx="5">
                  <c:v>Уборка урожая</c:v>
                </c:pt>
              </c:strCache>
            </c:strRef>
          </c:cat>
          <c:val>
            <c:numRef>
              <c:f>Лист2!$B$24:$B$29</c:f>
              <c:numCache>
                <c:formatCode>General</c:formatCode>
                <c:ptCount val="6"/>
                <c:pt idx="0">
                  <c:v>0.66300000000000003</c:v>
                </c:pt>
                <c:pt idx="1">
                  <c:v>2.911</c:v>
                </c:pt>
                <c:pt idx="2">
                  <c:v>2.1269999999999998</c:v>
                </c:pt>
                <c:pt idx="3">
                  <c:v>0.24199999999999999</c:v>
                </c:pt>
                <c:pt idx="4">
                  <c:v>0.96499999999999997</c:v>
                </c:pt>
                <c:pt idx="5">
                  <c:v>9.4E-2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DD3-0645-92D2-443695C2AB1F}"/>
            </c:ext>
          </c:extLst>
        </c:ser>
        <c:ser>
          <c:idx val="1"/>
          <c:order val="1"/>
          <c:tx>
            <c:strRef>
              <c:f>Лист2!$C$23</c:f>
              <c:strCache>
                <c:ptCount val="1"/>
                <c:pt idx="0">
                  <c:v>норма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Лист2!$A$24:$A$29</c:f>
              <c:strCache>
                <c:ptCount val="6"/>
                <c:pt idx="0">
                  <c:v>Предпосадочная подготовка почвы</c:v>
                </c:pt>
                <c:pt idx="1">
                  <c:v>Разбивка участка, устройство опорно-шпалерной конструкции и мелиоративной системы</c:v>
                </c:pt>
                <c:pt idx="2">
                  <c:v>Закладка насаждений</c:v>
                </c:pt>
                <c:pt idx="3">
                  <c:v>Уход за молодыми неплодоносящими насаждениями</c:v>
                </c:pt>
                <c:pt idx="4">
                  <c:v>Уход за вступающими и плодоносящими насаждениями</c:v>
                </c:pt>
                <c:pt idx="5">
                  <c:v>Уборка урожая</c:v>
                </c:pt>
              </c:strCache>
            </c:strRef>
          </c:cat>
          <c:val>
            <c:numRef>
              <c:f>Лист2!$C$24:$C$29</c:f>
              <c:numCache>
                <c:formatCode>General</c:formatCode>
                <c:ptCount val="6"/>
                <c:pt idx="0">
                  <c:v>0.502</c:v>
                </c:pt>
                <c:pt idx="1">
                  <c:v>1.88</c:v>
                </c:pt>
                <c:pt idx="2">
                  <c:v>1.37</c:v>
                </c:pt>
                <c:pt idx="3">
                  <c:v>0.155</c:v>
                </c:pt>
                <c:pt idx="4">
                  <c:v>0.61699999999999999</c:v>
                </c:pt>
                <c:pt idx="5">
                  <c:v>6.2E-2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DD3-0645-92D2-443695C2AB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494592"/>
        <c:axId val="40496128"/>
      </c:barChart>
      <c:catAx>
        <c:axId val="40494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496128"/>
        <c:crosses val="autoZero"/>
        <c:auto val="1"/>
        <c:lblAlgn val="ctr"/>
        <c:lblOffset val="100"/>
        <c:noMultiLvlLbl val="0"/>
      </c:catAx>
      <c:valAx>
        <c:axId val="40496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494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CF999-DEC4-3A4E-9FF5-3C57CDF2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2179</Words>
  <Characters>12423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Microsoft Office User</cp:lastModifiedBy>
  <cp:revision>15</cp:revision>
  <dcterms:created xsi:type="dcterms:W3CDTF">2019-07-12T10:11:00Z</dcterms:created>
  <dcterms:modified xsi:type="dcterms:W3CDTF">2019-11-11T09:15:00Z</dcterms:modified>
</cp:coreProperties>
</file>