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F16299" w:rsidRPr="000D474C" w:rsidTr="36B77A86">
        <w:tc>
          <w:tcPr>
            <w:tcW w:w="4643" w:type="dxa"/>
          </w:tcPr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5E48">
              <w:rPr>
                <w:rFonts w:ascii="Times New Roman" w:hAnsi="Times New Roman"/>
                <w:sz w:val="20"/>
                <w:szCs w:val="20"/>
              </w:rPr>
              <w:t>УДК 374 (045)</w:t>
            </w: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5E48">
              <w:rPr>
                <w:rFonts w:ascii="Times New Roman" w:hAnsi="Times New Roman"/>
                <w:sz w:val="20"/>
                <w:szCs w:val="20"/>
              </w:rPr>
              <w:t>13.00.00 Педагогические науки</w:t>
            </w: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16299" w:rsidRPr="00A55E48" w:rsidRDefault="00F16299" w:rsidP="00A61D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5E48">
              <w:rPr>
                <w:rFonts w:ascii="Times New Roman" w:hAnsi="Times New Roman"/>
                <w:b/>
                <w:sz w:val="20"/>
                <w:szCs w:val="20"/>
              </w:rPr>
              <w:t>РЕЗУЛЬТАТЫ ЭМПИРИЧЕСКОГО ИССЛЕДОВАНИЯ ФОРМИРОВАНИЯ ДИДАКТИЧЕСКОЙ КОМПЕТЕНТНОСТИ СТУДЕНТОВ ПЕДАГОГИЧЕСКОГО ВУЗА В ПРОЦЕССЕ САМОСТОЯТЕЛЬНОЙ РАБОТЫ</w:t>
            </w: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5E48">
              <w:rPr>
                <w:rFonts w:ascii="Times New Roman" w:hAnsi="Times New Roman"/>
                <w:sz w:val="20"/>
                <w:szCs w:val="20"/>
              </w:rPr>
              <w:t>Мовсесян Жанна Агасиевна</w:t>
            </w: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5E48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F16299" w:rsidRPr="00A55E48" w:rsidRDefault="00F16299" w:rsidP="36B77A86">
            <w:pPr>
              <w:tabs>
                <w:tab w:val="center" w:pos="4536"/>
                <w:tab w:val="right" w:pos="907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5E48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A55E48">
              <w:rPr>
                <w:rFonts w:ascii="Times New Roman" w:hAnsi="Times New Roman"/>
                <w:sz w:val="20"/>
                <w:szCs w:val="20"/>
              </w:rPr>
              <w:t>-код автора: 5690-2657</w:t>
            </w:r>
          </w:p>
          <w:p w:rsidR="00F16299" w:rsidRPr="00A55E48" w:rsidRDefault="00F16299" w:rsidP="00F7034A">
            <w:pPr>
              <w:tabs>
                <w:tab w:val="center" w:pos="4536"/>
                <w:tab w:val="right" w:pos="9070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55E48">
              <w:rPr>
                <w:rFonts w:ascii="Times New Roman" w:hAnsi="Times New Roman"/>
                <w:i/>
                <w:sz w:val="20"/>
                <w:szCs w:val="20"/>
              </w:rPr>
              <w:t>Мордовский государственный педагогический институт им. М. Е. Евсевьева, Саранск, Россия</w:t>
            </w: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F16299" w:rsidRPr="00A55E48" w:rsidRDefault="00F16299" w:rsidP="36B77A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5E48">
              <w:rPr>
                <w:rFonts w:ascii="Times New Roman" w:hAnsi="Times New Roman"/>
                <w:sz w:val="20"/>
                <w:szCs w:val="20"/>
              </w:rPr>
              <w:t>В статье рассматривается вопрос формирования дидактической компетентности студентов педагогического вуза в процессе самостоятельной работы. В данной статье описываются некоторые результаты эмпирического исследования по формированию дидактической компетентности студентов педагогического вуза в процессе самостоятельной работы</w:t>
            </w: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5E48">
              <w:rPr>
                <w:rFonts w:ascii="Times New Roman" w:hAnsi="Times New Roman"/>
                <w:sz w:val="20"/>
                <w:szCs w:val="20"/>
              </w:rPr>
              <w:t>Ключевые слова: ДИДАКТИЧЕСКАЯ КОМПЕТЕНТНОСТЬ, СТУДЕНТ ПЕДАГОГИЧЕСКОГО ВУЗА, САМОСТОЯТЕЛЬНАЯ РАБОТА, КРИТЕРИЙ, РЕЗУЛЬТАТ</w:t>
            </w: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6299" w:rsidRPr="00A55E48" w:rsidRDefault="00F16299" w:rsidP="008539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1B36">
              <w:rPr>
                <w:rFonts w:ascii="Arial" w:hAnsi="Arial" w:cs="Arial"/>
                <w:b/>
                <w:sz w:val="20"/>
              </w:rPr>
              <w:t>Doi: 10.21515/1990-4665-131-0</w:t>
            </w:r>
            <w:r>
              <w:rPr>
                <w:rFonts w:ascii="Arial" w:hAnsi="Arial" w:cs="Arial"/>
                <w:b/>
                <w:sz w:val="20"/>
                <w:lang w:val="en-US"/>
              </w:rPr>
              <w:t>36</w:t>
            </w:r>
          </w:p>
        </w:tc>
        <w:tc>
          <w:tcPr>
            <w:tcW w:w="4643" w:type="dxa"/>
          </w:tcPr>
          <w:p w:rsidR="00F16299" w:rsidRPr="00A55E48" w:rsidRDefault="00F16299" w:rsidP="00F7034A">
            <w:pPr>
              <w:tabs>
                <w:tab w:val="center" w:pos="4536"/>
                <w:tab w:val="right" w:pos="907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5E48">
              <w:rPr>
                <w:rFonts w:ascii="Times New Roman" w:hAnsi="Times New Roman"/>
                <w:sz w:val="20"/>
                <w:szCs w:val="20"/>
                <w:lang w:val="en-US"/>
              </w:rPr>
              <w:t>UDC 374 (045)</w:t>
            </w:r>
          </w:p>
          <w:p w:rsidR="00F16299" w:rsidRPr="00A55E48" w:rsidRDefault="00F16299" w:rsidP="00F7034A">
            <w:pPr>
              <w:tabs>
                <w:tab w:val="center" w:pos="4536"/>
                <w:tab w:val="right" w:pos="907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5E48">
              <w:rPr>
                <w:rFonts w:ascii="Times New Roman" w:hAnsi="Times New Roman"/>
                <w:sz w:val="20"/>
                <w:szCs w:val="20"/>
                <w:lang w:val="en-US"/>
              </w:rPr>
              <w:t>Pedagogical sciences</w:t>
            </w: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55E4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RESULTS OF THE EMPIRICAL STUDY OF FORMING THE DIDACTIC COMPETENCE OF STUDENTS OF A PEDAGOGICAL UNIVERSITY IN THE PROCESS OF INDEPENDENT WORK </w:t>
            </w:r>
          </w:p>
          <w:p w:rsidR="00F16299" w:rsidRPr="00A55E48" w:rsidRDefault="00F16299" w:rsidP="36B77A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16299" w:rsidRPr="00A55E48" w:rsidRDefault="00F16299" w:rsidP="00585D09">
            <w:pPr>
              <w:tabs>
                <w:tab w:val="center" w:pos="4536"/>
                <w:tab w:val="right" w:pos="907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5E48">
              <w:rPr>
                <w:rFonts w:ascii="Times New Roman" w:hAnsi="Times New Roman"/>
                <w:sz w:val="20"/>
                <w:szCs w:val="20"/>
                <w:lang w:val="en-US"/>
              </w:rPr>
              <w:t>Movsesyan Zhanna Agasievna</w:t>
            </w:r>
          </w:p>
          <w:p w:rsidR="00F16299" w:rsidRPr="00A55E48" w:rsidRDefault="00F16299" w:rsidP="36B77A86">
            <w:pPr>
              <w:tabs>
                <w:tab w:val="center" w:pos="4536"/>
                <w:tab w:val="right" w:pos="907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5E48">
              <w:rPr>
                <w:rFonts w:ascii="Times New Roman" w:hAnsi="Times New Roman"/>
                <w:sz w:val="20"/>
                <w:szCs w:val="20"/>
                <w:lang w:val="en-US"/>
              </w:rPr>
              <w:t>Postgraduate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</w:p>
          <w:p w:rsidR="00F16299" w:rsidRPr="000D474C" w:rsidRDefault="00F16299" w:rsidP="36B77A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5E48">
              <w:rPr>
                <w:rFonts w:ascii="Times New Roman" w:hAnsi="Times New Roman"/>
                <w:sz w:val="20"/>
                <w:szCs w:val="20"/>
                <w:lang w:val="en-US"/>
              </w:rPr>
              <w:t>RSCI SPIN</w:t>
            </w:r>
            <w:r w:rsidRPr="000D474C">
              <w:rPr>
                <w:rFonts w:ascii="Times New Roman" w:hAnsi="Times New Roman"/>
                <w:sz w:val="20"/>
                <w:szCs w:val="20"/>
                <w:lang w:val="en-US"/>
              </w:rPr>
              <w:t>-code: 5690-2657</w:t>
            </w:r>
          </w:p>
          <w:p w:rsidR="00F16299" w:rsidRPr="00A55E48" w:rsidRDefault="00F16299" w:rsidP="00585D09">
            <w:pPr>
              <w:tabs>
                <w:tab w:val="center" w:pos="4536"/>
                <w:tab w:val="right" w:pos="9070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A55E4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Mordovian</w:t>
              </w:r>
            </w:smartTag>
            <w:r w:rsidRPr="00A55E4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55E4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A55E4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Pedagogical Institute, </w:t>
            </w:r>
            <w:smartTag w:uri="urn:schemas-microsoft-com:office:smarttags" w:element="place">
              <w:smartTag w:uri="urn:schemas-microsoft-com:office:smarttags" w:element="City">
                <w:r w:rsidRPr="00A55E4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Saransk</w:t>
                </w:r>
              </w:smartTag>
              <w:r w:rsidRPr="00A55E4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A55E4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F16299" w:rsidRPr="00A55E48" w:rsidRDefault="00F16299" w:rsidP="36B77A86">
            <w:pPr>
              <w:tabs>
                <w:tab w:val="center" w:pos="4536"/>
                <w:tab w:val="right" w:pos="9070"/>
              </w:tabs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F16299" w:rsidRPr="00A55E48" w:rsidRDefault="00F16299" w:rsidP="36B77A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5E48">
              <w:rPr>
                <w:rFonts w:ascii="Times New Roman" w:hAnsi="Times New Roman"/>
                <w:sz w:val="20"/>
                <w:szCs w:val="20"/>
                <w:lang w:val="en-US"/>
              </w:rPr>
              <w:t>The article deals with the formation of the didactic competence of students at a pedagogical university in the process of independent work. This article describes some results of an empirical study on the formation of the didactic competence of students at a pedagogical university in the process of independent work</w:t>
            </w: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16299" w:rsidRPr="00A55E48" w:rsidRDefault="00F16299" w:rsidP="00F70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16299" w:rsidRPr="00A55E48" w:rsidRDefault="00F16299" w:rsidP="36B77A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5E48">
              <w:rPr>
                <w:rFonts w:ascii="Times New Roman" w:hAnsi="Times New Roman"/>
                <w:sz w:val="20"/>
                <w:szCs w:val="20"/>
                <w:lang w:val="en-US"/>
              </w:rPr>
              <w:t>Keywords: DIDACTIC COMPETENCE, STUDENT OF PEDAGOGICAL UNIVERSITY, SELF-STUDY, CRITERION, RESULT</w:t>
            </w:r>
          </w:p>
        </w:tc>
      </w:tr>
    </w:tbl>
    <w:p w:rsidR="00F16299" w:rsidRPr="00FF50BD" w:rsidRDefault="00F16299" w:rsidP="00D84E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F16299" w:rsidRPr="00657A9B" w:rsidRDefault="00F16299" w:rsidP="00D84E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0B1">
        <w:rPr>
          <w:rFonts w:ascii="Times New Roman" w:hAnsi="Times New Roman"/>
          <w:sz w:val="28"/>
          <w:szCs w:val="28"/>
        </w:rPr>
        <w:t>В условиях модернизации системы образования повышаются требования, предъявляемые к профессиональной подготовке выпускников педагогического вуза. Для формирования компетентного учителя необходимо качественное образование, которое в настоящее время связывают не столько с усвоением знаний, сколько с умением приобретать новые знания, с формированием дидактической компетентности.</w:t>
      </w:r>
    </w:p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0B1">
        <w:rPr>
          <w:rFonts w:ascii="Times New Roman" w:hAnsi="Times New Roman"/>
          <w:sz w:val="28"/>
          <w:szCs w:val="28"/>
        </w:rPr>
        <w:t>Анализ ряда исследований (</w:t>
      </w:r>
      <w:r>
        <w:rPr>
          <w:rFonts w:ascii="Times New Roman" w:hAnsi="Times New Roman"/>
          <w:sz w:val="28"/>
          <w:szCs w:val="28"/>
        </w:rPr>
        <w:t xml:space="preserve">Е. В. Бережнова, </w:t>
      </w:r>
      <w:r w:rsidRPr="00EB60B1">
        <w:rPr>
          <w:rFonts w:ascii="Times New Roman" w:hAnsi="Times New Roman"/>
          <w:sz w:val="28"/>
          <w:szCs w:val="28"/>
        </w:rPr>
        <w:t xml:space="preserve">Л. М. Перминова, И. М. Осмоловская, </w:t>
      </w:r>
      <w:r>
        <w:rPr>
          <w:rFonts w:ascii="Times New Roman" w:hAnsi="Times New Roman"/>
          <w:sz w:val="28"/>
          <w:szCs w:val="28"/>
        </w:rPr>
        <w:t xml:space="preserve">А. И. Уман, </w:t>
      </w:r>
      <w:r w:rsidRPr="00EB60B1">
        <w:rPr>
          <w:rFonts w:ascii="Times New Roman" w:hAnsi="Times New Roman"/>
          <w:sz w:val="28"/>
          <w:szCs w:val="28"/>
        </w:rPr>
        <w:t>Т. И. Шукшина и др.) позволил сформулировать определение дидактической компетентности студентов педагогического вуза как интегративного качества личности, включающего совокупность личных и профессиональных ценностей и мотивов, знаний содержательных и процессуальных основ процесса обучения, а также дидактических умений, способствующих осуществлению дидактической деятельности.</w:t>
      </w:r>
    </w:p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0B1">
        <w:rPr>
          <w:rFonts w:ascii="Times New Roman" w:hAnsi="Times New Roman"/>
          <w:sz w:val="28"/>
          <w:szCs w:val="28"/>
        </w:rPr>
        <w:t xml:space="preserve">В структуру дидактической компетентности студентов педагогического вуза входит совокупность следующих компонентов: </w:t>
      </w:r>
      <w:r w:rsidRPr="00EB60B1">
        <w:rPr>
          <w:rFonts w:ascii="Times New Roman" w:hAnsi="Times New Roman"/>
          <w:i/>
          <w:sz w:val="28"/>
          <w:szCs w:val="28"/>
        </w:rPr>
        <w:t>аксиологический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B60B1">
        <w:rPr>
          <w:rFonts w:ascii="Times New Roman" w:hAnsi="Times New Roman"/>
          <w:sz w:val="28"/>
          <w:szCs w:val="28"/>
        </w:rPr>
        <w:t>мотивация к учебной деятельности, совокупнос</w:t>
      </w:r>
      <w:r>
        <w:rPr>
          <w:rFonts w:ascii="Times New Roman" w:hAnsi="Times New Roman"/>
          <w:sz w:val="28"/>
          <w:szCs w:val="28"/>
        </w:rPr>
        <w:t>ть личностных и профессиональных качеств:</w:t>
      </w:r>
      <w:r w:rsidRPr="00EB60B1">
        <w:rPr>
          <w:rFonts w:ascii="Times New Roman" w:hAnsi="Times New Roman"/>
          <w:sz w:val="28"/>
          <w:szCs w:val="28"/>
        </w:rPr>
        <w:t xml:space="preserve"> потребность к познавательной активности, проявление самосто</w:t>
      </w:r>
      <w:r>
        <w:rPr>
          <w:rFonts w:ascii="Times New Roman" w:hAnsi="Times New Roman"/>
          <w:sz w:val="28"/>
          <w:szCs w:val="28"/>
        </w:rPr>
        <w:t xml:space="preserve">ятельности в процессе познания, а также ряд личных и профессиональных ценностей </w:t>
      </w:r>
      <w:r w:rsidRPr="00EB60B1">
        <w:rPr>
          <w:rFonts w:ascii="Times New Roman" w:hAnsi="Times New Roman"/>
          <w:sz w:val="28"/>
          <w:szCs w:val="28"/>
        </w:rPr>
        <w:t>и т.д.</w:t>
      </w:r>
      <w:r>
        <w:rPr>
          <w:rFonts w:ascii="Times New Roman" w:hAnsi="Times New Roman"/>
          <w:sz w:val="28"/>
          <w:szCs w:val="28"/>
        </w:rPr>
        <w:t>)</w:t>
      </w:r>
      <w:r w:rsidRPr="00EB60B1">
        <w:rPr>
          <w:rFonts w:ascii="Times New Roman" w:hAnsi="Times New Roman"/>
          <w:sz w:val="28"/>
          <w:szCs w:val="28"/>
        </w:rPr>
        <w:t xml:space="preserve">; </w:t>
      </w:r>
      <w:r w:rsidRPr="00EB60B1">
        <w:rPr>
          <w:rFonts w:ascii="Times New Roman" w:hAnsi="Times New Roman"/>
          <w:i/>
          <w:sz w:val="28"/>
          <w:szCs w:val="28"/>
        </w:rPr>
        <w:t xml:space="preserve">гностический </w:t>
      </w:r>
      <w:r w:rsidRPr="00EB60B1">
        <w:rPr>
          <w:rFonts w:ascii="Times New Roman" w:hAnsi="Times New Roman"/>
          <w:sz w:val="28"/>
          <w:szCs w:val="28"/>
        </w:rPr>
        <w:t xml:space="preserve">(наличие </w:t>
      </w:r>
      <w:r>
        <w:rPr>
          <w:rFonts w:ascii="Times New Roman" w:hAnsi="Times New Roman"/>
          <w:sz w:val="28"/>
          <w:szCs w:val="28"/>
        </w:rPr>
        <w:t xml:space="preserve">дидактических </w:t>
      </w:r>
      <w:r w:rsidRPr="00EB60B1">
        <w:rPr>
          <w:rFonts w:ascii="Times New Roman" w:hAnsi="Times New Roman"/>
          <w:sz w:val="28"/>
          <w:szCs w:val="28"/>
        </w:rPr>
        <w:t xml:space="preserve">знаний сущности процесса обучения как целостной системы и </w:t>
      </w:r>
      <w:r>
        <w:rPr>
          <w:rFonts w:ascii="Times New Roman" w:hAnsi="Times New Roman"/>
          <w:sz w:val="28"/>
          <w:szCs w:val="28"/>
        </w:rPr>
        <w:t xml:space="preserve">возможности </w:t>
      </w:r>
      <w:r w:rsidRPr="00EB60B1">
        <w:rPr>
          <w:rFonts w:ascii="Times New Roman" w:hAnsi="Times New Roman"/>
          <w:sz w:val="28"/>
          <w:szCs w:val="28"/>
        </w:rPr>
        <w:t xml:space="preserve">их использования); </w:t>
      </w:r>
      <w:r w:rsidRPr="00EB60B1">
        <w:rPr>
          <w:rFonts w:ascii="Times New Roman" w:hAnsi="Times New Roman"/>
          <w:i/>
          <w:sz w:val="28"/>
          <w:szCs w:val="28"/>
        </w:rPr>
        <w:t>операционно-технологический</w:t>
      </w:r>
      <w:r w:rsidRPr="00EB60B1">
        <w:rPr>
          <w:rFonts w:ascii="Times New Roman" w:hAnsi="Times New Roman"/>
          <w:sz w:val="28"/>
          <w:szCs w:val="28"/>
        </w:rPr>
        <w:t xml:space="preserve"> (наличие </w:t>
      </w:r>
      <w:r>
        <w:rPr>
          <w:rFonts w:ascii="Times New Roman" w:hAnsi="Times New Roman"/>
          <w:sz w:val="28"/>
          <w:szCs w:val="28"/>
        </w:rPr>
        <w:t xml:space="preserve">дидактических </w:t>
      </w:r>
      <w:r w:rsidRPr="00EB60B1">
        <w:rPr>
          <w:rFonts w:ascii="Times New Roman" w:hAnsi="Times New Roman"/>
          <w:sz w:val="28"/>
          <w:szCs w:val="28"/>
        </w:rPr>
        <w:t xml:space="preserve">умений и способов деятельности в качестве наиболее эффективных при работе с обучающимися); </w:t>
      </w:r>
      <w:r w:rsidRPr="00EB60B1">
        <w:rPr>
          <w:rFonts w:ascii="Times New Roman" w:hAnsi="Times New Roman"/>
          <w:i/>
          <w:sz w:val="28"/>
          <w:szCs w:val="28"/>
        </w:rPr>
        <w:t>рефлексивный</w:t>
      </w:r>
      <w:r w:rsidRPr="00EB60B1">
        <w:rPr>
          <w:rFonts w:ascii="Times New Roman" w:hAnsi="Times New Roman"/>
          <w:sz w:val="28"/>
          <w:szCs w:val="28"/>
        </w:rPr>
        <w:t xml:space="preserve"> компонент (способность оценивать свои результаты, ошибки собственной деятельности, способность к саморегуляции). Каждый компонент дидактической компетентности характеризуется аспектами его проявления и рассматривается в контексте осуществления будущей профессиональной деятельности. </w:t>
      </w:r>
    </w:p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0B1">
        <w:rPr>
          <w:rFonts w:ascii="Times New Roman" w:hAnsi="Times New Roman"/>
          <w:sz w:val="28"/>
          <w:szCs w:val="28"/>
        </w:rPr>
        <w:t>Экспериментальное исследование осуществлялось на базе ФГБОУ ВО «Мордовский государственный педагогический институт имени М. Е. Евсевьева» в г. Саранске. В и</w:t>
      </w:r>
      <w:r>
        <w:rPr>
          <w:rFonts w:ascii="Times New Roman" w:hAnsi="Times New Roman"/>
          <w:sz w:val="28"/>
          <w:szCs w:val="28"/>
        </w:rPr>
        <w:t>сследовании приняли участие 125 </w:t>
      </w:r>
      <w:r w:rsidRPr="00EB60B1">
        <w:rPr>
          <w:rFonts w:ascii="Times New Roman" w:hAnsi="Times New Roman"/>
          <w:sz w:val="28"/>
          <w:szCs w:val="28"/>
        </w:rPr>
        <w:t>студентов второго курса, обучающихся по</w:t>
      </w:r>
      <w:r>
        <w:rPr>
          <w:rFonts w:ascii="Times New Roman" w:hAnsi="Times New Roman"/>
          <w:sz w:val="28"/>
          <w:szCs w:val="28"/>
        </w:rPr>
        <w:t xml:space="preserve"> направлению подготовки</w:t>
      </w:r>
      <w:r w:rsidRPr="00EB60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B60B1">
        <w:rPr>
          <w:rFonts w:ascii="Times New Roman" w:hAnsi="Times New Roman"/>
          <w:sz w:val="28"/>
          <w:szCs w:val="28"/>
        </w:rPr>
        <w:t>Педагогическое образование</w:t>
      </w:r>
      <w:r>
        <w:rPr>
          <w:rFonts w:ascii="Times New Roman" w:hAnsi="Times New Roman"/>
          <w:sz w:val="28"/>
          <w:szCs w:val="28"/>
        </w:rPr>
        <w:t>»</w:t>
      </w:r>
      <w:r w:rsidRPr="00EB60B1">
        <w:rPr>
          <w:rFonts w:ascii="Times New Roman" w:hAnsi="Times New Roman"/>
          <w:sz w:val="28"/>
          <w:szCs w:val="28"/>
        </w:rPr>
        <w:t xml:space="preserve"> и 25 экспертов из числа преподавателей кафедр педагогики и педагогики дошкольного и начального образования МГПИ, а также учителей образовательных организаций. </w:t>
      </w:r>
    </w:p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0B1">
        <w:rPr>
          <w:rFonts w:ascii="Times New Roman" w:hAnsi="Times New Roman"/>
          <w:sz w:val="28"/>
          <w:szCs w:val="28"/>
        </w:rPr>
        <w:t>В рамках первого этапа эксперимента был выявлен исходный уровень сформированности дидактической компетентности студентов педагогического вуза с помощью методик, а именно: методика Т. И. Ильиной «Мотивация обучения в вузе», адаптированная анкета по оценке уровня сформированности дидактических умений в интерпретации Н. В. Кузьминой, методика диагностики индивидуальной меры выраженности рефлексивности А. В. Карпова и др.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0BF">
        <w:rPr>
          <w:rFonts w:ascii="Times New Roman" w:hAnsi="Times New Roman"/>
          <w:sz w:val="28"/>
          <w:szCs w:val="28"/>
        </w:rPr>
        <w:t>Результаты констатирующего этапа свидетельствуют о том, что более чем у 56</w:t>
      </w:r>
      <w:r>
        <w:rPr>
          <w:rFonts w:ascii="Times New Roman" w:hAnsi="Times New Roman"/>
          <w:sz w:val="28"/>
          <w:szCs w:val="28"/>
        </w:rPr>
        <w:t> </w:t>
      </w:r>
      <w:r w:rsidRPr="003E40BF">
        <w:rPr>
          <w:rFonts w:ascii="Times New Roman" w:hAnsi="Times New Roman"/>
          <w:sz w:val="28"/>
          <w:szCs w:val="28"/>
        </w:rPr>
        <w:t>% респондентов уровень сформированности дидактической компетентности характеризуется как низкий.</w:t>
      </w:r>
    </w:p>
    <w:p w:rsidR="00F16299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E2291">
        <w:rPr>
          <w:rFonts w:ascii="Times New Roman" w:hAnsi="Times New Roman"/>
          <w:sz w:val="28"/>
          <w:szCs w:val="28"/>
        </w:rPr>
        <w:t xml:space="preserve">В русле исследуемой проблемы был проведен </w:t>
      </w:r>
      <w:r w:rsidRPr="004E2291">
        <w:rPr>
          <w:rFonts w:ascii="Times New Roman" w:hAnsi="Times New Roman"/>
          <w:b/>
          <w:sz w:val="28"/>
          <w:szCs w:val="28"/>
        </w:rPr>
        <w:t>формирующий эксперимент</w:t>
      </w:r>
      <w:r w:rsidRPr="004E2291">
        <w:rPr>
          <w:rFonts w:ascii="Times New Roman" w:hAnsi="Times New Roman"/>
          <w:sz w:val="28"/>
          <w:szCs w:val="28"/>
        </w:rPr>
        <w:t>, где были верифицированы педагогические условия</w:t>
      </w:r>
      <w:r>
        <w:rPr>
          <w:rFonts w:ascii="Times New Roman" w:hAnsi="Times New Roman"/>
          <w:sz w:val="28"/>
          <w:szCs w:val="28"/>
        </w:rPr>
        <w:t>, способствующие</w:t>
      </w:r>
      <w:r w:rsidRPr="004E2291">
        <w:rPr>
          <w:rFonts w:ascii="Times New Roman" w:hAnsi="Times New Roman"/>
          <w:sz w:val="28"/>
          <w:szCs w:val="28"/>
        </w:rPr>
        <w:t xml:space="preserve"> результативно</w:t>
      </w:r>
      <w:r>
        <w:rPr>
          <w:rFonts w:ascii="Times New Roman" w:hAnsi="Times New Roman"/>
          <w:sz w:val="28"/>
          <w:szCs w:val="28"/>
        </w:rPr>
        <w:t>му</w:t>
      </w:r>
      <w:r w:rsidRPr="004E2291">
        <w:rPr>
          <w:rFonts w:ascii="Times New Roman" w:hAnsi="Times New Roman"/>
          <w:sz w:val="28"/>
          <w:szCs w:val="28"/>
        </w:rPr>
        <w:t xml:space="preserve"> функционировани</w:t>
      </w:r>
      <w:r>
        <w:rPr>
          <w:rFonts w:ascii="Times New Roman" w:hAnsi="Times New Roman"/>
          <w:sz w:val="28"/>
          <w:szCs w:val="28"/>
        </w:rPr>
        <w:t>ю</w:t>
      </w:r>
      <w:r w:rsidRPr="004E2291">
        <w:rPr>
          <w:rFonts w:ascii="Times New Roman" w:hAnsi="Times New Roman"/>
          <w:sz w:val="28"/>
          <w:szCs w:val="28"/>
        </w:rPr>
        <w:t xml:space="preserve"> модели формирования дидактической компетентности студентов педагогического вуза в процессе самостоятельной работы</w:t>
      </w:r>
      <w:r>
        <w:rPr>
          <w:rFonts w:ascii="Times New Roman" w:hAnsi="Times New Roman"/>
          <w:sz w:val="28"/>
          <w:szCs w:val="28"/>
        </w:rPr>
        <w:t xml:space="preserve"> в ЭГ: </w:t>
      </w:r>
      <w:r w:rsidRPr="00EB60B1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60B1">
        <w:rPr>
          <w:rFonts w:ascii="Times New Roman" w:hAnsi="Times New Roman"/>
          <w:sz w:val="28"/>
          <w:szCs w:val="28"/>
        </w:rPr>
        <w:t>внедрение в учебный процесс мотивационных способов активизации самостоятельной работы, направленных на формирование дидактической компетентности студентов педагогического вуза; 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60B1">
        <w:rPr>
          <w:rFonts w:ascii="Times New Roman" w:hAnsi="Times New Roman"/>
          <w:sz w:val="28"/>
          <w:szCs w:val="28"/>
        </w:rPr>
        <w:t>обеспечение организации самостоятельной работы студентов педагогического вуза через информационно-образовательную среду дидактической направленности; 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60B1">
        <w:rPr>
          <w:rFonts w:ascii="Times New Roman" w:hAnsi="Times New Roman"/>
          <w:sz w:val="28"/>
          <w:szCs w:val="28"/>
        </w:rPr>
        <w:t>включение студентов педагогического вуза в самостоятельную работу через выполнение компетентностно-ориентированных разноуровневых учебных заданий; 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60B1">
        <w:rPr>
          <w:rFonts w:ascii="Times New Roman" w:hAnsi="Times New Roman"/>
          <w:sz w:val="28"/>
          <w:szCs w:val="28"/>
        </w:rPr>
        <w:t>осуществление контроля за результатами самостоятельной работы студентов педагогического вуза в формировании дидактической компетентности. В контрольной группе осуществлялся стандартный процесс учебно-воспитательной работы.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0B1">
        <w:rPr>
          <w:rFonts w:ascii="Times New Roman" w:hAnsi="Times New Roman"/>
          <w:sz w:val="28"/>
          <w:szCs w:val="28"/>
        </w:rPr>
        <w:t xml:space="preserve">На контрольном этапе был проведен сравнительный анализ результатов исследования, полученных до формирующего этапа и по итогам его проведения. Сравнивая данные </w:t>
      </w:r>
      <w:r>
        <w:rPr>
          <w:rFonts w:ascii="Times New Roman" w:hAnsi="Times New Roman"/>
          <w:sz w:val="28"/>
          <w:szCs w:val="28"/>
        </w:rPr>
        <w:t>КГ и ЭГ</w:t>
      </w:r>
      <w:r w:rsidRPr="00EB60B1">
        <w:rPr>
          <w:rFonts w:ascii="Times New Roman" w:hAnsi="Times New Roman"/>
          <w:sz w:val="28"/>
          <w:szCs w:val="28"/>
        </w:rPr>
        <w:t xml:space="preserve">, отметим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EB60B1">
        <w:rPr>
          <w:rFonts w:ascii="Times New Roman" w:hAnsi="Times New Roman"/>
          <w:sz w:val="28"/>
          <w:szCs w:val="28"/>
        </w:rPr>
        <w:t xml:space="preserve">небольшое изменение. В </w:t>
      </w:r>
      <w:r>
        <w:rPr>
          <w:rFonts w:ascii="Times New Roman" w:hAnsi="Times New Roman"/>
          <w:sz w:val="28"/>
          <w:szCs w:val="28"/>
        </w:rPr>
        <w:t>ЭГ</w:t>
      </w:r>
      <w:r w:rsidRPr="00EB60B1">
        <w:rPr>
          <w:rFonts w:ascii="Times New Roman" w:hAnsi="Times New Roman"/>
          <w:sz w:val="28"/>
          <w:szCs w:val="28"/>
        </w:rPr>
        <w:t xml:space="preserve"> из низкого 34% респондентов перешли в средний и высокий уровни, из среднего уровня 48% респондентов достигли высокого.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60B1">
        <w:rPr>
          <w:rFonts w:ascii="Times New Roman" w:hAnsi="Times New Roman"/>
          <w:sz w:val="28"/>
          <w:szCs w:val="28"/>
        </w:rPr>
        <w:t>Анализируя полученные данные, можно сделать вывод, что уровень мотивационно-ценностного критерия дидактической компетентности студентов педагогического вуза находится на высоком уровне.</w:t>
      </w:r>
    </w:p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0B1">
        <w:rPr>
          <w:rFonts w:ascii="Times New Roman" w:hAnsi="Times New Roman"/>
          <w:sz w:val="28"/>
          <w:szCs w:val="28"/>
        </w:rPr>
        <w:t>При анализе данных на контрольном этапе по когнитивному критерию дидактической компетентности студентов использовался электронный тест по теории обучения, разработанный преподавателями кафедры педагогики МГПИ. Итоговое тестирование показало, что у с</w:t>
      </w:r>
      <w:r>
        <w:rPr>
          <w:rFonts w:ascii="Times New Roman" w:hAnsi="Times New Roman"/>
          <w:sz w:val="28"/>
          <w:szCs w:val="28"/>
        </w:rPr>
        <w:t xml:space="preserve">тудентов обогатились </w:t>
      </w:r>
      <w:r w:rsidRPr="00EB60B1">
        <w:rPr>
          <w:rFonts w:ascii="Times New Roman" w:hAnsi="Times New Roman"/>
          <w:sz w:val="28"/>
          <w:szCs w:val="28"/>
        </w:rPr>
        <w:t>дидактические знания, которые поз</w:t>
      </w:r>
      <w:r>
        <w:rPr>
          <w:rFonts w:ascii="Times New Roman" w:hAnsi="Times New Roman"/>
          <w:sz w:val="28"/>
          <w:szCs w:val="28"/>
        </w:rPr>
        <w:t>волили им повысить</w:t>
      </w:r>
      <w:r w:rsidRPr="00EB60B1">
        <w:rPr>
          <w:rFonts w:ascii="Times New Roman" w:hAnsi="Times New Roman"/>
          <w:sz w:val="28"/>
          <w:szCs w:val="28"/>
        </w:rPr>
        <w:t xml:space="preserve"> уровень </w:t>
      </w:r>
      <w:r>
        <w:rPr>
          <w:rFonts w:ascii="Times New Roman" w:hAnsi="Times New Roman"/>
          <w:sz w:val="28"/>
          <w:szCs w:val="28"/>
        </w:rPr>
        <w:t xml:space="preserve">знаний </w:t>
      </w:r>
      <w:r w:rsidRPr="00EB60B1">
        <w:rPr>
          <w:rFonts w:ascii="Times New Roman" w:hAnsi="Times New Roman"/>
          <w:sz w:val="28"/>
          <w:szCs w:val="28"/>
        </w:rPr>
        <w:t>в области теории обучения, достаточно уверенно и достойно отве</w:t>
      </w:r>
      <w:r>
        <w:rPr>
          <w:rFonts w:ascii="Times New Roman" w:hAnsi="Times New Roman"/>
          <w:sz w:val="28"/>
          <w:szCs w:val="28"/>
        </w:rPr>
        <w:t xml:space="preserve">чать </w:t>
      </w:r>
      <w:r w:rsidRPr="00EB60B1">
        <w:rPr>
          <w:rFonts w:ascii="Times New Roman" w:hAnsi="Times New Roman"/>
          <w:sz w:val="28"/>
          <w:szCs w:val="28"/>
        </w:rPr>
        <w:t>на вопросы</w:t>
      </w:r>
      <w:r>
        <w:rPr>
          <w:rFonts w:ascii="Times New Roman" w:hAnsi="Times New Roman"/>
          <w:sz w:val="28"/>
          <w:szCs w:val="28"/>
        </w:rPr>
        <w:t xml:space="preserve"> после</w:t>
      </w:r>
      <w:r w:rsidRPr="00EB60B1">
        <w:rPr>
          <w:rFonts w:ascii="Times New Roman" w:hAnsi="Times New Roman"/>
          <w:sz w:val="28"/>
          <w:szCs w:val="28"/>
        </w:rPr>
        <w:t xml:space="preserve"> изучения данного раздела. На контрольном этапе эксперимента по когнитивному критерию респондентов с низким уровнем оказалось всего 17%, со средним уровнем – 34% и с высоким уровнем 49%, что отражает повышение уровня дидактических знаний студентов педагогического вуза.</w:t>
      </w:r>
    </w:p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0B1">
        <w:rPr>
          <w:rFonts w:ascii="Times New Roman" w:hAnsi="Times New Roman"/>
          <w:sz w:val="28"/>
          <w:szCs w:val="28"/>
        </w:rPr>
        <w:t xml:space="preserve">Анализ уровня сформированности </w:t>
      </w:r>
      <w:r>
        <w:rPr>
          <w:rFonts w:ascii="Times New Roman" w:hAnsi="Times New Roman"/>
          <w:sz w:val="28"/>
          <w:szCs w:val="28"/>
        </w:rPr>
        <w:t>операционно-технологического</w:t>
      </w:r>
      <w:r w:rsidRPr="00EB60B1">
        <w:rPr>
          <w:rFonts w:ascii="Times New Roman" w:hAnsi="Times New Roman"/>
          <w:sz w:val="28"/>
          <w:szCs w:val="28"/>
        </w:rPr>
        <w:t xml:space="preserve"> критерия дидактической компетентности студентов показал, что с низким уровнем оказалось всего 21%, со средним уровнем – 29%, с высоким уровнем – 50%, </w:t>
      </w:r>
      <w:r>
        <w:rPr>
          <w:rFonts w:ascii="Times New Roman" w:hAnsi="Times New Roman"/>
          <w:sz w:val="28"/>
          <w:szCs w:val="28"/>
        </w:rPr>
        <w:t xml:space="preserve">говорящее о </w:t>
      </w:r>
      <w:r w:rsidRPr="00EB60B1">
        <w:rPr>
          <w:rFonts w:ascii="Times New Roman" w:hAnsi="Times New Roman"/>
          <w:sz w:val="28"/>
          <w:szCs w:val="28"/>
        </w:rPr>
        <w:t>значительно</w:t>
      </w:r>
      <w:r>
        <w:rPr>
          <w:rFonts w:ascii="Times New Roman" w:hAnsi="Times New Roman"/>
          <w:sz w:val="28"/>
          <w:szCs w:val="28"/>
        </w:rPr>
        <w:t>м</w:t>
      </w:r>
      <w:r w:rsidRPr="00EB60B1">
        <w:rPr>
          <w:rFonts w:ascii="Times New Roman" w:hAnsi="Times New Roman"/>
          <w:sz w:val="28"/>
          <w:szCs w:val="28"/>
        </w:rPr>
        <w:t xml:space="preserve"> повышени</w:t>
      </w:r>
      <w:r>
        <w:rPr>
          <w:rFonts w:ascii="Times New Roman" w:hAnsi="Times New Roman"/>
          <w:sz w:val="28"/>
          <w:szCs w:val="28"/>
        </w:rPr>
        <w:t>и уровня дидактических</w:t>
      </w:r>
      <w:r w:rsidRPr="00EB60B1">
        <w:rPr>
          <w:rFonts w:ascii="Times New Roman" w:hAnsi="Times New Roman"/>
          <w:sz w:val="28"/>
          <w:szCs w:val="28"/>
        </w:rPr>
        <w:t xml:space="preserve"> умений студентов</w:t>
      </w:r>
      <w:r>
        <w:rPr>
          <w:rFonts w:ascii="Times New Roman" w:hAnsi="Times New Roman"/>
          <w:sz w:val="28"/>
          <w:szCs w:val="28"/>
        </w:rPr>
        <w:t xml:space="preserve"> педагогического вуза</w:t>
      </w:r>
      <w:r w:rsidRPr="00EB60B1">
        <w:rPr>
          <w:rFonts w:ascii="Times New Roman" w:hAnsi="Times New Roman"/>
          <w:sz w:val="28"/>
          <w:szCs w:val="28"/>
        </w:rPr>
        <w:t>.</w:t>
      </w:r>
    </w:p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0B1">
        <w:rPr>
          <w:rFonts w:ascii="Times New Roman" w:hAnsi="Times New Roman"/>
          <w:sz w:val="28"/>
          <w:szCs w:val="28"/>
        </w:rPr>
        <w:t>Анализ полученных результатов КГ и ЭГ по оценочному критерию дидактической компетентности студентов показал, что н</w:t>
      </w:r>
      <w:r>
        <w:rPr>
          <w:rFonts w:ascii="Times New Roman" w:hAnsi="Times New Roman"/>
          <w:sz w:val="28"/>
          <w:szCs w:val="28"/>
        </w:rPr>
        <w:t>а контрольном этапе</w:t>
      </w:r>
      <w:r w:rsidRPr="00EB60B1">
        <w:rPr>
          <w:rFonts w:ascii="Times New Roman" w:hAnsi="Times New Roman"/>
          <w:sz w:val="28"/>
          <w:szCs w:val="28"/>
        </w:rPr>
        <w:t xml:space="preserve"> респондентов с низким уровнем оказалось 17%, со средним уровнем – 50%, с высоким уровнем – 33%, что отражает повышение уровня рефлексивности и самооценки в предстоящей педагогической деятельности.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60B1">
        <w:rPr>
          <w:rFonts w:ascii="Times New Roman" w:hAnsi="Times New Roman"/>
          <w:sz w:val="28"/>
          <w:szCs w:val="28"/>
        </w:rPr>
        <w:t>Сравнивая данные КГ и ЭГ до и после проведения эксперимента по оценочному критерию дидактической компетентности студентов педагогического вуза, следует отметить незначительное изменение результатов КГ после заключительной диагностики и существенное изменение результатов ЭГ после проведения эксперимента.</w:t>
      </w:r>
    </w:p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0B1">
        <w:rPr>
          <w:rFonts w:ascii="Times New Roman" w:hAnsi="Times New Roman"/>
          <w:sz w:val="28"/>
          <w:szCs w:val="28"/>
        </w:rPr>
        <w:t xml:space="preserve">Обобщенные результаты исследования, отражающие уровень сформированности дидактической компетентности студентов педагогического вуза </w:t>
      </w:r>
      <w:r>
        <w:rPr>
          <w:rFonts w:ascii="Times New Roman" w:hAnsi="Times New Roman"/>
          <w:sz w:val="28"/>
          <w:szCs w:val="28"/>
        </w:rPr>
        <w:t xml:space="preserve">в КГ и ЭГ </w:t>
      </w:r>
      <w:r w:rsidRPr="00EB60B1">
        <w:rPr>
          <w:rFonts w:ascii="Times New Roman" w:hAnsi="Times New Roman"/>
          <w:sz w:val="28"/>
          <w:szCs w:val="28"/>
        </w:rPr>
        <w:t>представлены в таблице</w:t>
      </w:r>
      <w:r>
        <w:rPr>
          <w:rFonts w:ascii="Times New Roman" w:hAnsi="Times New Roman"/>
          <w:sz w:val="28"/>
          <w:szCs w:val="28"/>
        </w:rPr>
        <w:t> 1</w:t>
      </w:r>
      <w:r w:rsidRPr="00EB60B1">
        <w:rPr>
          <w:rFonts w:ascii="Times New Roman" w:hAnsi="Times New Roman"/>
          <w:sz w:val="28"/>
          <w:szCs w:val="28"/>
        </w:rPr>
        <w:t>.</w:t>
      </w:r>
    </w:p>
    <w:p w:rsidR="00F16299" w:rsidRPr="00EC52D7" w:rsidRDefault="00F16299" w:rsidP="00C646A7">
      <w:pPr>
        <w:spacing w:after="0" w:line="360" w:lineRule="auto"/>
        <w:ind w:firstLine="851"/>
        <w:jc w:val="right"/>
        <w:rPr>
          <w:rFonts w:ascii="Times New Roman" w:hAnsi="Times New Roman"/>
          <w:sz w:val="24"/>
          <w:szCs w:val="24"/>
        </w:rPr>
      </w:pPr>
      <w:r w:rsidRPr="00EC52D7">
        <w:rPr>
          <w:rFonts w:ascii="Times New Roman" w:hAnsi="Times New Roman"/>
          <w:sz w:val="24"/>
          <w:szCs w:val="24"/>
        </w:rPr>
        <w:t>таблица 1</w:t>
      </w:r>
    </w:p>
    <w:p w:rsidR="00F16299" w:rsidRPr="00EC52D7" w:rsidRDefault="00F16299" w:rsidP="00C52D61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EC52D7">
        <w:rPr>
          <w:rFonts w:ascii="Times New Roman" w:hAnsi="Times New Roman"/>
          <w:b/>
          <w:sz w:val="24"/>
          <w:szCs w:val="24"/>
        </w:rPr>
        <w:t>Данные сравнения в уровне сформированности дидактической компетентности студентов педагогического вуза в ЭГ и КГ, 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8"/>
        <w:gridCol w:w="1702"/>
        <w:gridCol w:w="1696"/>
        <w:gridCol w:w="1661"/>
        <w:gridCol w:w="1669"/>
      </w:tblGrid>
      <w:tr w:rsidR="00F16299" w:rsidRPr="00A55E48" w:rsidTr="00EC52D7">
        <w:tc>
          <w:tcPr>
            <w:tcW w:w="2558" w:type="dxa"/>
            <w:vMerge w:val="restart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Уровни дидактической компетентности</w:t>
            </w:r>
          </w:p>
        </w:tc>
        <w:tc>
          <w:tcPr>
            <w:tcW w:w="6728" w:type="dxa"/>
            <w:gridSpan w:val="4"/>
          </w:tcPr>
          <w:p w:rsidR="00F16299" w:rsidRPr="00C52D61" w:rsidRDefault="00F16299" w:rsidP="00C52D61">
            <w:pPr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Количество, %</w:t>
            </w:r>
          </w:p>
        </w:tc>
      </w:tr>
      <w:tr w:rsidR="00F16299" w:rsidRPr="00A55E48" w:rsidTr="00EC52D7">
        <w:tc>
          <w:tcPr>
            <w:tcW w:w="2558" w:type="dxa"/>
            <w:vMerge/>
          </w:tcPr>
          <w:p w:rsidR="00F16299" w:rsidRPr="00C52D61" w:rsidRDefault="00F16299" w:rsidP="00C52D61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2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Экспериментальная группа</w:t>
            </w:r>
          </w:p>
        </w:tc>
        <w:tc>
          <w:tcPr>
            <w:tcW w:w="3330" w:type="dxa"/>
            <w:gridSpan w:val="2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Контрольная группа</w:t>
            </w:r>
          </w:p>
        </w:tc>
      </w:tr>
      <w:tr w:rsidR="00F16299" w:rsidRPr="00A55E48" w:rsidTr="00EC52D7">
        <w:tc>
          <w:tcPr>
            <w:tcW w:w="2558" w:type="dxa"/>
            <w:vMerge/>
          </w:tcPr>
          <w:p w:rsidR="00F16299" w:rsidRPr="00C52D61" w:rsidRDefault="00F16299" w:rsidP="00C52D61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696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после</w:t>
            </w:r>
          </w:p>
        </w:tc>
        <w:tc>
          <w:tcPr>
            <w:tcW w:w="1661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669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после</w:t>
            </w:r>
          </w:p>
        </w:tc>
      </w:tr>
      <w:tr w:rsidR="00F16299" w:rsidRPr="00A55E48" w:rsidTr="00EC52D7">
        <w:tc>
          <w:tcPr>
            <w:tcW w:w="2558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1702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96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661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669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F16299" w:rsidRPr="00A55E48" w:rsidTr="00EC52D7">
        <w:tc>
          <w:tcPr>
            <w:tcW w:w="2558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702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1696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61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69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36,3</w:t>
            </w:r>
          </w:p>
        </w:tc>
      </w:tr>
      <w:tr w:rsidR="00F16299" w:rsidRPr="00A55E48" w:rsidTr="00EC52D7">
        <w:tc>
          <w:tcPr>
            <w:tcW w:w="2558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702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696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661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69" w:type="dxa"/>
          </w:tcPr>
          <w:p w:rsidR="00F16299" w:rsidRPr="00C52D61" w:rsidRDefault="00F16299" w:rsidP="00C52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61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</w:tr>
    </w:tbl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16299" w:rsidRDefault="00F16299" w:rsidP="00C877F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0B1">
        <w:rPr>
          <w:rFonts w:ascii="Times New Roman" w:hAnsi="Times New Roman"/>
          <w:sz w:val="28"/>
          <w:szCs w:val="28"/>
        </w:rPr>
        <w:t>Исходя их представленных данных, подчеркнем небольшое изменение в полученных результатах КГ и значительное изменение уровн</w:t>
      </w:r>
      <w:r>
        <w:rPr>
          <w:rFonts w:ascii="Times New Roman" w:hAnsi="Times New Roman"/>
          <w:sz w:val="28"/>
          <w:szCs w:val="28"/>
        </w:rPr>
        <w:t>я</w:t>
      </w:r>
      <w:r w:rsidRPr="00EB60B1">
        <w:rPr>
          <w:rFonts w:ascii="Times New Roman" w:hAnsi="Times New Roman"/>
          <w:sz w:val="28"/>
          <w:szCs w:val="28"/>
        </w:rPr>
        <w:t xml:space="preserve"> сформированности дидактической компетентности студентов педагогического вуза ЭГ. </w:t>
      </w:r>
    </w:p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 w:rsidRPr="007156AD">
        <w:rPr>
          <w:rFonts w:ascii="Times New Roman" w:hAnsi="Times New Roman"/>
          <w:sz w:val="28"/>
          <w:szCs w:val="28"/>
        </w:rPr>
        <w:t>контрольный этап</w:t>
      </w:r>
      <w:r w:rsidRPr="00C877F0">
        <w:rPr>
          <w:rFonts w:ascii="Times New Roman" w:hAnsi="Times New Roman"/>
          <w:b/>
          <w:sz w:val="28"/>
          <w:szCs w:val="28"/>
        </w:rPr>
        <w:t xml:space="preserve"> </w:t>
      </w:r>
      <w:r w:rsidRPr="00C877F0">
        <w:rPr>
          <w:rFonts w:ascii="Times New Roman" w:hAnsi="Times New Roman"/>
          <w:sz w:val="28"/>
          <w:szCs w:val="28"/>
        </w:rPr>
        <w:t>эксперимента показал положительную динамику во всех выборках, однако наблюдаемый качественный и количественный прирост выше в экспериментальной группе (84 %).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60B1">
        <w:rPr>
          <w:rFonts w:ascii="Times New Roman" w:hAnsi="Times New Roman"/>
          <w:sz w:val="28"/>
          <w:szCs w:val="28"/>
        </w:rPr>
        <w:t>Большая разница между КГ и ЭГ свидетельствует об эффективности верифицированных педагогических условий результативного функционирования модели формирования дидактической компетентности студентов педагогического вуза в процессе самостоятельной работы.</w:t>
      </w:r>
    </w:p>
    <w:p w:rsidR="00F16299" w:rsidRPr="00EB60B1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EB60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ходе </w:t>
      </w:r>
      <w:r w:rsidRPr="00EB60B1">
        <w:rPr>
          <w:rFonts w:ascii="Times New Roman" w:hAnsi="Times New Roman"/>
          <w:sz w:val="28"/>
          <w:szCs w:val="28"/>
        </w:rPr>
        <w:t>экспериментальной работы по верификации педагогических условий результативного функционирования модели формирования дидактической компетентности студентов педагогического вуза в п</w:t>
      </w:r>
      <w:r>
        <w:rPr>
          <w:rFonts w:ascii="Times New Roman" w:hAnsi="Times New Roman"/>
          <w:sz w:val="28"/>
          <w:szCs w:val="28"/>
        </w:rPr>
        <w:t>роцессе самостоятельной работы было установлено, что по</w:t>
      </w:r>
      <w:r w:rsidRPr="00EB60B1">
        <w:rPr>
          <w:rFonts w:ascii="Times New Roman" w:hAnsi="Times New Roman"/>
          <w:sz w:val="28"/>
          <w:szCs w:val="28"/>
        </w:rPr>
        <w:t xml:space="preserve"> выделенным критериям </w:t>
      </w:r>
      <w:r>
        <w:rPr>
          <w:rFonts w:ascii="Times New Roman" w:hAnsi="Times New Roman"/>
          <w:sz w:val="28"/>
          <w:szCs w:val="28"/>
        </w:rPr>
        <w:t>студенты ЭГ</w:t>
      </w:r>
      <w:r w:rsidRPr="00EB60B1">
        <w:rPr>
          <w:rFonts w:ascii="Times New Roman" w:hAnsi="Times New Roman"/>
          <w:sz w:val="28"/>
          <w:szCs w:val="28"/>
        </w:rPr>
        <w:t xml:space="preserve"> достигли более значимых результатов, чем </w:t>
      </w:r>
      <w:r>
        <w:rPr>
          <w:rFonts w:ascii="Times New Roman" w:hAnsi="Times New Roman"/>
          <w:sz w:val="28"/>
          <w:szCs w:val="28"/>
        </w:rPr>
        <w:t>студенты КГ</w:t>
      </w:r>
      <w:r w:rsidRPr="00EB60B1">
        <w:rPr>
          <w:rFonts w:ascii="Times New Roman" w:hAnsi="Times New Roman"/>
          <w:sz w:val="28"/>
          <w:szCs w:val="28"/>
        </w:rPr>
        <w:t>, что подтвердилось при проведении количественного анализа полученных данных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60B1">
        <w:rPr>
          <w:rFonts w:ascii="Times New Roman" w:hAnsi="Times New Roman"/>
          <w:sz w:val="28"/>
          <w:szCs w:val="28"/>
        </w:rPr>
        <w:t>с использованием статистического критерия Пирсона (</w:t>
      </w:r>
      <w:r w:rsidRPr="00EB60B1">
        <w:rPr>
          <w:rFonts w:ascii="Times New Roman" w:hAnsi="Times New Roman"/>
          <w:sz w:val="28"/>
          <w:szCs w:val="28"/>
        </w:rPr>
        <w:sym w:font="Symbol" w:char="F063"/>
      </w:r>
      <w:r w:rsidRPr="00EB60B1">
        <w:rPr>
          <w:rFonts w:ascii="Times New Roman" w:hAnsi="Times New Roman"/>
          <w:sz w:val="28"/>
          <w:szCs w:val="28"/>
          <w:vertAlign w:val="superscript"/>
        </w:rPr>
        <w:t>2</w:t>
      </w:r>
      <w:r w:rsidRPr="00EB60B1">
        <w:rPr>
          <w:rFonts w:ascii="Times New Roman" w:hAnsi="Times New Roman"/>
          <w:sz w:val="28"/>
          <w:szCs w:val="28"/>
        </w:rPr>
        <w:t xml:space="preserve">). </w:t>
      </w:r>
    </w:p>
    <w:p w:rsidR="00F16299" w:rsidRDefault="00F16299" w:rsidP="00EB60B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0B1">
        <w:rPr>
          <w:rFonts w:ascii="Times New Roman" w:hAnsi="Times New Roman"/>
          <w:sz w:val="28"/>
          <w:szCs w:val="28"/>
        </w:rPr>
        <w:t>Результаты, полученные в ходе экс</w:t>
      </w:r>
      <w:r>
        <w:rPr>
          <w:rFonts w:ascii="Times New Roman" w:hAnsi="Times New Roman"/>
          <w:sz w:val="28"/>
          <w:szCs w:val="28"/>
        </w:rPr>
        <w:t xml:space="preserve">периментальной работы, доказали, что разработанная модель формирования </w:t>
      </w:r>
      <w:r w:rsidRPr="008B51CE">
        <w:rPr>
          <w:rFonts w:ascii="Times New Roman" w:hAnsi="Times New Roman"/>
          <w:sz w:val="28"/>
          <w:szCs w:val="28"/>
        </w:rPr>
        <w:t xml:space="preserve">дидактической </w:t>
      </w:r>
      <w:r>
        <w:rPr>
          <w:rFonts w:ascii="Times New Roman" w:hAnsi="Times New Roman"/>
          <w:sz w:val="28"/>
          <w:szCs w:val="28"/>
        </w:rPr>
        <w:t>компетентности студентов педагогического вуза</w:t>
      </w:r>
      <w:r w:rsidRPr="008B51CE">
        <w:rPr>
          <w:rFonts w:ascii="Times New Roman" w:hAnsi="Times New Roman"/>
          <w:sz w:val="28"/>
          <w:szCs w:val="28"/>
        </w:rPr>
        <w:t xml:space="preserve"> в процессе самостоятельной работы </w:t>
      </w:r>
      <w:r>
        <w:rPr>
          <w:rFonts w:ascii="Times New Roman" w:hAnsi="Times New Roman"/>
          <w:sz w:val="28"/>
          <w:szCs w:val="28"/>
        </w:rPr>
        <w:t xml:space="preserve">и верифицированные педагогические условия ее результативного функционирования </w:t>
      </w:r>
      <w:r w:rsidRPr="008B51CE">
        <w:rPr>
          <w:rFonts w:ascii="Times New Roman" w:hAnsi="Times New Roman"/>
          <w:sz w:val="28"/>
          <w:szCs w:val="28"/>
        </w:rPr>
        <w:t>являются эффектив</w:t>
      </w:r>
      <w:r>
        <w:rPr>
          <w:rFonts w:ascii="Times New Roman" w:hAnsi="Times New Roman"/>
          <w:sz w:val="28"/>
          <w:szCs w:val="28"/>
        </w:rPr>
        <w:t>ными.</w:t>
      </w:r>
    </w:p>
    <w:p w:rsidR="00F16299" w:rsidRDefault="00F16299" w:rsidP="00671A0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16299" w:rsidRDefault="00F16299" w:rsidP="00227EB6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Литература</w:t>
      </w:r>
      <w:r w:rsidRPr="008058F9">
        <w:rPr>
          <w:rFonts w:ascii="Times New Roman" w:hAnsi="Times New Roman"/>
          <w:b/>
          <w:sz w:val="24"/>
          <w:szCs w:val="28"/>
        </w:rPr>
        <w:t>:</w:t>
      </w:r>
    </w:p>
    <w:p w:rsidR="00F16299" w:rsidRPr="008058F9" w:rsidRDefault="00F16299" w:rsidP="00A81B94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8"/>
        </w:rPr>
      </w:pPr>
    </w:p>
    <w:p w:rsidR="00F16299" w:rsidRPr="008058F9" w:rsidRDefault="00F16299" w:rsidP="00A81B9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8058F9">
        <w:rPr>
          <w:rFonts w:ascii="Times New Roman" w:hAnsi="Times New Roman"/>
          <w:sz w:val="24"/>
          <w:szCs w:val="28"/>
        </w:rPr>
        <w:t xml:space="preserve">1. </w:t>
      </w:r>
      <w:hyperlink r:id="rId7" w:history="1">
        <w:r w:rsidRPr="008058F9">
          <w:rPr>
            <w:rStyle w:val="Hyperlink"/>
            <w:rFonts w:ascii="Times New Roman" w:hAnsi="Times New Roman"/>
            <w:color w:val="auto"/>
            <w:sz w:val="24"/>
            <w:szCs w:val="28"/>
            <w:u w:val="none"/>
          </w:rPr>
          <w:t>Гладкая, И.В. Становление понятия «профессиональная компетентность» в теории профессионального образования / И. В. Гладкая // Человек и образование. – 2011. - № 2. - С.130-134.</w:t>
        </w:r>
      </w:hyperlink>
      <w:r w:rsidRPr="008058F9">
        <w:rPr>
          <w:rFonts w:ascii="Times New Roman" w:hAnsi="Times New Roman"/>
          <w:sz w:val="24"/>
          <w:szCs w:val="28"/>
        </w:rPr>
        <w:t xml:space="preserve"> </w:t>
      </w:r>
    </w:p>
    <w:p w:rsidR="00F16299" w:rsidRPr="008058F9" w:rsidRDefault="00F16299" w:rsidP="00A81B9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8058F9">
        <w:rPr>
          <w:rFonts w:ascii="Times New Roman" w:hAnsi="Times New Roman"/>
          <w:sz w:val="24"/>
          <w:szCs w:val="28"/>
        </w:rPr>
        <w:t>2. Шапарь, В. Б. Практическая психология. Инструментарий : учеб. пособие для вузов / В. Б. Шапарь, А. В. Тимченко, В. Н. Швыдченко. – Ростов н/Д : Феникс, 2002. – 688 с.</w:t>
      </w:r>
    </w:p>
    <w:p w:rsidR="00F16299" w:rsidRPr="008058F9" w:rsidRDefault="00F16299" w:rsidP="00A81B9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8058F9">
        <w:rPr>
          <w:rFonts w:ascii="Times New Roman" w:hAnsi="Times New Roman"/>
          <w:sz w:val="24"/>
          <w:szCs w:val="28"/>
        </w:rPr>
        <w:t>3. Шукшина, Т. И. Педагогическая олимпиада как гуманитарная технология формирования профессиональной компетентности / Т. И. Шукшина, Т. В. Татьянина // Высшее образование сегодня. – 2009. – № 11. – С. 33–37.</w:t>
      </w:r>
    </w:p>
    <w:p w:rsidR="00F16299" w:rsidRPr="008058F9" w:rsidRDefault="00F16299" w:rsidP="00A81B9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8058F9">
        <w:rPr>
          <w:rFonts w:ascii="Times New Roman" w:hAnsi="Times New Roman"/>
          <w:sz w:val="24"/>
          <w:szCs w:val="28"/>
        </w:rPr>
        <w:t xml:space="preserve">4. </w:t>
      </w:r>
      <w:r w:rsidRPr="008058F9">
        <w:rPr>
          <w:rStyle w:val="shorttext"/>
          <w:rFonts w:ascii="Times New Roman" w:hAnsi="Times New Roman"/>
          <w:sz w:val="24"/>
          <w:szCs w:val="28"/>
        </w:rPr>
        <w:t xml:space="preserve">Шукшина, Т. И. Самостоятельная работа в формировании профессиональной компетентности бакалавров педагогического образования </w:t>
      </w:r>
      <w:r w:rsidRPr="008058F9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/ Т.И. Шукшина, Ж.А. Мовсесян, И.И. Парватова, П.Ю. Соколова </w:t>
      </w:r>
      <w:r w:rsidRPr="008058F9">
        <w:rPr>
          <w:rStyle w:val="shorttext"/>
          <w:rFonts w:ascii="Times New Roman" w:hAnsi="Times New Roman"/>
          <w:sz w:val="24"/>
          <w:szCs w:val="28"/>
        </w:rPr>
        <w:t xml:space="preserve">// </w:t>
      </w:r>
      <w:r w:rsidRPr="008058F9">
        <w:rPr>
          <w:rFonts w:ascii="Times New Roman" w:hAnsi="Times New Roman"/>
          <w:sz w:val="24"/>
          <w:szCs w:val="28"/>
        </w:rPr>
        <w:t>Гуманитарные науки и образование. – 2016. – № 3. – С. 72–77., с. 74.</w:t>
      </w:r>
    </w:p>
    <w:p w:rsidR="00F16299" w:rsidRPr="008058F9" w:rsidRDefault="00F16299" w:rsidP="00A81B9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8058F9">
        <w:rPr>
          <w:rFonts w:ascii="Times New Roman" w:hAnsi="Times New Roman"/>
          <w:sz w:val="24"/>
          <w:szCs w:val="28"/>
        </w:rPr>
        <w:t>5. Шукшина, Т. И. , Мовсесян, Ж. А. Педагогические условия формирования дидактической компетентности будущих учителей в процессе самостоятельной работы / Т. И. Шукш</w:t>
      </w:r>
      <w:r>
        <w:rPr>
          <w:rFonts w:ascii="Times New Roman" w:hAnsi="Times New Roman"/>
          <w:sz w:val="24"/>
          <w:szCs w:val="28"/>
        </w:rPr>
        <w:t>ина, Ж. А. Мовсесян // Вестник Ч</w:t>
      </w:r>
      <w:r w:rsidRPr="008058F9">
        <w:rPr>
          <w:rFonts w:ascii="Times New Roman" w:hAnsi="Times New Roman"/>
          <w:sz w:val="24"/>
          <w:szCs w:val="28"/>
        </w:rPr>
        <w:t>елябинского государственного педагогического университета. – 2016. – № 10. – С. 122 – 130.</w:t>
      </w:r>
    </w:p>
    <w:p w:rsidR="00F16299" w:rsidRPr="008058F9" w:rsidRDefault="00F16299" w:rsidP="00E002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F16299" w:rsidRPr="00A81B94" w:rsidRDefault="00F16299" w:rsidP="00EB5CDF">
      <w:pPr>
        <w:pStyle w:val="1"/>
        <w:shd w:val="clear" w:color="auto" w:fill="auto"/>
        <w:tabs>
          <w:tab w:val="left" w:pos="3926"/>
        </w:tabs>
        <w:spacing w:line="240" w:lineRule="auto"/>
        <w:jc w:val="center"/>
        <w:rPr>
          <w:rStyle w:val="shorttext"/>
          <w:b/>
          <w:sz w:val="24"/>
          <w:szCs w:val="24"/>
          <w:lang w:val="en-US"/>
        </w:rPr>
      </w:pPr>
      <w:r w:rsidRPr="00A81B94">
        <w:rPr>
          <w:rStyle w:val="shorttext"/>
          <w:b/>
          <w:sz w:val="24"/>
          <w:szCs w:val="24"/>
          <w:lang w:val="en-US"/>
        </w:rPr>
        <w:t>References</w:t>
      </w:r>
    </w:p>
    <w:p w:rsidR="00F16299" w:rsidRPr="00A81B94" w:rsidRDefault="00F16299" w:rsidP="00A81B94">
      <w:pPr>
        <w:pStyle w:val="1"/>
        <w:tabs>
          <w:tab w:val="left" w:pos="0"/>
          <w:tab w:val="left" w:pos="709"/>
          <w:tab w:val="left" w:pos="851"/>
          <w:tab w:val="left" w:pos="1134"/>
        </w:tabs>
        <w:spacing w:line="240" w:lineRule="auto"/>
        <w:ind w:firstLine="540"/>
        <w:rPr>
          <w:sz w:val="24"/>
          <w:szCs w:val="24"/>
          <w:lang w:val="en-US"/>
        </w:rPr>
      </w:pPr>
      <w:r w:rsidRPr="00A81B94">
        <w:rPr>
          <w:sz w:val="24"/>
          <w:szCs w:val="24"/>
          <w:lang w:val="en-US"/>
        </w:rPr>
        <w:t xml:space="preserve">1. Gladkaja, I.V. Stanovlenie ponjatija «professional'naja kompetentnost'» v teorii professional'nogo obrazovanija / I. V. Gladkaja // Chelovek i obrazovanie. – 2011. - № 2. - S.130-134. </w:t>
      </w:r>
    </w:p>
    <w:p w:rsidR="00F16299" w:rsidRPr="00A81B94" w:rsidRDefault="00F16299" w:rsidP="00A81B94">
      <w:pPr>
        <w:pStyle w:val="1"/>
        <w:tabs>
          <w:tab w:val="left" w:pos="0"/>
          <w:tab w:val="left" w:pos="709"/>
          <w:tab w:val="left" w:pos="851"/>
          <w:tab w:val="left" w:pos="1134"/>
        </w:tabs>
        <w:spacing w:line="240" w:lineRule="auto"/>
        <w:ind w:firstLine="540"/>
        <w:rPr>
          <w:sz w:val="24"/>
          <w:szCs w:val="24"/>
          <w:lang w:val="en-US"/>
        </w:rPr>
      </w:pPr>
      <w:r w:rsidRPr="00A81B94">
        <w:rPr>
          <w:sz w:val="24"/>
          <w:szCs w:val="24"/>
          <w:lang w:val="en-US"/>
        </w:rPr>
        <w:t>2. Shapar', V. B. Prakticheskaja psihologija. Instrumentarij : ucheb. posobie dlja vuzov / V. B. Shapar', A. V. Timchenko, V. N. Shvydchenko. – Rostov n/D : Feniks, 2002. – 688 s.</w:t>
      </w:r>
    </w:p>
    <w:p w:rsidR="00F16299" w:rsidRPr="00A81B94" w:rsidRDefault="00F16299" w:rsidP="00A81B94">
      <w:pPr>
        <w:pStyle w:val="1"/>
        <w:tabs>
          <w:tab w:val="left" w:pos="0"/>
          <w:tab w:val="left" w:pos="709"/>
          <w:tab w:val="left" w:pos="851"/>
          <w:tab w:val="left" w:pos="1134"/>
        </w:tabs>
        <w:spacing w:line="240" w:lineRule="auto"/>
        <w:ind w:firstLine="540"/>
        <w:rPr>
          <w:sz w:val="24"/>
          <w:szCs w:val="24"/>
          <w:lang w:val="en-US"/>
        </w:rPr>
      </w:pPr>
      <w:r w:rsidRPr="00A81B94">
        <w:rPr>
          <w:sz w:val="24"/>
          <w:szCs w:val="24"/>
          <w:lang w:val="en-US"/>
        </w:rPr>
        <w:t>3. Shukshina, T. I. Pedagogicheskaja olimpiada kak gumanitarnaja tehnologija formirovanija professional'noj kompetentnosti / T. I. Shukshina, T. V. Tat'janina // Vysshee obrazovanie segodnja. – 2009. – № 11. – S. 33–37.</w:t>
      </w:r>
    </w:p>
    <w:p w:rsidR="00F16299" w:rsidRPr="00A81B94" w:rsidRDefault="00F16299" w:rsidP="00A81B94">
      <w:pPr>
        <w:pStyle w:val="1"/>
        <w:tabs>
          <w:tab w:val="left" w:pos="0"/>
          <w:tab w:val="left" w:pos="709"/>
          <w:tab w:val="left" w:pos="851"/>
          <w:tab w:val="left" w:pos="1134"/>
        </w:tabs>
        <w:spacing w:line="240" w:lineRule="auto"/>
        <w:ind w:firstLine="540"/>
        <w:rPr>
          <w:sz w:val="24"/>
          <w:szCs w:val="24"/>
          <w:lang w:val="en-US"/>
        </w:rPr>
      </w:pPr>
      <w:r w:rsidRPr="00A81B94">
        <w:rPr>
          <w:sz w:val="24"/>
          <w:szCs w:val="24"/>
          <w:lang w:val="en-US"/>
        </w:rPr>
        <w:t>4. Shukshina, T. I. Samostojatel'naja rabota v formirovanii professional'noj kompetentnosti bakalavrov pedagogicheskogo obrazovanija / T.I. Shukshina, Zh.A. Movsesjan, I.I. Parvatova, P.Ju. Sokolova // Gumanitarnye nauki i obrazovanie. – 2016. – № 3. – S. 72–77., s. 74.</w:t>
      </w:r>
    </w:p>
    <w:p w:rsidR="00F16299" w:rsidRPr="00A81B94" w:rsidRDefault="00F16299" w:rsidP="00A81B94">
      <w:pPr>
        <w:pStyle w:val="1"/>
        <w:tabs>
          <w:tab w:val="left" w:pos="0"/>
          <w:tab w:val="left" w:pos="709"/>
          <w:tab w:val="left" w:pos="851"/>
          <w:tab w:val="left" w:pos="1134"/>
        </w:tabs>
        <w:spacing w:line="240" w:lineRule="auto"/>
        <w:ind w:firstLine="540"/>
        <w:rPr>
          <w:sz w:val="24"/>
          <w:szCs w:val="24"/>
          <w:lang w:val="en-US"/>
        </w:rPr>
      </w:pPr>
      <w:r w:rsidRPr="00A81B94">
        <w:rPr>
          <w:sz w:val="24"/>
          <w:szCs w:val="24"/>
          <w:lang w:val="en-US"/>
        </w:rPr>
        <w:t>5. Shukshina, T. I. , Movsesjan, Zh. A. Pedagogicheskie uslovija formirovanija didakticheskoj kompetentnosti budushhih uchitelej v processe samostojatel'noj raboty / T. I. Shukshina, Zh. A. Movsesjan // Vestnik Cheljabinskogo gosudarstvennogo pedagogicheskogo universiteta. – 2016. – № 10. – S. 122 – 130.</w:t>
      </w:r>
    </w:p>
    <w:sectPr w:rsidR="00F16299" w:rsidRPr="00A81B94" w:rsidSect="00EF1116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299" w:rsidRDefault="00F16299" w:rsidP="004D6DD0">
      <w:pPr>
        <w:spacing w:after="0" w:line="240" w:lineRule="auto"/>
      </w:pPr>
      <w:r>
        <w:separator/>
      </w:r>
    </w:p>
  </w:endnote>
  <w:endnote w:type="continuationSeparator" w:id="0">
    <w:p w:rsidR="00F16299" w:rsidRDefault="00F16299" w:rsidP="004D6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299" w:rsidRDefault="00F16299">
    <w:pPr>
      <w:pStyle w:val="Footer"/>
    </w:pPr>
    <w:r w:rsidRPr="002A5106">
      <w:rPr>
        <w:rFonts w:ascii="Times New Roman" w:hAnsi="Times New Roman"/>
        <w:sz w:val="24"/>
        <w:szCs w:val="24"/>
      </w:rPr>
      <w:t>http://ej.kubagro.ru/20</w:t>
    </w:r>
    <w:r w:rsidRPr="002A5106">
      <w:rPr>
        <w:rFonts w:ascii="Times New Roman" w:hAnsi="Times New Roman"/>
        <w:sz w:val="24"/>
        <w:szCs w:val="24"/>
        <w:lang w:val="en-US"/>
      </w:rPr>
      <w:t>17</w:t>
    </w:r>
    <w:r w:rsidRPr="002A5106">
      <w:rPr>
        <w:rFonts w:ascii="Times New Roman" w:hAnsi="Times New Roman"/>
        <w:sz w:val="24"/>
        <w:szCs w:val="24"/>
      </w:rPr>
      <w:t>/</w:t>
    </w:r>
    <w:r w:rsidRPr="002A5106">
      <w:rPr>
        <w:rFonts w:ascii="Times New Roman" w:hAnsi="Times New Roman"/>
        <w:sz w:val="24"/>
        <w:szCs w:val="24"/>
        <w:lang w:val="en-US"/>
      </w:rPr>
      <w:t>07</w:t>
    </w:r>
    <w:r w:rsidRPr="002A5106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36</w:t>
    </w:r>
    <w:r w:rsidRPr="002A5106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299" w:rsidRDefault="00F16299" w:rsidP="004D6DD0">
      <w:pPr>
        <w:spacing w:after="0" w:line="240" w:lineRule="auto"/>
      </w:pPr>
      <w:r>
        <w:separator/>
      </w:r>
    </w:p>
  </w:footnote>
  <w:footnote w:type="continuationSeparator" w:id="0">
    <w:p w:rsidR="00F16299" w:rsidRDefault="00F16299" w:rsidP="004D6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299" w:rsidRDefault="00F16299" w:rsidP="002825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6299" w:rsidRDefault="00F16299" w:rsidP="0028258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299" w:rsidRPr="00282583" w:rsidRDefault="00F16299" w:rsidP="0028258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82583">
      <w:rPr>
        <w:rStyle w:val="PageNumber"/>
        <w:rFonts w:ascii="Times New Roman" w:hAnsi="Times New Roman"/>
        <w:sz w:val="28"/>
        <w:szCs w:val="28"/>
      </w:rPr>
      <w:fldChar w:fldCharType="begin"/>
    </w:r>
    <w:r w:rsidRPr="0028258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8258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6</w:t>
    </w:r>
    <w:r w:rsidRPr="00282583">
      <w:rPr>
        <w:rStyle w:val="PageNumber"/>
        <w:rFonts w:ascii="Times New Roman" w:hAnsi="Times New Roman"/>
        <w:sz w:val="28"/>
        <w:szCs w:val="28"/>
      </w:rPr>
      <w:fldChar w:fldCharType="end"/>
    </w:r>
  </w:p>
  <w:p w:rsidR="00F16299" w:rsidRPr="00282583" w:rsidRDefault="00F16299" w:rsidP="00282583">
    <w:pPr>
      <w:pStyle w:val="Header"/>
      <w:ind w:right="360"/>
      <w:rPr>
        <w:rFonts w:ascii="Times New Roman" w:hAnsi="Times New Roman"/>
      </w:rPr>
    </w:pPr>
    <w:r w:rsidRPr="00282583">
      <w:rPr>
        <w:rFonts w:ascii="Times New Roman" w:hAnsi="Times New Roman"/>
        <w:sz w:val="24"/>
        <w:szCs w:val="24"/>
      </w:rPr>
      <w:t>Научный журнал КубГАУ, №</w:t>
    </w:r>
    <w:r w:rsidRPr="00282583">
      <w:rPr>
        <w:rFonts w:ascii="Times New Roman" w:hAnsi="Times New Roman"/>
        <w:sz w:val="24"/>
        <w:szCs w:val="24"/>
        <w:lang w:val="en-US"/>
      </w:rPr>
      <w:t>131</w:t>
    </w:r>
    <w:r w:rsidRPr="00282583">
      <w:rPr>
        <w:rFonts w:ascii="Times New Roman" w:hAnsi="Times New Roman"/>
        <w:sz w:val="24"/>
        <w:szCs w:val="24"/>
      </w:rPr>
      <w:t>(</w:t>
    </w:r>
    <w:r w:rsidRPr="00282583">
      <w:rPr>
        <w:rFonts w:ascii="Times New Roman" w:hAnsi="Times New Roman"/>
        <w:sz w:val="24"/>
        <w:szCs w:val="24"/>
        <w:lang w:val="en-US"/>
      </w:rPr>
      <w:t>07</w:t>
    </w:r>
    <w:r w:rsidRPr="00282583">
      <w:rPr>
        <w:rFonts w:ascii="Times New Roman" w:hAnsi="Times New Roman"/>
        <w:sz w:val="24"/>
        <w:szCs w:val="24"/>
      </w:rPr>
      <w:t>), 20</w:t>
    </w:r>
    <w:r w:rsidRPr="00282583">
      <w:rPr>
        <w:rFonts w:ascii="Times New Roman" w:hAnsi="Times New Roman"/>
        <w:sz w:val="24"/>
        <w:szCs w:val="24"/>
        <w:lang w:val="en-US"/>
      </w:rPr>
      <w:t>17</w:t>
    </w:r>
    <w:r w:rsidRPr="00282583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23C2C"/>
    <w:multiLevelType w:val="hybridMultilevel"/>
    <w:tmpl w:val="4A3EA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9048EE"/>
    <w:multiLevelType w:val="hybridMultilevel"/>
    <w:tmpl w:val="AA586E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B1626A"/>
    <w:multiLevelType w:val="hybridMultilevel"/>
    <w:tmpl w:val="3B3E3F42"/>
    <w:lvl w:ilvl="0" w:tplc="2B68B7A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7F5C4BF1"/>
    <w:multiLevelType w:val="hybridMultilevel"/>
    <w:tmpl w:val="32A659DC"/>
    <w:lvl w:ilvl="0" w:tplc="A216CEE0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F7868F6"/>
    <w:multiLevelType w:val="hybridMultilevel"/>
    <w:tmpl w:val="A4DABE86"/>
    <w:lvl w:ilvl="0" w:tplc="08A63C02">
      <w:start w:val="1"/>
      <w:numFmt w:val="decimal"/>
      <w:lvlText w:val="%1."/>
      <w:lvlJc w:val="left"/>
      <w:pPr>
        <w:ind w:left="1316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EFA"/>
    <w:rsid w:val="00023693"/>
    <w:rsid w:val="000C38D2"/>
    <w:rsid w:val="000D474C"/>
    <w:rsid w:val="00121355"/>
    <w:rsid w:val="001349AA"/>
    <w:rsid w:val="00161E8F"/>
    <w:rsid w:val="00171E7E"/>
    <w:rsid w:val="00176FBC"/>
    <w:rsid w:val="001C0092"/>
    <w:rsid w:val="001C0E36"/>
    <w:rsid w:val="00200451"/>
    <w:rsid w:val="00215EA0"/>
    <w:rsid w:val="00227EB6"/>
    <w:rsid w:val="002401F9"/>
    <w:rsid w:val="002446A1"/>
    <w:rsid w:val="002551E4"/>
    <w:rsid w:val="00282583"/>
    <w:rsid w:val="00286DBB"/>
    <w:rsid w:val="002A5106"/>
    <w:rsid w:val="002B5EB4"/>
    <w:rsid w:val="002C02AA"/>
    <w:rsid w:val="002C032A"/>
    <w:rsid w:val="002C053D"/>
    <w:rsid w:val="002C2BD8"/>
    <w:rsid w:val="002D41C0"/>
    <w:rsid w:val="00301B36"/>
    <w:rsid w:val="00307635"/>
    <w:rsid w:val="0033108C"/>
    <w:rsid w:val="00371414"/>
    <w:rsid w:val="003869B8"/>
    <w:rsid w:val="003C6436"/>
    <w:rsid w:val="003E40BF"/>
    <w:rsid w:val="0041687B"/>
    <w:rsid w:val="004225B0"/>
    <w:rsid w:val="00437385"/>
    <w:rsid w:val="004600DF"/>
    <w:rsid w:val="004649DD"/>
    <w:rsid w:val="00476359"/>
    <w:rsid w:val="004A735C"/>
    <w:rsid w:val="004A7B6E"/>
    <w:rsid w:val="004D6DD0"/>
    <w:rsid w:val="004E2291"/>
    <w:rsid w:val="004F60B4"/>
    <w:rsid w:val="005019C0"/>
    <w:rsid w:val="005354F5"/>
    <w:rsid w:val="00585D09"/>
    <w:rsid w:val="005B62F5"/>
    <w:rsid w:val="005C2339"/>
    <w:rsid w:val="005F21D5"/>
    <w:rsid w:val="00602C45"/>
    <w:rsid w:val="00622E3A"/>
    <w:rsid w:val="00635211"/>
    <w:rsid w:val="0065417F"/>
    <w:rsid w:val="00657A9B"/>
    <w:rsid w:val="00671A0D"/>
    <w:rsid w:val="006913CF"/>
    <w:rsid w:val="0069370E"/>
    <w:rsid w:val="00695C17"/>
    <w:rsid w:val="006C0F76"/>
    <w:rsid w:val="0071275B"/>
    <w:rsid w:val="00713B9E"/>
    <w:rsid w:val="007156AD"/>
    <w:rsid w:val="00715763"/>
    <w:rsid w:val="008058F9"/>
    <w:rsid w:val="00824AA4"/>
    <w:rsid w:val="008539D7"/>
    <w:rsid w:val="0086662E"/>
    <w:rsid w:val="00876048"/>
    <w:rsid w:val="008B51CE"/>
    <w:rsid w:val="008B5E80"/>
    <w:rsid w:val="008C4D63"/>
    <w:rsid w:val="009173CE"/>
    <w:rsid w:val="009810FA"/>
    <w:rsid w:val="009936BA"/>
    <w:rsid w:val="009E4BD0"/>
    <w:rsid w:val="009F2540"/>
    <w:rsid w:val="00A55A8B"/>
    <w:rsid w:val="00A55E48"/>
    <w:rsid w:val="00A61D4E"/>
    <w:rsid w:val="00A81B94"/>
    <w:rsid w:val="00A87FA8"/>
    <w:rsid w:val="00AA4DA0"/>
    <w:rsid w:val="00AB2151"/>
    <w:rsid w:val="00AB334C"/>
    <w:rsid w:val="00AC68CF"/>
    <w:rsid w:val="00B57403"/>
    <w:rsid w:val="00BD3CAE"/>
    <w:rsid w:val="00C52D61"/>
    <w:rsid w:val="00C5702D"/>
    <w:rsid w:val="00C61BE7"/>
    <w:rsid w:val="00C646A7"/>
    <w:rsid w:val="00C877F0"/>
    <w:rsid w:val="00CA5BA4"/>
    <w:rsid w:val="00CE1FB5"/>
    <w:rsid w:val="00D029EB"/>
    <w:rsid w:val="00D02C3E"/>
    <w:rsid w:val="00D34031"/>
    <w:rsid w:val="00D623B8"/>
    <w:rsid w:val="00D64DCE"/>
    <w:rsid w:val="00D66E8F"/>
    <w:rsid w:val="00D84EFA"/>
    <w:rsid w:val="00D954E0"/>
    <w:rsid w:val="00DA0292"/>
    <w:rsid w:val="00DC4376"/>
    <w:rsid w:val="00E00260"/>
    <w:rsid w:val="00E505CF"/>
    <w:rsid w:val="00E953C4"/>
    <w:rsid w:val="00EB2869"/>
    <w:rsid w:val="00EB5CDF"/>
    <w:rsid w:val="00EB60B1"/>
    <w:rsid w:val="00EC52D7"/>
    <w:rsid w:val="00ED7351"/>
    <w:rsid w:val="00EE4E6F"/>
    <w:rsid w:val="00EF1116"/>
    <w:rsid w:val="00F01FEC"/>
    <w:rsid w:val="00F16299"/>
    <w:rsid w:val="00F4062C"/>
    <w:rsid w:val="00F7034A"/>
    <w:rsid w:val="00F74C82"/>
    <w:rsid w:val="00F94A9C"/>
    <w:rsid w:val="00FA1D8C"/>
    <w:rsid w:val="00FF50BD"/>
    <w:rsid w:val="00FF7C2E"/>
    <w:rsid w:val="36B7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E8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84EF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4600DF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600D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horttext">
    <w:name w:val="short_text"/>
    <w:basedOn w:val="DefaultParagraphFont"/>
    <w:uiPriority w:val="99"/>
    <w:rsid w:val="004600DF"/>
    <w:rPr>
      <w:rFonts w:cs="Times New Roman"/>
    </w:rPr>
  </w:style>
  <w:style w:type="paragraph" w:customStyle="1" w:styleId="6">
    <w:name w:val="Основной текст6"/>
    <w:basedOn w:val="Normal"/>
    <w:uiPriority w:val="99"/>
    <w:rsid w:val="00F4062C"/>
    <w:pPr>
      <w:widowControl w:val="0"/>
      <w:shd w:val="clear" w:color="auto" w:fill="FFFFFF"/>
      <w:spacing w:after="0" w:line="240" w:lineRule="atLeast"/>
      <w:ind w:hanging="980"/>
    </w:pPr>
    <w:rPr>
      <w:rFonts w:ascii="Times New Roman" w:hAnsi="Times New Roman"/>
      <w:color w:val="000000"/>
      <w:spacing w:val="-10"/>
      <w:sz w:val="60"/>
      <w:szCs w:val="60"/>
    </w:rPr>
  </w:style>
  <w:style w:type="character" w:customStyle="1" w:styleId="10">
    <w:name w:val="Основной текст + 10"/>
    <w:aliases w:val="5 pt,Полужирный,Интервал 0 pt"/>
    <w:uiPriority w:val="99"/>
    <w:rsid w:val="00F4062C"/>
    <w:rPr>
      <w:rFonts w:ascii="Book Antiqua" w:eastAsia="Times New Roman" w:hAnsi="Book Antiqua"/>
      <w:b/>
      <w:color w:val="000000"/>
      <w:spacing w:val="0"/>
      <w:w w:val="100"/>
      <w:position w:val="0"/>
      <w:sz w:val="21"/>
      <w:u w:val="none"/>
      <w:shd w:val="clear" w:color="auto" w:fill="FFFFFF"/>
      <w:lang w:val="ru-RU"/>
    </w:rPr>
  </w:style>
  <w:style w:type="table" w:styleId="TableGrid">
    <w:name w:val="Table Grid"/>
    <w:basedOn w:val="TableNormal"/>
    <w:uiPriority w:val="99"/>
    <w:rsid w:val="00671A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E505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Основной текст1"/>
    <w:basedOn w:val="Normal"/>
    <w:uiPriority w:val="99"/>
    <w:rsid w:val="00EB5CDF"/>
    <w:pPr>
      <w:widowControl w:val="0"/>
      <w:shd w:val="clear" w:color="auto" w:fill="FFFFFF"/>
      <w:spacing w:after="0" w:line="264" w:lineRule="exact"/>
      <w:jc w:val="both"/>
    </w:pPr>
    <w:rPr>
      <w:rFonts w:ascii="Times New Roman" w:hAnsi="Times New Roman"/>
      <w:color w:val="000000"/>
      <w:spacing w:val="5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69370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69370E"/>
    <w:rPr>
      <w:rFonts w:ascii="Times New Roman" w:hAnsi="Times New Roman"/>
      <w:sz w:val="24"/>
      <w:lang w:eastAsia="ru-RU"/>
    </w:rPr>
  </w:style>
  <w:style w:type="paragraph" w:styleId="Header">
    <w:name w:val="header"/>
    <w:basedOn w:val="Normal"/>
    <w:link w:val="HeaderChar"/>
    <w:uiPriority w:val="99"/>
    <w:rsid w:val="004D6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DD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D6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6DD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52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D6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28258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0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646030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1608</TotalTime>
  <Pages>6</Pages>
  <Words>1753</Words>
  <Characters>9997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7</cp:revision>
  <cp:lastPrinted>2017-07-10T07:44:00Z</cp:lastPrinted>
  <dcterms:created xsi:type="dcterms:W3CDTF">2017-07-17T15:06:00Z</dcterms:created>
  <dcterms:modified xsi:type="dcterms:W3CDTF">2017-10-09T05:53:00Z</dcterms:modified>
</cp:coreProperties>
</file>