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FC2F03" w:rsidRPr="00D01545" w:rsidTr="000A3832">
        <w:tc>
          <w:tcPr>
            <w:tcW w:w="4530" w:type="dxa"/>
          </w:tcPr>
          <w:p w:rsidR="00FC2F03" w:rsidRPr="000A3832" w:rsidRDefault="00FC2F03" w:rsidP="00A12D2D">
            <w:pPr>
              <w:rPr>
                <w:rFonts w:cs="Times New Roman"/>
                <w:sz w:val="20"/>
                <w:szCs w:val="28"/>
              </w:rPr>
            </w:pPr>
            <w:r w:rsidRPr="000A3832">
              <w:rPr>
                <w:rFonts w:cs="Times New Roman"/>
                <w:sz w:val="20"/>
                <w:szCs w:val="28"/>
              </w:rPr>
              <w:t>УДК 657.37</w:t>
            </w:r>
          </w:p>
          <w:p w:rsidR="00FC2F03" w:rsidRPr="000A3832" w:rsidRDefault="00FC2F03" w:rsidP="00A12D2D">
            <w:pPr>
              <w:rPr>
                <w:rFonts w:cs="Times New Roman"/>
                <w:sz w:val="20"/>
                <w:szCs w:val="28"/>
              </w:rPr>
            </w:pPr>
          </w:p>
          <w:p w:rsidR="00FC2F03" w:rsidRPr="000A3832" w:rsidRDefault="00FC2F03" w:rsidP="00A12D2D">
            <w:pPr>
              <w:rPr>
                <w:rFonts w:cs="Times New Roman"/>
                <w:sz w:val="20"/>
                <w:szCs w:val="28"/>
              </w:rPr>
            </w:pPr>
            <w:r w:rsidRPr="000A3832">
              <w:rPr>
                <w:rFonts w:cs="Times New Roman"/>
                <w:sz w:val="20"/>
                <w:szCs w:val="28"/>
              </w:rPr>
              <w:t>08.00.00</w:t>
            </w:r>
            <w:r w:rsidRPr="000A3832">
              <w:rPr>
                <w:rFonts w:cs="Times New Roman"/>
                <w:b/>
                <w:sz w:val="20"/>
                <w:szCs w:val="28"/>
              </w:rPr>
              <w:t xml:space="preserve"> </w:t>
            </w:r>
            <w:r w:rsidRPr="000A3832">
              <w:rPr>
                <w:rFonts w:cs="Times New Roman"/>
                <w:sz w:val="20"/>
                <w:szCs w:val="28"/>
              </w:rPr>
              <w:t>Экономические науки</w:t>
            </w:r>
          </w:p>
          <w:p w:rsidR="00FC2F03" w:rsidRPr="000A3832" w:rsidRDefault="00FC2F03" w:rsidP="00A12D2D">
            <w:pPr>
              <w:rPr>
                <w:rFonts w:cs="Times New Roman"/>
                <w:sz w:val="20"/>
                <w:szCs w:val="28"/>
              </w:rPr>
            </w:pPr>
          </w:p>
          <w:p w:rsidR="00FC2F03" w:rsidRPr="000A3832" w:rsidRDefault="00FC2F03" w:rsidP="00A12D2D">
            <w:pPr>
              <w:rPr>
                <w:rFonts w:cs="Times New Roman"/>
                <w:b/>
                <w:sz w:val="20"/>
                <w:szCs w:val="20"/>
              </w:rPr>
            </w:pPr>
            <w:r w:rsidRPr="000A3832">
              <w:rPr>
                <w:rFonts w:cs="Times New Roman"/>
                <w:b/>
                <w:sz w:val="20"/>
                <w:szCs w:val="20"/>
              </w:rPr>
              <w:t>ИНТЕГРИРОВАННАЯ ОТЧЕТНОСТЬ – СОВРЕМЕННАЯ ОТЧЕТНОСТЬ ДЛЯ БИЗНЕСА</w:t>
            </w:r>
          </w:p>
          <w:p w:rsidR="00FC2F03" w:rsidRPr="000A3832" w:rsidRDefault="00FC2F03" w:rsidP="00A12D2D">
            <w:pPr>
              <w:rPr>
                <w:rFonts w:cs="Times New Roman"/>
                <w:b/>
                <w:sz w:val="20"/>
                <w:szCs w:val="20"/>
              </w:rPr>
            </w:pPr>
          </w:p>
          <w:p w:rsidR="00FC2F03" w:rsidRPr="000A3832" w:rsidRDefault="00FC2F03" w:rsidP="00A12D2D">
            <w:pPr>
              <w:rPr>
                <w:sz w:val="20"/>
                <w:szCs w:val="20"/>
              </w:rPr>
            </w:pPr>
            <w:r w:rsidRPr="000A3832">
              <w:rPr>
                <w:sz w:val="20"/>
                <w:szCs w:val="20"/>
              </w:rPr>
              <w:t>Рощектаева Ульяна Юрьевна</w:t>
            </w:r>
          </w:p>
          <w:p w:rsidR="00FC2F03" w:rsidRPr="000A3832" w:rsidRDefault="00FC2F03" w:rsidP="00A12D2D">
            <w:pPr>
              <w:rPr>
                <w:sz w:val="20"/>
                <w:szCs w:val="20"/>
              </w:rPr>
            </w:pPr>
            <w:r w:rsidRPr="000A3832">
              <w:rPr>
                <w:sz w:val="20"/>
                <w:szCs w:val="20"/>
              </w:rPr>
              <w:t>кандидат экономических наук, доцент</w:t>
            </w:r>
          </w:p>
          <w:p w:rsidR="00FC2F03" w:rsidRPr="000A3832" w:rsidRDefault="00FC2F03" w:rsidP="00A12D2D">
            <w:pPr>
              <w:rPr>
                <w:sz w:val="20"/>
                <w:szCs w:val="20"/>
              </w:rPr>
            </w:pPr>
            <w:r w:rsidRPr="000A3832">
              <w:rPr>
                <w:sz w:val="20"/>
                <w:szCs w:val="20"/>
              </w:rPr>
              <w:t xml:space="preserve">РИНЦ </w:t>
            </w:r>
            <w:r w:rsidRPr="000A3832">
              <w:rPr>
                <w:sz w:val="20"/>
                <w:szCs w:val="20"/>
                <w:lang w:val="en-US"/>
              </w:rPr>
              <w:t>SPIN</w:t>
            </w:r>
            <w:r w:rsidRPr="000A3832">
              <w:rPr>
                <w:sz w:val="20"/>
                <w:szCs w:val="20"/>
              </w:rPr>
              <w:t>-код 2836-9605</w:t>
            </w:r>
          </w:p>
          <w:p w:rsidR="00FC2F03" w:rsidRPr="000A3832" w:rsidRDefault="00FC2F03" w:rsidP="00A12D2D">
            <w:pPr>
              <w:rPr>
                <w:i/>
                <w:sz w:val="20"/>
                <w:szCs w:val="20"/>
              </w:rPr>
            </w:pPr>
            <w:r w:rsidRPr="000A3832">
              <w:rPr>
                <w:i/>
                <w:sz w:val="20"/>
                <w:szCs w:val="20"/>
              </w:rPr>
              <w:t>Финансовый университет при Правительстве Российской Федерации (Краснодарский филиал), Краснодар, Россия</w:t>
            </w:r>
          </w:p>
          <w:p w:rsidR="00FC2F03" w:rsidRPr="000A3832" w:rsidRDefault="00FC2F03" w:rsidP="00A12D2D">
            <w:pPr>
              <w:rPr>
                <w:rFonts w:cs="Times New Roman"/>
                <w:b/>
                <w:sz w:val="20"/>
                <w:szCs w:val="20"/>
              </w:rPr>
            </w:pPr>
          </w:p>
          <w:p w:rsidR="00FC2F03" w:rsidRPr="006C3885" w:rsidRDefault="00FC2F03" w:rsidP="000A3832">
            <w:pPr>
              <w:widowControl/>
              <w:suppressAutoHyphens w:val="0"/>
              <w:autoSpaceDE w:val="0"/>
              <w:adjustRightInd w:val="0"/>
              <w:rPr>
                <w:rFonts w:eastAsia="Times New Roman" w:cs="Times New Roman"/>
                <w:bCs/>
                <w:kern w:val="0"/>
                <w:sz w:val="20"/>
                <w:szCs w:val="20"/>
                <w:lang w:eastAsia="en-US" w:bidi="ar-SA"/>
              </w:rPr>
            </w:pPr>
            <w:r w:rsidRPr="000A3832">
              <w:rPr>
                <w:rFonts w:cs="Times New Roman"/>
                <w:sz w:val="20"/>
                <w:szCs w:val="20"/>
              </w:rPr>
              <w:t xml:space="preserve">В статье рассмотрены </w:t>
            </w:r>
            <w:r w:rsidRPr="000A3832">
              <w:rPr>
                <w:rFonts w:eastAsia="Times New Roman" w:cs="Times New Roman"/>
                <w:bCs/>
                <w:kern w:val="0"/>
                <w:sz w:val="20"/>
                <w:szCs w:val="20"/>
                <w:lang w:eastAsia="en-US" w:bidi="ar-SA"/>
              </w:rPr>
              <w:t>теоретические аспекты интегрированной отчетности, которая представляет собой принципиально новый уровень корпоративной отчетности.</w:t>
            </w:r>
            <w:r w:rsidRPr="000A3832">
              <w:rPr>
                <w:rFonts w:eastAsia="Times New Roman" w:cs="Times New Roman"/>
                <w:kern w:val="0"/>
                <w:sz w:val="20"/>
                <w:szCs w:val="20"/>
                <w:lang w:eastAsia="en-US" w:bidi="ar-SA"/>
              </w:rPr>
              <w:t xml:space="preserve"> Определены концептуальные основы интегрированной отчетности: цели, задачи, условия для успешного внедрения</w:t>
            </w:r>
            <w:r w:rsidRPr="000A3832">
              <w:rPr>
                <w:rFonts w:eastAsia="Times New Roman" w:cs="Times New Roman"/>
                <w:bCs/>
                <w:kern w:val="0"/>
                <w:sz w:val="20"/>
                <w:szCs w:val="20"/>
                <w:lang w:eastAsia="en-US" w:bidi="ar-SA"/>
              </w:rPr>
              <w:t xml:space="preserve">. </w:t>
            </w:r>
            <w:r w:rsidRPr="000A3832">
              <w:rPr>
                <w:rFonts w:eastAsia="Times New Roman" w:cs="Times New Roman"/>
                <w:kern w:val="0"/>
                <w:sz w:val="20"/>
                <w:szCs w:val="20"/>
                <w:lang w:eastAsia="en-US" w:bidi="ar-SA"/>
              </w:rPr>
              <w:t xml:space="preserve">Показаны принципиальные различия между традиционной и интегрированной отчетностью. Выделены основные принципы построения интегрированной отчетности. </w:t>
            </w:r>
            <w:r w:rsidRPr="000A3832">
              <w:rPr>
                <w:rFonts w:eastAsia="Times New Roman" w:cs="Times New Roman"/>
                <w:bCs/>
                <w:kern w:val="0"/>
                <w:sz w:val="20"/>
                <w:szCs w:val="20"/>
                <w:lang w:eastAsia="en-US" w:bidi="ar-SA"/>
              </w:rPr>
              <w:t>Представлены статистические данные о составлении и опубликовании отечественными компаниями интегрированной отчетности. Сделан вывод о том, что в целом картина состояния публичной отчетности в России достаточно негативная. Определены основные направления мероприятий в области интегрированной отчетности, которые будут способствовать скорейшему переходу на составление интегрированной отчетности в целях получ</w:t>
            </w:r>
            <w:r>
              <w:rPr>
                <w:rFonts w:eastAsia="Times New Roman" w:cs="Times New Roman"/>
                <w:bCs/>
                <w:kern w:val="0"/>
                <w:sz w:val="20"/>
                <w:szCs w:val="20"/>
                <w:lang w:eastAsia="en-US" w:bidi="ar-SA"/>
              </w:rPr>
              <w:t>ения конкурентного преимущества</w:t>
            </w:r>
          </w:p>
          <w:p w:rsidR="00FC2F03" w:rsidRPr="000A3832" w:rsidRDefault="00FC2F03" w:rsidP="00E66694">
            <w:pPr>
              <w:rPr>
                <w:rFonts w:cs="Times New Roman"/>
                <w:sz w:val="20"/>
                <w:szCs w:val="20"/>
              </w:rPr>
            </w:pPr>
          </w:p>
          <w:p w:rsidR="00FC2F03" w:rsidRDefault="00FC2F03" w:rsidP="00E66694">
            <w:pPr>
              <w:rPr>
                <w:rFonts w:cs="Times New Roman"/>
                <w:sz w:val="20"/>
                <w:szCs w:val="20"/>
                <w:lang w:val="en-US"/>
              </w:rPr>
            </w:pPr>
            <w:r w:rsidRPr="000A3832">
              <w:rPr>
                <w:rFonts w:cs="Times New Roman"/>
                <w:sz w:val="20"/>
                <w:szCs w:val="20"/>
              </w:rPr>
              <w:t>Ключевые слова: ИНТЕГРИРОВАННАЯ ОТЧЕТНОСТЬ, СОЦИАЛЬНАЯ ОТВЕТСТВЕННОСТЬ, КОРПОРАТИВНАЯ ОТЧЕТНОСТЬ</w:t>
            </w:r>
          </w:p>
          <w:p w:rsidR="00FC2F03" w:rsidRDefault="00FC2F03" w:rsidP="00E66694">
            <w:pPr>
              <w:rPr>
                <w:rFonts w:cs="Times New Roman"/>
                <w:sz w:val="20"/>
                <w:szCs w:val="20"/>
                <w:lang w:val="en-US"/>
              </w:rPr>
            </w:pPr>
          </w:p>
          <w:p w:rsidR="00FC2F03" w:rsidRPr="00611AC1" w:rsidRDefault="00FC2F03" w:rsidP="00E66694">
            <w:pPr>
              <w:rPr>
                <w:rFonts w:cs="Times New Roman"/>
                <w:b/>
                <w:sz w:val="28"/>
                <w:szCs w:val="28"/>
                <w:lang w:val="en-US"/>
              </w:rPr>
            </w:pPr>
            <w:r w:rsidRPr="004A5489">
              <w:rPr>
                <w:rFonts w:ascii="Arial" w:hAnsi="Arial" w:cs="Arial"/>
                <w:b/>
                <w:sz w:val="20"/>
                <w:szCs w:val="20"/>
              </w:rPr>
              <w:t>Doi: 10.21515/1990-4665-130-0</w:t>
            </w:r>
            <w:r>
              <w:rPr>
                <w:rFonts w:ascii="Arial" w:hAnsi="Arial" w:cs="Arial"/>
                <w:b/>
                <w:sz w:val="20"/>
                <w:szCs w:val="20"/>
                <w:lang w:val="en-US"/>
              </w:rPr>
              <w:t>79</w:t>
            </w:r>
          </w:p>
        </w:tc>
        <w:tc>
          <w:tcPr>
            <w:tcW w:w="4530" w:type="dxa"/>
          </w:tcPr>
          <w:p w:rsidR="00FC2F03" w:rsidRPr="000A3832" w:rsidRDefault="00FC2F03" w:rsidP="00E66694">
            <w:pPr>
              <w:rPr>
                <w:rFonts w:cs="Times New Roman"/>
                <w:sz w:val="20"/>
                <w:szCs w:val="28"/>
                <w:lang w:val="en-US"/>
              </w:rPr>
            </w:pPr>
            <w:r w:rsidRPr="000A3832">
              <w:rPr>
                <w:rFonts w:cs="Times New Roman"/>
                <w:sz w:val="20"/>
                <w:szCs w:val="28"/>
                <w:lang w:val="en-US"/>
              </w:rPr>
              <w:t>UDC 657.37</w:t>
            </w:r>
          </w:p>
          <w:p w:rsidR="00FC2F03" w:rsidRPr="000A3832" w:rsidRDefault="00FC2F03" w:rsidP="00E66694">
            <w:pPr>
              <w:rPr>
                <w:rFonts w:cs="Times New Roman"/>
                <w:sz w:val="20"/>
                <w:szCs w:val="28"/>
                <w:lang w:val="en-US"/>
              </w:rPr>
            </w:pPr>
          </w:p>
          <w:p w:rsidR="00FC2F03" w:rsidRPr="000A3832" w:rsidRDefault="00FC2F03" w:rsidP="00E66694">
            <w:pPr>
              <w:rPr>
                <w:rFonts w:cs="Times New Roman"/>
                <w:sz w:val="20"/>
                <w:szCs w:val="28"/>
                <w:lang w:val="en-US"/>
              </w:rPr>
            </w:pPr>
            <w:r w:rsidRPr="000A3832">
              <w:rPr>
                <w:rFonts w:cs="Times New Roman"/>
                <w:sz w:val="20"/>
                <w:szCs w:val="28"/>
                <w:lang w:val="en-US"/>
              </w:rPr>
              <w:t>Economics</w:t>
            </w:r>
          </w:p>
          <w:p w:rsidR="00FC2F03" w:rsidRPr="000A3832" w:rsidRDefault="00FC2F03" w:rsidP="00E66694">
            <w:pPr>
              <w:rPr>
                <w:rFonts w:cs="Times New Roman"/>
                <w:sz w:val="20"/>
                <w:szCs w:val="28"/>
                <w:lang w:val="en-US"/>
              </w:rPr>
            </w:pPr>
          </w:p>
          <w:p w:rsidR="00FC2F03" w:rsidRPr="000A3832" w:rsidRDefault="00FC2F03" w:rsidP="00E66694">
            <w:pPr>
              <w:rPr>
                <w:rFonts w:cs="Times New Roman"/>
                <w:b/>
                <w:sz w:val="20"/>
                <w:szCs w:val="28"/>
                <w:lang w:val="en-US"/>
              </w:rPr>
            </w:pPr>
            <w:r w:rsidRPr="000A3832">
              <w:rPr>
                <w:rFonts w:cs="Times New Roman"/>
                <w:b/>
                <w:sz w:val="20"/>
                <w:szCs w:val="28"/>
                <w:lang w:val="en-US"/>
              </w:rPr>
              <w:t>INTEGRATED REPORTING IS A MODERN REPORTING FOR BUSINESS</w:t>
            </w:r>
          </w:p>
          <w:p w:rsidR="00FC2F03" w:rsidRPr="000A3832" w:rsidRDefault="00FC2F03" w:rsidP="00E66694">
            <w:pPr>
              <w:rPr>
                <w:rFonts w:cs="Times New Roman"/>
                <w:b/>
                <w:sz w:val="20"/>
                <w:szCs w:val="28"/>
                <w:lang w:val="en-US"/>
              </w:rPr>
            </w:pPr>
          </w:p>
          <w:p w:rsidR="00FC2F03" w:rsidRPr="000A3832" w:rsidRDefault="00FC2F03" w:rsidP="00E66694">
            <w:pPr>
              <w:rPr>
                <w:rFonts w:cs="Times New Roman"/>
                <w:sz w:val="20"/>
                <w:szCs w:val="28"/>
                <w:lang w:val="en-US"/>
              </w:rPr>
            </w:pPr>
          </w:p>
          <w:p w:rsidR="00FC2F03" w:rsidRPr="000A3832" w:rsidRDefault="00FC2F03" w:rsidP="00E66694">
            <w:pPr>
              <w:rPr>
                <w:rFonts w:cs="Times New Roman"/>
                <w:sz w:val="20"/>
                <w:szCs w:val="28"/>
                <w:lang w:val="en-US"/>
              </w:rPr>
            </w:pPr>
            <w:r w:rsidRPr="000A3832">
              <w:rPr>
                <w:rFonts w:cs="Times New Roman"/>
                <w:sz w:val="20"/>
                <w:szCs w:val="28"/>
                <w:lang w:val="en-US"/>
              </w:rPr>
              <w:t>Roshchektaeva Ulyana Yuryevna</w:t>
            </w:r>
          </w:p>
          <w:p w:rsidR="00FC2F03" w:rsidRPr="000A3832" w:rsidRDefault="00FC2F03" w:rsidP="00E66694">
            <w:pPr>
              <w:rPr>
                <w:rFonts w:cs="Times New Roman"/>
                <w:sz w:val="20"/>
                <w:szCs w:val="28"/>
                <w:lang w:val="en-US"/>
              </w:rPr>
            </w:pPr>
            <w:r>
              <w:rPr>
                <w:rFonts w:cs="Times New Roman"/>
                <w:sz w:val="20"/>
                <w:szCs w:val="28"/>
                <w:lang w:val="en-US"/>
              </w:rPr>
              <w:t>C</w:t>
            </w:r>
            <w:r w:rsidRPr="000A3832">
              <w:rPr>
                <w:rFonts w:cs="Times New Roman"/>
                <w:sz w:val="20"/>
                <w:szCs w:val="28"/>
                <w:lang w:val="en-US"/>
              </w:rPr>
              <w:t>andidate of economic Sciences, associate Professor</w:t>
            </w:r>
          </w:p>
          <w:p w:rsidR="00FC2F03" w:rsidRPr="000A3832" w:rsidRDefault="00FC2F03" w:rsidP="00E66694">
            <w:pPr>
              <w:rPr>
                <w:rFonts w:cs="Times New Roman"/>
                <w:sz w:val="20"/>
                <w:szCs w:val="28"/>
                <w:lang w:val="en-US"/>
              </w:rPr>
            </w:pPr>
            <w:r w:rsidRPr="000A3832">
              <w:rPr>
                <w:rFonts w:cs="Times New Roman"/>
                <w:sz w:val="20"/>
                <w:szCs w:val="28"/>
                <w:lang w:val="en-US"/>
              </w:rPr>
              <w:t>RISC-SPIN-code 2836-9605</w:t>
            </w:r>
          </w:p>
          <w:p w:rsidR="00FC2F03" w:rsidRPr="000A3832" w:rsidRDefault="00FC2F03" w:rsidP="00E66694">
            <w:pPr>
              <w:rPr>
                <w:rFonts w:cs="Times New Roman"/>
                <w:i/>
                <w:sz w:val="20"/>
                <w:szCs w:val="28"/>
                <w:lang w:val="en-US"/>
              </w:rPr>
            </w:pPr>
            <w:smartTag w:uri="urn:schemas-microsoft-com:office:smarttags" w:element="PlaceName">
              <w:r w:rsidRPr="000A3832">
                <w:rPr>
                  <w:rFonts w:cs="Times New Roman"/>
                  <w:i/>
                  <w:sz w:val="20"/>
                  <w:szCs w:val="28"/>
                  <w:lang w:val="en-US"/>
                </w:rPr>
                <w:t>Financial</w:t>
              </w:r>
            </w:smartTag>
            <w:r w:rsidRPr="000A3832">
              <w:rPr>
                <w:rFonts w:cs="Times New Roman"/>
                <w:i/>
                <w:sz w:val="20"/>
                <w:szCs w:val="28"/>
                <w:lang w:val="en-US"/>
              </w:rPr>
              <w:t xml:space="preserve"> </w:t>
            </w:r>
            <w:smartTag w:uri="urn:schemas-microsoft-com:office:smarttags" w:element="PlaceType">
              <w:r w:rsidRPr="000A3832">
                <w:rPr>
                  <w:rFonts w:cs="Times New Roman"/>
                  <w:i/>
                  <w:sz w:val="20"/>
                  <w:szCs w:val="28"/>
                  <w:lang w:val="en-US"/>
                </w:rPr>
                <w:t>University</w:t>
              </w:r>
            </w:smartTag>
            <w:r w:rsidRPr="000A3832">
              <w:rPr>
                <w:rFonts w:cs="Times New Roman"/>
                <w:i/>
                <w:sz w:val="20"/>
                <w:szCs w:val="28"/>
                <w:lang w:val="en-US"/>
              </w:rPr>
              <w:t xml:space="preserve"> under the Government of the </w:t>
            </w:r>
            <w:smartTag w:uri="urn:schemas-microsoft-com:office:smarttags" w:element="country-region">
              <w:r w:rsidRPr="000A3832">
                <w:rPr>
                  <w:rFonts w:cs="Times New Roman"/>
                  <w:i/>
                  <w:sz w:val="20"/>
                  <w:szCs w:val="28"/>
                  <w:lang w:val="en-US"/>
                </w:rPr>
                <w:t>Russian Federation</w:t>
              </w:r>
            </w:smartTag>
            <w:r w:rsidRPr="000A3832">
              <w:rPr>
                <w:rFonts w:cs="Times New Roman"/>
                <w:i/>
                <w:sz w:val="20"/>
                <w:szCs w:val="28"/>
                <w:lang w:val="en-US"/>
              </w:rPr>
              <w:t xml:space="preserve"> (</w:t>
            </w:r>
            <w:smartTag w:uri="urn:schemas-microsoft-com:office:smarttags" w:element="City">
              <w:r w:rsidRPr="000A3832">
                <w:rPr>
                  <w:rFonts w:cs="Times New Roman"/>
                  <w:i/>
                  <w:sz w:val="20"/>
                  <w:szCs w:val="28"/>
                  <w:lang w:val="en-US"/>
                </w:rPr>
                <w:t>Krasnodar</w:t>
              </w:r>
            </w:smartTag>
            <w:r w:rsidRPr="000A3832">
              <w:rPr>
                <w:rFonts w:cs="Times New Roman"/>
                <w:i/>
                <w:sz w:val="20"/>
                <w:szCs w:val="28"/>
                <w:lang w:val="en-US"/>
              </w:rPr>
              <w:t xml:space="preserve"> branch), </w:t>
            </w:r>
            <w:smartTag w:uri="urn:schemas-microsoft-com:office:smarttags" w:element="place">
              <w:smartTag w:uri="urn:schemas-microsoft-com:office:smarttags" w:element="City">
                <w:r w:rsidRPr="000A3832">
                  <w:rPr>
                    <w:rFonts w:cs="Times New Roman"/>
                    <w:i/>
                    <w:sz w:val="20"/>
                    <w:szCs w:val="28"/>
                    <w:lang w:val="en-US"/>
                  </w:rPr>
                  <w:t>Krasnodar</w:t>
                </w:r>
              </w:smartTag>
              <w:r w:rsidRPr="000A3832">
                <w:rPr>
                  <w:rFonts w:cs="Times New Roman"/>
                  <w:i/>
                  <w:sz w:val="20"/>
                  <w:szCs w:val="28"/>
                  <w:lang w:val="en-US"/>
                </w:rPr>
                <w:t xml:space="preserve">, </w:t>
              </w:r>
              <w:smartTag w:uri="urn:schemas-microsoft-com:office:smarttags" w:element="country-region">
                <w:r w:rsidRPr="000A3832">
                  <w:rPr>
                    <w:rFonts w:cs="Times New Roman"/>
                    <w:i/>
                    <w:sz w:val="20"/>
                    <w:szCs w:val="28"/>
                    <w:lang w:val="en-US"/>
                  </w:rPr>
                  <w:t>Russia</w:t>
                </w:r>
              </w:smartTag>
            </w:smartTag>
          </w:p>
          <w:p w:rsidR="00FC2F03" w:rsidRPr="000A3832" w:rsidRDefault="00FC2F03" w:rsidP="00E66694">
            <w:pPr>
              <w:rPr>
                <w:rFonts w:cs="Times New Roman"/>
                <w:sz w:val="20"/>
                <w:szCs w:val="28"/>
                <w:lang w:val="en-US"/>
              </w:rPr>
            </w:pPr>
          </w:p>
          <w:p w:rsidR="00FC2F03" w:rsidRPr="000A3832" w:rsidRDefault="00FC2F03" w:rsidP="00E66694">
            <w:pPr>
              <w:rPr>
                <w:rFonts w:cs="Times New Roman"/>
                <w:sz w:val="20"/>
                <w:szCs w:val="28"/>
                <w:lang w:val="en-US"/>
              </w:rPr>
            </w:pPr>
            <w:r w:rsidRPr="000A3832">
              <w:rPr>
                <w:rFonts w:cs="Times New Roman"/>
                <w:sz w:val="20"/>
                <w:szCs w:val="28"/>
                <w:lang w:val="en-US"/>
              </w:rPr>
              <w:t xml:space="preserve">The article deals with theoretical aspects of integrated reporting, which represents a new level of corporate reporting. </w:t>
            </w:r>
            <w:r>
              <w:rPr>
                <w:rFonts w:cs="Times New Roman"/>
                <w:sz w:val="20"/>
                <w:szCs w:val="28"/>
                <w:lang w:val="en-US"/>
              </w:rPr>
              <w:t>We have d</w:t>
            </w:r>
            <w:r w:rsidRPr="000A3832">
              <w:rPr>
                <w:rFonts w:cs="Times New Roman"/>
                <w:sz w:val="20"/>
                <w:szCs w:val="28"/>
                <w:lang w:val="en-US"/>
              </w:rPr>
              <w:t>efined the conceptual framework of integrated reporting: objectives, tasks, conditions for successful implementation</w:t>
            </w:r>
            <w:r>
              <w:rPr>
                <w:rFonts w:cs="Times New Roman"/>
                <w:sz w:val="20"/>
                <w:szCs w:val="28"/>
                <w:lang w:val="en-US"/>
              </w:rPr>
              <w:t xml:space="preserve"> and s</w:t>
            </w:r>
            <w:r w:rsidRPr="000A3832">
              <w:rPr>
                <w:rFonts w:cs="Times New Roman"/>
                <w:sz w:val="20"/>
                <w:szCs w:val="28"/>
                <w:lang w:val="en-US"/>
              </w:rPr>
              <w:t xml:space="preserve">howed the fundamental differences between traditional and integrated reporting. </w:t>
            </w:r>
            <w:r>
              <w:rPr>
                <w:rFonts w:cs="Times New Roman"/>
                <w:sz w:val="20"/>
                <w:szCs w:val="28"/>
                <w:lang w:val="en-US"/>
              </w:rPr>
              <w:t>We have d</w:t>
            </w:r>
            <w:r w:rsidRPr="000A3832">
              <w:rPr>
                <w:rFonts w:cs="Times New Roman"/>
                <w:sz w:val="20"/>
                <w:szCs w:val="28"/>
                <w:lang w:val="en-US"/>
              </w:rPr>
              <w:t>efined the basic principles of integrated reporting</w:t>
            </w:r>
            <w:r>
              <w:rPr>
                <w:rFonts w:cs="Times New Roman"/>
                <w:sz w:val="20"/>
                <w:szCs w:val="28"/>
                <w:lang w:val="en-US"/>
              </w:rPr>
              <w:t xml:space="preserve"> and p</w:t>
            </w:r>
            <w:r w:rsidRPr="000A3832">
              <w:rPr>
                <w:rFonts w:cs="Times New Roman"/>
                <w:sz w:val="20"/>
                <w:szCs w:val="28"/>
                <w:lang w:val="en-US"/>
              </w:rPr>
              <w:t xml:space="preserve">resented the statistical data on the preparation and publication of the domestic companies of integrated reporting. It is concluded that the overall picture of the status of public reporting in </w:t>
            </w:r>
            <w:smartTag w:uri="urn:schemas-microsoft-com:office:smarttags" w:element="City">
              <w:r w:rsidRPr="000A3832">
                <w:rPr>
                  <w:rFonts w:cs="Times New Roman"/>
                  <w:sz w:val="20"/>
                  <w:szCs w:val="28"/>
                  <w:lang w:val="en-US"/>
                </w:rPr>
                <w:t>Russia</w:t>
              </w:r>
            </w:smartTag>
            <w:r w:rsidRPr="000A3832">
              <w:rPr>
                <w:rFonts w:cs="Times New Roman"/>
                <w:sz w:val="20"/>
                <w:szCs w:val="28"/>
                <w:lang w:val="en-US"/>
              </w:rPr>
              <w:t xml:space="preserve"> is rather negative. </w:t>
            </w:r>
            <w:r>
              <w:rPr>
                <w:rFonts w:cs="Times New Roman"/>
                <w:sz w:val="20"/>
                <w:szCs w:val="28"/>
                <w:lang w:val="en-US"/>
              </w:rPr>
              <w:t>We have d</w:t>
            </w:r>
            <w:r w:rsidRPr="000A3832">
              <w:rPr>
                <w:rFonts w:cs="Times New Roman"/>
                <w:sz w:val="20"/>
                <w:szCs w:val="28"/>
                <w:lang w:val="en-US"/>
              </w:rPr>
              <w:t xml:space="preserve">fined the main directions of activities in the area of integrated reporting, which will contribute to the speedy transition to preparation of integrated reporting in order </w:t>
            </w:r>
            <w:r>
              <w:rPr>
                <w:rFonts w:cs="Times New Roman"/>
                <w:sz w:val="20"/>
                <w:szCs w:val="28"/>
                <w:lang w:val="en-US"/>
              </w:rPr>
              <w:t>to obtain competitive advantage</w:t>
            </w:r>
          </w:p>
          <w:p w:rsidR="00FC2F03" w:rsidRPr="000A3832" w:rsidRDefault="00FC2F03" w:rsidP="00E66694">
            <w:pPr>
              <w:rPr>
                <w:rFonts w:cs="Times New Roman"/>
                <w:sz w:val="20"/>
                <w:szCs w:val="28"/>
                <w:lang w:val="en-US"/>
              </w:rPr>
            </w:pPr>
          </w:p>
          <w:p w:rsidR="00FC2F03" w:rsidRPr="000A3832" w:rsidRDefault="00FC2F03" w:rsidP="00E66694">
            <w:pPr>
              <w:rPr>
                <w:rFonts w:cs="Times New Roman"/>
                <w:sz w:val="20"/>
                <w:szCs w:val="28"/>
                <w:lang w:val="en-US"/>
              </w:rPr>
            </w:pPr>
          </w:p>
          <w:p w:rsidR="00FC2F03" w:rsidRPr="000A3832" w:rsidRDefault="00FC2F03" w:rsidP="00E66694">
            <w:pPr>
              <w:rPr>
                <w:rFonts w:cs="Times New Roman"/>
                <w:sz w:val="20"/>
                <w:szCs w:val="28"/>
                <w:lang w:val="en-US"/>
              </w:rPr>
            </w:pPr>
          </w:p>
          <w:p w:rsidR="00FC2F03" w:rsidRPr="000A3832" w:rsidRDefault="00FC2F03" w:rsidP="00E66694">
            <w:pPr>
              <w:rPr>
                <w:rFonts w:cs="Times New Roman"/>
                <w:sz w:val="20"/>
                <w:szCs w:val="28"/>
                <w:lang w:val="en-US"/>
              </w:rPr>
            </w:pPr>
          </w:p>
          <w:p w:rsidR="00FC2F03" w:rsidRPr="000A3832" w:rsidRDefault="00FC2F03" w:rsidP="00E66694">
            <w:pPr>
              <w:rPr>
                <w:rFonts w:cs="Times New Roman"/>
                <w:sz w:val="20"/>
                <w:szCs w:val="28"/>
                <w:lang w:val="en-US"/>
              </w:rPr>
            </w:pPr>
          </w:p>
          <w:p w:rsidR="00FC2F03" w:rsidRPr="000A3832" w:rsidRDefault="00FC2F03" w:rsidP="00E66694">
            <w:pPr>
              <w:rPr>
                <w:rFonts w:cs="Times New Roman"/>
                <w:sz w:val="20"/>
                <w:szCs w:val="28"/>
                <w:lang w:val="en-US"/>
              </w:rPr>
            </w:pPr>
          </w:p>
          <w:p w:rsidR="00FC2F03" w:rsidRPr="000A3832" w:rsidRDefault="00FC2F03" w:rsidP="00E66694">
            <w:pPr>
              <w:rPr>
                <w:rFonts w:cs="Times New Roman"/>
                <w:b/>
                <w:sz w:val="28"/>
                <w:szCs w:val="28"/>
                <w:lang w:val="en-US"/>
              </w:rPr>
            </w:pPr>
            <w:r>
              <w:rPr>
                <w:rFonts w:cs="Times New Roman"/>
                <w:sz w:val="20"/>
                <w:szCs w:val="28"/>
                <w:lang w:val="en-US"/>
              </w:rPr>
              <w:t>Key</w:t>
            </w:r>
            <w:r w:rsidRPr="000A3832">
              <w:rPr>
                <w:rFonts w:cs="Times New Roman"/>
                <w:sz w:val="20"/>
                <w:szCs w:val="28"/>
                <w:lang w:val="en-US"/>
              </w:rPr>
              <w:t>words: INTEGRATED REPORTING, SOCIAL RESPONSIBILITY, CORPORATE REPORTING</w:t>
            </w:r>
          </w:p>
        </w:tc>
      </w:tr>
    </w:tbl>
    <w:p w:rsidR="00FC2F03" w:rsidRPr="00F27037" w:rsidRDefault="00FC2F03" w:rsidP="00A12D2D">
      <w:pPr>
        <w:spacing w:line="360" w:lineRule="auto"/>
        <w:ind w:firstLine="709"/>
        <w:jc w:val="right"/>
        <w:rPr>
          <w:rFonts w:cs="Times New Roman"/>
          <w:sz w:val="28"/>
          <w:szCs w:val="28"/>
          <w:lang w:val="en-US"/>
        </w:rPr>
      </w:pP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В последнее время первые страницы профессиональных изданий мира аккаунтинга занимает интегрированная отчетность. В связи с глубокими экономическими кризисами, случившимися за последние несколько лет, была выявлена необходимость в новой экономической модели, которая могла бы защитить бизнес, инвесторов, сотрудников и общество.</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Интегрированный отчет представляет собой краткое отображение того, как стратегия, управление, результаты и перспективы организации в контексте внешней среды ведут к созданию стоимости в краткосрочной, среднесрочной и долгосрочной перспективе. Он акцентируется на прозрачном отражении всех имеющихся у компании ресурсов [1].</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Несмотря на то, что система составления интегрированной отчётности не утверждена в законодательстве, информация обязана формироваться в соответствии со следующими принципами:</w:t>
      </w:r>
    </w:p>
    <w:p w:rsidR="00FC2F03" w:rsidRPr="00A12D2D" w:rsidRDefault="00FC2F03" w:rsidP="00A12D2D">
      <w:pPr>
        <w:pStyle w:val="ListParagraph"/>
        <w:numPr>
          <w:ilvl w:val="0"/>
          <w:numId w:val="3"/>
        </w:numPr>
        <w:tabs>
          <w:tab w:val="left" w:pos="993"/>
        </w:tabs>
        <w:spacing w:line="360" w:lineRule="auto"/>
        <w:ind w:left="0" w:firstLine="709"/>
        <w:jc w:val="both"/>
        <w:rPr>
          <w:rFonts w:cs="Times New Roman"/>
          <w:sz w:val="28"/>
          <w:szCs w:val="28"/>
        </w:rPr>
      </w:pPr>
      <w:r w:rsidRPr="00A12D2D">
        <w:rPr>
          <w:rFonts w:cs="Times New Roman"/>
          <w:sz w:val="28"/>
          <w:szCs w:val="28"/>
        </w:rPr>
        <w:t>стратегическая концентрация и направленность;</w:t>
      </w:r>
    </w:p>
    <w:p w:rsidR="00FC2F03" w:rsidRPr="00A12D2D" w:rsidRDefault="00FC2F03" w:rsidP="00A12D2D">
      <w:pPr>
        <w:pStyle w:val="ListParagraph"/>
        <w:numPr>
          <w:ilvl w:val="0"/>
          <w:numId w:val="3"/>
        </w:numPr>
        <w:tabs>
          <w:tab w:val="left" w:pos="993"/>
        </w:tabs>
        <w:spacing w:line="360" w:lineRule="auto"/>
        <w:ind w:left="0" w:firstLine="709"/>
        <w:jc w:val="both"/>
        <w:rPr>
          <w:rFonts w:cs="Times New Roman"/>
          <w:sz w:val="28"/>
          <w:szCs w:val="28"/>
        </w:rPr>
      </w:pPr>
      <w:r w:rsidRPr="00A12D2D">
        <w:rPr>
          <w:rFonts w:cs="Times New Roman"/>
          <w:sz w:val="28"/>
          <w:szCs w:val="28"/>
        </w:rPr>
        <w:t>согласованность информации;</w:t>
      </w:r>
    </w:p>
    <w:p w:rsidR="00FC2F03" w:rsidRPr="00A12D2D" w:rsidRDefault="00FC2F03" w:rsidP="00A12D2D">
      <w:pPr>
        <w:pStyle w:val="ListParagraph"/>
        <w:numPr>
          <w:ilvl w:val="0"/>
          <w:numId w:val="3"/>
        </w:numPr>
        <w:tabs>
          <w:tab w:val="left" w:pos="993"/>
        </w:tabs>
        <w:spacing w:line="360" w:lineRule="auto"/>
        <w:ind w:left="0" w:firstLine="709"/>
        <w:jc w:val="both"/>
        <w:rPr>
          <w:rFonts w:cs="Times New Roman"/>
          <w:sz w:val="28"/>
          <w:szCs w:val="28"/>
        </w:rPr>
      </w:pPr>
      <w:r w:rsidRPr="00A12D2D">
        <w:rPr>
          <w:rFonts w:cs="Times New Roman"/>
          <w:sz w:val="28"/>
          <w:szCs w:val="28"/>
        </w:rPr>
        <w:t>ориентированность на перспективу;</w:t>
      </w:r>
    </w:p>
    <w:p w:rsidR="00FC2F03" w:rsidRPr="00A12D2D" w:rsidRDefault="00FC2F03" w:rsidP="00A12D2D">
      <w:pPr>
        <w:pStyle w:val="ListParagraph"/>
        <w:numPr>
          <w:ilvl w:val="0"/>
          <w:numId w:val="3"/>
        </w:numPr>
        <w:tabs>
          <w:tab w:val="left" w:pos="993"/>
        </w:tabs>
        <w:spacing w:line="360" w:lineRule="auto"/>
        <w:ind w:left="0" w:firstLine="709"/>
        <w:jc w:val="both"/>
        <w:rPr>
          <w:rFonts w:cs="Times New Roman"/>
          <w:sz w:val="28"/>
          <w:szCs w:val="28"/>
        </w:rPr>
      </w:pPr>
      <w:r w:rsidRPr="00A12D2D">
        <w:rPr>
          <w:rFonts w:cs="Times New Roman"/>
          <w:sz w:val="28"/>
          <w:szCs w:val="28"/>
        </w:rPr>
        <w:t>привлечение заинтересованных сторон и нацеленность на их потребности, лаконичность, надежность и нацеленность.</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Пользователю важно знать, что организация способна создавать ценности на протяжении разных периодов, в то время как шаблонный финансовый отчет предприятия не позволяет в явной степени выявить ключевые цели компании.</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Главной целью составления интегрированной отчетности является конспективное изложение всей деятельности компании во взаимосвязи между собой и разъяснение инвесторам и учредителям, являющимися поставщиками финансового капитала, как предприятие формирует стоимость в течение длительного времени.</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В мире первые интегрированные отчеты начали появляться в середине 2000-х гг. В </w:t>
      </w:r>
      <w:smartTag w:uri="urn:schemas-microsoft-com:office:smarttags" w:element="City">
        <w:r w:rsidRPr="00A12D2D">
          <w:rPr>
            <w:rFonts w:cs="Times New Roman"/>
            <w:sz w:val="28"/>
            <w:szCs w:val="28"/>
          </w:rPr>
          <w:t>2007 г</w:t>
        </w:r>
      </w:smartTag>
      <w:r w:rsidRPr="00A12D2D">
        <w:rPr>
          <w:rFonts w:cs="Times New Roman"/>
          <w:sz w:val="28"/>
          <w:szCs w:val="28"/>
        </w:rPr>
        <w:t xml:space="preserve">. на международном конкурсе по годовой отчетности Corporate Register появилась номинация «Лучший интегрированный отчет». В </w:t>
      </w:r>
      <w:smartTag w:uri="urn:schemas-microsoft-com:office:smarttags" w:element="City">
        <w:r w:rsidRPr="00A12D2D">
          <w:rPr>
            <w:rFonts w:cs="Times New Roman"/>
            <w:sz w:val="28"/>
            <w:szCs w:val="28"/>
          </w:rPr>
          <w:t>2007 г</w:t>
        </w:r>
      </w:smartTag>
      <w:r w:rsidRPr="00A12D2D">
        <w:rPr>
          <w:rFonts w:cs="Times New Roman"/>
          <w:sz w:val="28"/>
          <w:szCs w:val="28"/>
        </w:rPr>
        <w:t xml:space="preserve">. инициативой Принца Уэльского «Учет устойчивости» («Accounting for Sustainability») был представлен документ Connected Reporting Framework. В </w:t>
      </w:r>
      <w:smartTag w:uri="urn:schemas-microsoft-com:office:smarttags" w:element="City">
        <w:r w:rsidRPr="00A12D2D">
          <w:rPr>
            <w:rFonts w:cs="Times New Roman"/>
            <w:sz w:val="28"/>
            <w:szCs w:val="28"/>
          </w:rPr>
          <w:t>2009 г</w:t>
        </w:r>
      </w:smartTag>
      <w:r w:rsidRPr="00A12D2D">
        <w:rPr>
          <w:rFonts w:cs="Times New Roman"/>
          <w:sz w:val="28"/>
          <w:szCs w:val="28"/>
        </w:rPr>
        <w:t>. организация выпустила еще один документ Connected Reporting «how to» guide. Компании, инвесторы и правительства начинают понимать, что долгосрочное устойчивое функционирование основывается на понимании взаимозависимости финансовых, социальных и экологических факторов. Для того чтобы создавать и поддерживать стоимость в будущем, организации должны обеспечить устойчивость в рамках общей стратегии и процессов принятия решений [5].</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По инициативе Госкорпорации «Росатом» и при поддержке МСИО в России была создана Российская региональная сеть (РРС) по интегрированной отчетности. Этот сайт служит коммуникационной платформой, а также предназначен для обсуждения важнейших вопросов, связанных с интегрированной отчетностью, совершенствованием и распространением данной концепции на территории РФ [4].</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Несмотря на то, что первые интегрированные отчеты появились еще в начале 2000 года, о необходимости их повсеместного составления, их нормативном регулировании, а также составе показателей стали говорить лишь в 2007 году. Инициатором рассмотрения данного вопроса стал принц Чарльз, высказавший мнение о необходимости составления отчетов, которые отражали бы реалии и перспективы развития компаний. </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Задачи формирования интегрированной отчетности были доверены Международному совету по интегрированной отчетности (МСИО или IIRC). На данный момент существуют и функционируют десять региональных сетей по интегрированной отчетности. </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Корпоративная отчетность активно развивается в Австралии, так как предприятия признают ее важность в раскрытии ценности и привлечения капитала. Локальная сеть форума лидеров бизнес отчетности (BRLF), под председательством Джона Стэенхоупа, действует в течение трех лет и представляет интересы различных сторон по всей цепочке поставок корпоративной отчетности. Члены форума собираются вместе и рассматривают тенденции и проблемы в связи с корпоративной отчетностью, а также ищут решения, подходящие для австралийских рынков капитала и требований к отчетности. Форум ориентирован на создание более благоприятных условий для инвестиций, корпоративной отчетности путем поощрения обсуждения и продвижения идей о том, как демонтировать текущий объем, сложность и волокиту окружающих отчетности. </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Комитет Интегрированной отчетности (IRC) Южной Америки ведет разработку данного вида учета. Ее членами являются ведущие профессиональные и деловые организации в Южной Африке, в том числе фондовой биржи Йоханнесбурга, Ассоциация по сбережению и инвестициям Южной Африки. IRC имеет рабочую группу отдельных экспертов, на которых возложена задача разработки информационного руководства для организаций в Южной Африке, чтобы помочь им в подготовке интегрированных отчетов. </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Турецкая сеть координируется Платформой интегрированной отчетности Турции (ERTA), которая объединяет всех заинтересованных сторон: бизнес, инвесторов и негосударственных организации с целью внедрения интегрированной отчетности на турецкий рынок и рассмотрение конкретной реализации этой системы в Турции. </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Ведущие компании голландской Бизнес-сети интегрированной отчетности регулярно встречаются для обмена мнениями и опытом реализации интегрированной отчетности для поддержания дальнейшего прогресса и инновационной деятельности. Страховая компания AEGON, которая принимает участие в интегрированной отчетности сетей, начиная с их образования, получила награду «The Building Public Trust» для создания интегрированных отчетов в </w:t>
      </w:r>
      <w:smartTag w:uri="urn:schemas-microsoft-com:office:smarttags" w:element="City">
        <w:r w:rsidRPr="00A12D2D">
          <w:rPr>
            <w:rFonts w:cs="Times New Roman"/>
            <w:sz w:val="28"/>
            <w:szCs w:val="28"/>
          </w:rPr>
          <w:t>2014 г</w:t>
        </w:r>
      </w:smartTag>
      <w:r w:rsidRPr="00A12D2D">
        <w:rPr>
          <w:rFonts w:cs="Times New Roman"/>
          <w:sz w:val="28"/>
          <w:szCs w:val="28"/>
        </w:rPr>
        <w:t>. Голландская сеть поддерживается институтом Royal в Нидерландах, который сотрудничает с Международным Советом по интегрированной отчетности для организации мероприятий и обмена идеями с голландскими компаниями, продвижения к интегрированной отчётности. Некоторые из последних интегрированных отчетов Нидерландов являются общими для комплексной базы данных отчетности, чтобы другие организации могли извлечь уроки из последних практик [6].</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Несколько ведущих американских компаний являются движущей силой в деятельности Бизнес-сети интегрированной отчетности, особенно The Clorox Company, Всемирный банк, PepsiCo, Microsoft и Эдельман. </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Компании заинтересованы в изучении разработок в области интегрированной отчетности и оценки того, как принципы и концепции в рамках данной отчетности могут использоваться для уменьшения сложности и объема их отчетов, обеспечивая при этом необходимую информацию для инвесторов и других заинтересованных участников. </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Международный Совет по интегрированной отчетности, при поддержке JICPA и японской Exchange Group, управляет региональной сетью, с более чем 35 участников, в том числе со стороны сообщества инвесторов. Он регулярно проводит заседания для обсуждения ключевых вопросов практики интегрированной отчетности. По оценкам «Ассоциации по связям с инвесторами Японии», около 182 японских предприятий в настоящее время практикует или собирается развивать интегрированную отчетность. </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Конечная цель широкой коалиции заинтересованных сторон, входящих в МСИО, сделать интегрированную отчетность обязательной для всех публичных глобальных компаний до 2020-2025 гг.</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Не смотря на все преимущества использования интегрированной системы отчетности, в России, к сожалению, данная концепции до сих пор не проработана должным образом. Однако, ОАО "Московская Биржа" и медиа-группа "РЦБ" ежегодно проводят конкурсы годовых отчетов. В ежегодном конкурсе 2015 г. по инициативе АССА введена номинация "Лучший интегрированный отчет"2. Победителем конкурса стала компания ОАО "ТВЭЛ". Основными участниками номинации являются Госкорпорация "Росатом", ОАО "НК Роснефть", ОАО "НИАЭП", ФК "УРАЛСИБ", которые вошли в Пилотную программу Международного совета по интегрированной отчетности, а также взаимосвязанные с ними организации. Из анализ годовых отчетов, представленных участниками данной номинации. Выявлено, что 8 из 19 организаций указали уровень применения Руководства по отчетности в области устойчивого развития Глобальной инициативы по отчетности, и только 2 организации соответствовали уровню А+. При этом общим таких годовых отчетов является отражение обращения руководящего состава, описания ключевых событий и результатов деятельности, раскрытия вопросов, связанных с управлением, экологией и социальной политикой. Вместе с тем практически общей тенденцией является не отражение данных о бизнес-модели (отразили всего 5 из 19 организаций-участниц), рисках и возможностях (6 из 19), взаимодействии с заинтересованными сторонами, конкретных направлений перспектив развития и фактов, подтверждающих реализацию стратегии, а также отсутствие описания принципов и отражения стандартов, на основе которых строился отчет (6 из 19). Согласно данным Российского союза промышленников и предпринимателей (далее - РСПП), на 11.02.2016 г. в Национальный Регистр нефинансовых отчетов внесены 160 компаний, зарегистрировано 635отчетов, выпущенных в 442 период с 2000 г.: экологических отчетов - 52, социальных отчетов - 269, отчетов в области устойчивого развития - 204, интегрированных отчетов - 87, отраслевых отчетов - 233. При этом энергетика - это отрасль, которая лидирует по количеству представленных интегрированных отчетов. Затем следуют химическая, металлургическая, телекоммуникационная отрасли, финансы и страхование, производство машин и оборудования.</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В 2015 году проводилось исследование корпоративной прозрачности крупнейших российских компаний, результаты которого были опубликованы лишь в 2015 году. По результатам данного исследования в целом картина состояния публичной отчетности в России достаточно негативная.</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По группе исследуемых компаний (крупнейшие компании плюс те компании, которые в ближайшие годы подпадут под повышенные требования к отчетности) третья часть (240 компаний) вообще не готовят отчеты.</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Почти 39% (281 компания) готовят "минималистские" отчеты только по требованиям Банка России/ФСФР.</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Лишь 200 компании (28%) готовят продвинутые в той или иной степени отчеты. По всей исследованной группе компаний интегрированные отчеты готовят 18 компаний (2,5%), число интегрированных отчетов по сравнению с предыдущим годом выросло в полтора раза. Необходимо отметить , что только 1 из 18 компаний, готовивших интегрированный отчет, является негосударственной (ОАО "Уралкалий"). Средний балл компаний, готовящих интегрированные отчеты, составляет 63,3 балла.</w:t>
      </w:r>
    </w:p>
    <w:p w:rsidR="00FC2F03" w:rsidRPr="00A12D2D" w:rsidRDefault="00FC2F03" w:rsidP="00A12D2D">
      <w:pPr>
        <w:widowControl/>
        <w:suppressAutoHyphens w:val="0"/>
        <w:autoSpaceDE w:val="0"/>
        <w:adjustRightInd w:val="0"/>
        <w:spacing w:line="360" w:lineRule="auto"/>
        <w:ind w:firstLine="709"/>
        <w:jc w:val="both"/>
        <w:rPr>
          <w:rFonts w:eastAsia="Times New Roman" w:cs="Times New Roman"/>
          <w:kern w:val="0"/>
          <w:sz w:val="28"/>
          <w:szCs w:val="28"/>
          <w:lang w:eastAsia="en-US" w:bidi="ar-SA"/>
        </w:rPr>
      </w:pPr>
      <w:r w:rsidRPr="00A12D2D">
        <w:rPr>
          <w:rFonts w:cs="Times New Roman"/>
          <w:sz w:val="28"/>
          <w:szCs w:val="28"/>
        </w:rPr>
        <w:t xml:space="preserve">Распоряжением Правительства РФ от 05.05.2017 № 876-р «Об утверждении Концепции развития публичной нефинансовой отчетности и плана мероприятий по ее реализации» была утверждена концепция развития публичной нефинансовой отчетности. Это первый шаг к созданию нормативной базы для формирования интегрированных отчётов в Российской Федерации. </w:t>
      </w:r>
      <w:r w:rsidRPr="00A12D2D">
        <w:rPr>
          <w:rFonts w:eastAsia="Times New Roman" w:cs="Times New Roman"/>
          <w:kern w:val="0"/>
          <w:sz w:val="28"/>
          <w:szCs w:val="28"/>
          <w:lang w:eastAsia="en-US" w:bidi="ar-SA"/>
        </w:rPr>
        <w:t xml:space="preserve">Концепция развития публичной нефинансовой отчетности (далее - Концепция) разработана во исполнение </w:t>
      </w:r>
      <w:hyperlink r:id="rId7" w:history="1">
        <w:r w:rsidRPr="00A12D2D">
          <w:rPr>
            <w:rFonts w:eastAsia="Times New Roman" w:cs="Times New Roman"/>
            <w:kern w:val="0"/>
            <w:sz w:val="28"/>
            <w:szCs w:val="28"/>
            <w:lang w:eastAsia="en-US" w:bidi="ar-SA"/>
          </w:rPr>
          <w:t>пункта 9 раздела III</w:t>
        </w:r>
      </w:hyperlink>
      <w:r w:rsidRPr="00A12D2D">
        <w:rPr>
          <w:rFonts w:eastAsia="Times New Roman" w:cs="Times New Roman"/>
          <w:kern w:val="0"/>
          <w:sz w:val="28"/>
          <w:szCs w:val="28"/>
          <w:lang w:eastAsia="en-US" w:bidi="ar-SA"/>
        </w:rPr>
        <w:t xml:space="preserve"> плана мероприятий ("дорожной карты") "Поддержка доступа негосударственных организаций к предоставлению услуг в социальной сфере", утвержденного распоряжением Правительства Российской Федер</w:t>
      </w:r>
      <w:r>
        <w:rPr>
          <w:rFonts w:eastAsia="Times New Roman" w:cs="Times New Roman"/>
          <w:kern w:val="0"/>
          <w:sz w:val="28"/>
          <w:szCs w:val="28"/>
          <w:lang w:eastAsia="en-US" w:bidi="ar-SA"/>
        </w:rPr>
        <w:t>ации от 8 июня 2016 г. №</w:t>
      </w:r>
      <w:r w:rsidRPr="00A12D2D">
        <w:rPr>
          <w:rFonts w:eastAsia="Times New Roman" w:cs="Times New Roman"/>
          <w:kern w:val="0"/>
          <w:sz w:val="28"/>
          <w:szCs w:val="28"/>
          <w:lang w:eastAsia="en-US" w:bidi="ar-SA"/>
        </w:rPr>
        <w:t xml:space="preserve"> 1144-р.</w:t>
      </w:r>
    </w:p>
    <w:p w:rsidR="00FC2F03" w:rsidRPr="00A12D2D" w:rsidRDefault="00FC2F03" w:rsidP="00A12D2D">
      <w:pPr>
        <w:widowControl/>
        <w:suppressAutoHyphens w:val="0"/>
        <w:autoSpaceDE w:val="0"/>
        <w:adjustRightInd w:val="0"/>
        <w:spacing w:line="360" w:lineRule="auto"/>
        <w:ind w:firstLine="709"/>
        <w:jc w:val="both"/>
        <w:rPr>
          <w:rFonts w:eastAsia="Times New Roman" w:cs="Times New Roman"/>
          <w:kern w:val="0"/>
          <w:sz w:val="28"/>
          <w:szCs w:val="28"/>
          <w:lang w:eastAsia="en-US" w:bidi="ar-SA"/>
        </w:rPr>
      </w:pPr>
      <w:r w:rsidRPr="00A12D2D">
        <w:rPr>
          <w:rFonts w:eastAsia="Times New Roman" w:cs="Times New Roman"/>
          <w:kern w:val="0"/>
          <w:sz w:val="28"/>
          <w:szCs w:val="28"/>
          <w:lang w:eastAsia="en-US" w:bidi="ar-SA"/>
        </w:rPr>
        <w:t>В соответствии с этим документом, назначение публичной нефинансовой отчетности состоит в предоставлении организациями значимой, полной, своевременной, точной, сбалансированной, сопоставимой, надежной и объективной информации об их деятельности по экономическим, экологическим, социальным аспектам и системам управления для удовлетворения информационных потребностей и запросов заинтересованных сторон. На основании этих сведений заинтересованные стороны могут судить о качестве управления в организациях и принимаемых ими решений, о влиянии на окружающую среду и общество, об устойчивости организаций, поскольку большинство нефинансовых показателей, включаемых в публичную нефинансовую отчетность, могут иметь значимые финансовые последствия как в текущей практике, так и в будущем.</w:t>
      </w:r>
    </w:p>
    <w:p w:rsidR="00FC2F03" w:rsidRPr="00A12D2D" w:rsidRDefault="00FC2F03" w:rsidP="00A12D2D">
      <w:pPr>
        <w:widowControl/>
        <w:suppressAutoHyphens w:val="0"/>
        <w:autoSpaceDE w:val="0"/>
        <w:adjustRightInd w:val="0"/>
        <w:spacing w:line="360" w:lineRule="auto"/>
        <w:ind w:firstLine="709"/>
        <w:jc w:val="both"/>
        <w:rPr>
          <w:rFonts w:eastAsia="Times New Roman" w:cs="Times New Roman"/>
          <w:kern w:val="0"/>
          <w:sz w:val="28"/>
          <w:szCs w:val="28"/>
          <w:lang w:eastAsia="en-US" w:bidi="ar-SA"/>
        </w:rPr>
      </w:pPr>
      <w:r w:rsidRPr="00A12D2D">
        <w:rPr>
          <w:rFonts w:eastAsia="Times New Roman" w:cs="Times New Roman"/>
          <w:kern w:val="0"/>
          <w:sz w:val="28"/>
          <w:szCs w:val="28"/>
          <w:lang w:eastAsia="en-US" w:bidi="ar-SA"/>
        </w:rPr>
        <w:t>Предусматриваются 4 этапа реализации Концепции.</w:t>
      </w:r>
    </w:p>
    <w:p w:rsidR="00FC2F03" w:rsidRPr="00A12D2D" w:rsidRDefault="00FC2F03" w:rsidP="00A12D2D">
      <w:pPr>
        <w:widowControl/>
        <w:suppressAutoHyphens w:val="0"/>
        <w:autoSpaceDE w:val="0"/>
        <w:adjustRightInd w:val="0"/>
        <w:spacing w:line="360" w:lineRule="auto"/>
        <w:ind w:firstLine="709"/>
        <w:jc w:val="both"/>
        <w:rPr>
          <w:rFonts w:eastAsia="Times New Roman" w:cs="Times New Roman"/>
          <w:kern w:val="0"/>
          <w:sz w:val="28"/>
          <w:szCs w:val="28"/>
          <w:lang w:eastAsia="en-US" w:bidi="ar-SA"/>
        </w:rPr>
      </w:pPr>
      <w:r w:rsidRPr="00A12D2D">
        <w:rPr>
          <w:rFonts w:eastAsia="Times New Roman" w:cs="Times New Roman"/>
          <w:kern w:val="0"/>
          <w:sz w:val="28"/>
          <w:szCs w:val="28"/>
          <w:lang w:eastAsia="en-US" w:bidi="ar-SA"/>
        </w:rPr>
        <w:t>На первом этапе (2017 - 2018 годы) предусматривается, в числе прочего, развитие нормативной и методической базы, развитие инструментов независимой оценки, определение состава базовых индикаторов, минимально необходимых для раскрытия информации о результатах деятельности организации, утверждение перечня организаций, на которые распространяется требование публикации нефинансовой отчетности и раскрытия базовых индикаторов.</w:t>
      </w:r>
    </w:p>
    <w:p w:rsidR="00FC2F03" w:rsidRPr="00A12D2D" w:rsidRDefault="00FC2F03" w:rsidP="00A12D2D">
      <w:pPr>
        <w:widowControl/>
        <w:suppressAutoHyphens w:val="0"/>
        <w:autoSpaceDE w:val="0"/>
        <w:adjustRightInd w:val="0"/>
        <w:spacing w:line="360" w:lineRule="auto"/>
        <w:ind w:firstLine="709"/>
        <w:jc w:val="both"/>
        <w:rPr>
          <w:rFonts w:eastAsia="Times New Roman" w:cs="Times New Roman"/>
          <w:kern w:val="0"/>
          <w:sz w:val="28"/>
          <w:szCs w:val="28"/>
          <w:lang w:eastAsia="en-US" w:bidi="ar-SA"/>
        </w:rPr>
      </w:pPr>
      <w:r w:rsidRPr="00A12D2D">
        <w:rPr>
          <w:rFonts w:eastAsia="Times New Roman" w:cs="Times New Roman"/>
          <w:kern w:val="0"/>
          <w:sz w:val="28"/>
          <w:szCs w:val="28"/>
          <w:lang w:eastAsia="en-US" w:bidi="ar-SA"/>
        </w:rPr>
        <w:t>На втором этапе (2019 - 2020 годы) предусматривается, в частности, регулярное составление индексов и рейтингов в области социальной ответственности и устойчивого развития на основе анализа публичной нефинансовой отчетности. В состав организаций, на которые распространяется требование публикации нефинансовой отчетности, предполагается включить в том числе: государственные корпорации, государственные компании и публично-правовые компании; хозяйственные общества, не менее 50 процентов акций (долей) в уставных (складочных) капиталах которых находится в государственной собственности, государственные унитарные предприятия при условии, что такие хозяйственные общества и государственные унитарные предприятия имеют за отчетный год объем выручки (дохода) (сумму активов) в размере 10 млрд. рублей и выше, определяемый на основании консолидированной финансовой отчетности, или среднесписочную численность работающих, составляющую 4000 чел. и выше; прочие хозяйственные общества, не менее 50 процентов акций (долей) в уставных (складочных) капиталах которых находится в государственной собственности и ценные бумаги которых допущены к обращению на организованных торгах. Предполагается, что с 2019 года указанные организации будут публиковать нефинансовые отчеты за предыдущий период.</w:t>
      </w:r>
    </w:p>
    <w:p w:rsidR="00FC2F03" w:rsidRPr="00A12D2D" w:rsidRDefault="00FC2F03" w:rsidP="00A12D2D">
      <w:pPr>
        <w:widowControl/>
        <w:suppressAutoHyphens w:val="0"/>
        <w:autoSpaceDE w:val="0"/>
        <w:adjustRightInd w:val="0"/>
        <w:spacing w:line="360" w:lineRule="auto"/>
        <w:ind w:firstLine="709"/>
        <w:jc w:val="both"/>
        <w:rPr>
          <w:rFonts w:eastAsia="Times New Roman" w:cs="Times New Roman"/>
          <w:kern w:val="0"/>
          <w:sz w:val="28"/>
          <w:szCs w:val="28"/>
          <w:lang w:eastAsia="en-US" w:bidi="ar-SA"/>
        </w:rPr>
      </w:pPr>
      <w:r w:rsidRPr="00A12D2D">
        <w:rPr>
          <w:rFonts w:eastAsia="Times New Roman" w:cs="Times New Roman"/>
          <w:kern w:val="0"/>
          <w:sz w:val="28"/>
          <w:szCs w:val="28"/>
          <w:lang w:eastAsia="en-US" w:bidi="ar-SA"/>
        </w:rPr>
        <w:t xml:space="preserve">На третьем этапе (2021 - 2022 годы) предусматривается, в том числе, разработка дополнительных критериев с учетом отраслевой специфики, в соответствии с которыми уточняется состав тех организаций, на которые поэтапно распространяется требование публикации нефинансовой отчетности. </w:t>
      </w:r>
    </w:p>
    <w:p w:rsidR="00FC2F03" w:rsidRPr="00A12D2D" w:rsidRDefault="00FC2F03" w:rsidP="00A12D2D">
      <w:pPr>
        <w:widowControl/>
        <w:suppressAutoHyphens w:val="0"/>
        <w:autoSpaceDE w:val="0"/>
        <w:adjustRightInd w:val="0"/>
        <w:spacing w:line="360" w:lineRule="auto"/>
        <w:ind w:firstLine="709"/>
        <w:jc w:val="both"/>
        <w:rPr>
          <w:rFonts w:eastAsia="Times New Roman" w:cs="Times New Roman"/>
          <w:kern w:val="0"/>
          <w:sz w:val="28"/>
          <w:szCs w:val="28"/>
          <w:lang w:eastAsia="en-US" w:bidi="ar-SA"/>
        </w:rPr>
      </w:pPr>
      <w:r w:rsidRPr="00A12D2D">
        <w:rPr>
          <w:rFonts w:eastAsia="Times New Roman" w:cs="Times New Roman"/>
          <w:kern w:val="0"/>
          <w:sz w:val="28"/>
          <w:szCs w:val="28"/>
          <w:lang w:eastAsia="en-US" w:bidi="ar-SA"/>
        </w:rPr>
        <w:t>На четвертом этапе (начиная с 2023 года) в состав организаций, на которые распространяется требование публикации нефинансовой отчетности, предполагается включить 500 крупнейших организаций, объем выручки (дохода) которых соответствует критериям ведущих российских рейтингов.</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Таким образом, в настоящее время вопросы внедрения интегрированной отчетности в России только набирают обороты. Это связано со следующими проблемами:</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с отсутствием четкого нормативно-правового регламентирования;</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с существующей практикой ведения бухгалтерской отчетности;</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с отсутствием программ подготовки кадров по соответствующему направлению;</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с ограниченностью времени у специалистов в связи с необходимостью составления и представления российскими компаниями значительного числа отчетов различным государственным органам, в разы превосходящих количество отчетов, составляемых европейскими и американскими компаниями [2].</w:t>
      </w:r>
    </w:p>
    <w:p w:rsidR="00FC2F03" w:rsidRPr="00A12D2D" w:rsidRDefault="00FC2F03" w:rsidP="00A12D2D">
      <w:pPr>
        <w:spacing w:line="360" w:lineRule="auto"/>
        <w:ind w:firstLine="709"/>
        <w:jc w:val="both"/>
        <w:rPr>
          <w:rFonts w:cs="Times New Roman"/>
          <w:sz w:val="28"/>
          <w:szCs w:val="28"/>
        </w:rPr>
      </w:pPr>
      <w:r w:rsidRPr="00A12D2D">
        <w:rPr>
          <w:rFonts w:cs="Times New Roman"/>
          <w:sz w:val="28"/>
          <w:szCs w:val="28"/>
        </w:rPr>
        <w:t xml:space="preserve">Если компания желает составлять интегрированную отчетность, то это следует делать на основе уже готовой стандартной финансовой отчетности или отчетности по МСФО, включая в интегрированный отчет дополнительные сведения о стратегии развития компании, экологической деятельности и другие. Кроме того, необходимо учитывать фактор развития высокотехнологичных инноваций и активизировать действия в направлении создания нормативной базы, российской специализированной литературы по вопросам интегрированной отчетности, закрепления ответственности за публичную отчетность. Названные мероприятия будут способствовать активизации процессов внедрения в практику российских компаний подготовки и представления интегрированной отчетности. </w:t>
      </w:r>
    </w:p>
    <w:p w:rsidR="00FC2F03" w:rsidRPr="00E66694" w:rsidRDefault="00FC2F03" w:rsidP="00E66694">
      <w:pPr>
        <w:ind w:firstLine="709"/>
        <w:jc w:val="both"/>
        <w:rPr>
          <w:rFonts w:cs="Times New Roman"/>
        </w:rPr>
      </w:pPr>
    </w:p>
    <w:p w:rsidR="00FC2F03" w:rsidRPr="00E66694" w:rsidRDefault="00FC2F03" w:rsidP="00E66694">
      <w:pPr>
        <w:pStyle w:val="ConsNormal"/>
        <w:widowControl/>
        <w:ind w:left="720" w:firstLine="0"/>
        <w:jc w:val="center"/>
        <w:rPr>
          <w:rFonts w:ascii="Times New Roman" w:hAnsi="Times New Roman" w:cs="Times New Roman"/>
          <w:b/>
          <w:sz w:val="24"/>
          <w:szCs w:val="24"/>
        </w:rPr>
      </w:pPr>
      <w:r w:rsidRPr="00E66694">
        <w:rPr>
          <w:rFonts w:ascii="Times New Roman" w:hAnsi="Times New Roman" w:cs="Times New Roman"/>
          <w:b/>
          <w:sz w:val="24"/>
          <w:szCs w:val="24"/>
        </w:rPr>
        <w:t>Список литературы</w:t>
      </w:r>
    </w:p>
    <w:p w:rsidR="00FC2F03" w:rsidRPr="00E66694" w:rsidRDefault="00FC2F03" w:rsidP="00E66694">
      <w:pPr>
        <w:pStyle w:val="ListParagraph"/>
        <w:numPr>
          <w:ilvl w:val="0"/>
          <w:numId w:val="2"/>
        </w:numPr>
        <w:ind w:left="0" w:firstLine="709"/>
        <w:jc w:val="both"/>
        <w:rPr>
          <w:rFonts w:cs="Times New Roman"/>
          <w:szCs w:val="24"/>
        </w:rPr>
      </w:pPr>
      <w:r w:rsidRPr="00E66694">
        <w:rPr>
          <w:rFonts w:cs="Times New Roman"/>
          <w:szCs w:val="24"/>
        </w:rPr>
        <w:t>Махонина Е. А. Проблемы внедрения интегрированной отчетности в Российской Федерации // Молодой ученый. — 2014. — №20. — С. 340-343.</w:t>
      </w:r>
    </w:p>
    <w:p w:rsidR="00FC2F03" w:rsidRPr="00E66694" w:rsidRDefault="00FC2F03" w:rsidP="00E66694">
      <w:pPr>
        <w:pStyle w:val="ListParagraph"/>
        <w:numPr>
          <w:ilvl w:val="0"/>
          <w:numId w:val="2"/>
        </w:numPr>
        <w:ind w:left="0" w:firstLine="709"/>
        <w:jc w:val="both"/>
        <w:rPr>
          <w:rFonts w:cs="Times New Roman"/>
          <w:szCs w:val="24"/>
        </w:rPr>
      </w:pPr>
      <w:r w:rsidRPr="00E66694">
        <w:rPr>
          <w:rFonts w:cs="Times New Roman"/>
          <w:szCs w:val="24"/>
        </w:rPr>
        <w:t xml:space="preserve">Рощектаева У.Ю. Интегрированная отчётность как новый уровень развития корпоративной отчетности // Научный вестник Южного института менеджмента. </w:t>
      </w:r>
      <w:r>
        <w:rPr>
          <w:rFonts w:cs="Times New Roman"/>
          <w:szCs w:val="24"/>
        </w:rPr>
        <w:t xml:space="preserve">- </w:t>
      </w:r>
      <w:r w:rsidRPr="00E66694">
        <w:rPr>
          <w:rFonts w:cs="Times New Roman"/>
          <w:szCs w:val="24"/>
        </w:rPr>
        <w:t xml:space="preserve">2016. </w:t>
      </w:r>
      <w:r>
        <w:rPr>
          <w:rFonts w:cs="Times New Roman"/>
          <w:szCs w:val="24"/>
        </w:rPr>
        <w:t xml:space="preserve">- </w:t>
      </w:r>
      <w:r w:rsidRPr="00E66694">
        <w:rPr>
          <w:rFonts w:cs="Times New Roman"/>
          <w:szCs w:val="24"/>
        </w:rPr>
        <w:t xml:space="preserve">№ 1 (13). </w:t>
      </w:r>
      <w:r>
        <w:rPr>
          <w:rFonts w:cs="Times New Roman"/>
          <w:szCs w:val="24"/>
        </w:rPr>
        <w:t xml:space="preserve">- </w:t>
      </w:r>
      <w:r w:rsidRPr="00E66694">
        <w:rPr>
          <w:rFonts w:cs="Times New Roman"/>
          <w:szCs w:val="24"/>
        </w:rPr>
        <w:t>С. 40-44.</w:t>
      </w:r>
    </w:p>
    <w:p w:rsidR="00FC2F03" w:rsidRDefault="00FC2F03" w:rsidP="002D2F68">
      <w:pPr>
        <w:pStyle w:val="ListParagraph"/>
        <w:numPr>
          <w:ilvl w:val="0"/>
          <w:numId w:val="2"/>
        </w:numPr>
        <w:ind w:left="0" w:firstLine="709"/>
        <w:jc w:val="both"/>
        <w:rPr>
          <w:rFonts w:cs="Times New Roman"/>
          <w:szCs w:val="24"/>
        </w:rPr>
      </w:pPr>
      <w:r w:rsidRPr="002D2F68">
        <w:rPr>
          <w:rFonts w:cs="Times New Roman"/>
          <w:szCs w:val="24"/>
        </w:rPr>
        <w:t>Рощектаев С.А. Воспроизводство финансовых ресурсов корпорации: системно-эволюционный подход. монография / С. А. Рощектаев ; М-во образования и науки Российской Федерации, Кубанский гос. ун-т. Краснодар, 2007.</w:t>
      </w:r>
    </w:p>
    <w:p w:rsidR="00FC2F03" w:rsidRPr="002D2F68" w:rsidRDefault="00FC2F03" w:rsidP="002D2F68">
      <w:pPr>
        <w:pStyle w:val="ListParagraph"/>
        <w:numPr>
          <w:ilvl w:val="0"/>
          <w:numId w:val="2"/>
        </w:numPr>
        <w:ind w:left="0" w:firstLine="709"/>
        <w:jc w:val="both"/>
        <w:rPr>
          <w:rFonts w:cs="Times New Roman"/>
          <w:szCs w:val="24"/>
        </w:rPr>
      </w:pPr>
      <w:r w:rsidRPr="002D2F68">
        <w:rPr>
          <w:rFonts w:cs="Times New Roman"/>
          <w:szCs w:val="24"/>
        </w:rPr>
        <w:t>Интегрированная отчетность (РРС) [Электронный ресурс]. – Режим доступа: http://ir.org.ru/</w:t>
      </w:r>
    </w:p>
    <w:p w:rsidR="00FC2F03" w:rsidRPr="00C90A0A" w:rsidRDefault="00FC2F03" w:rsidP="00E66694">
      <w:pPr>
        <w:pStyle w:val="ListParagraph"/>
        <w:numPr>
          <w:ilvl w:val="0"/>
          <w:numId w:val="2"/>
        </w:numPr>
        <w:ind w:left="0" w:firstLine="709"/>
        <w:jc w:val="both"/>
        <w:rPr>
          <w:rFonts w:cs="Times New Roman"/>
          <w:szCs w:val="24"/>
          <w:lang w:val="en-US"/>
        </w:rPr>
      </w:pPr>
      <w:r w:rsidRPr="00C90A0A">
        <w:rPr>
          <w:rFonts w:cs="Times New Roman"/>
          <w:szCs w:val="24"/>
          <w:lang w:val="en-US"/>
        </w:rPr>
        <w:t>The International Integrated Reporting Council (IIRC) [</w:t>
      </w:r>
      <w:r w:rsidRPr="00E66694">
        <w:rPr>
          <w:rFonts w:cs="Times New Roman"/>
          <w:szCs w:val="24"/>
        </w:rPr>
        <w:t>Электронный</w:t>
      </w:r>
      <w:r w:rsidRPr="00C90A0A">
        <w:rPr>
          <w:rFonts w:cs="Times New Roman"/>
          <w:szCs w:val="24"/>
          <w:lang w:val="en-US"/>
        </w:rPr>
        <w:t xml:space="preserve"> </w:t>
      </w:r>
      <w:r w:rsidRPr="00E66694">
        <w:rPr>
          <w:rFonts w:cs="Times New Roman"/>
          <w:szCs w:val="24"/>
        </w:rPr>
        <w:t>ресурс</w:t>
      </w:r>
      <w:r w:rsidRPr="00C90A0A">
        <w:rPr>
          <w:rFonts w:cs="Times New Roman"/>
          <w:szCs w:val="24"/>
          <w:lang w:val="en-US"/>
        </w:rPr>
        <w:t xml:space="preserve">]. – </w:t>
      </w:r>
      <w:r w:rsidRPr="00E66694">
        <w:rPr>
          <w:rFonts w:cs="Times New Roman"/>
          <w:szCs w:val="24"/>
        </w:rPr>
        <w:t>Режим</w:t>
      </w:r>
      <w:r w:rsidRPr="00C90A0A">
        <w:rPr>
          <w:rFonts w:cs="Times New Roman"/>
          <w:szCs w:val="24"/>
          <w:lang w:val="en-US"/>
        </w:rPr>
        <w:t xml:space="preserve"> </w:t>
      </w:r>
      <w:r w:rsidRPr="00E66694">
        <w:rPr>
          <w:rFonts w:cs="Times New Roman"/>
          <w:szCs w:val="24"/>
        </w:rPr>
        <w:t>доступа</w:t>
      </w:r>
      <w:r w:rsidRPr="00C90A0A">
        <w:rPr>
          <w:rFonts w:cs="Times New Roman"/>
          <w:szCs w:val="24"/>
          <w:lang w:val="en-US"/>
        </w:rPr>
        <w:t>: http://integratedreporting.org/</w:t>
      </w:r>
    </w:p>
    <w:p w:rsidR="00FC2F03" w:rsidRPr="00C90A0A" w:rsidRDefault="00FC2F03" w:rsidP="00E66694">
      <w:pPr>
        <w:pStyle w:val="ListParagraph"/>
        <w:numPr>
          <w:ilvl w:val="0"/>
          <w:numId w:val="2"/>
        </w:numPr>
        <w:ind w:left="0" w:firstLine="709"/>
        <w:jc w:val="both"/>
        <w:rPr>
          <w:rFonts w:cs="Times New Roman"/>
          <w:sz w:val="28"/>
          <w:szCs w:val="28"/>
          <w:lang w:val="en-US"/>
        </w:rPr>
      </w:pPr>
      <w:r w:rsidRPr="00C90A0A">
        <w:rPr>
          <w:rFonts w:cs="Times New Roman"/>
          <w:szCs w:val="24"/>
          <w:lang w:val="en-US"/>
        </w:rPr>
        <w:t>Global Standards for the world [</w:t>
      </w:r>
      <w:r w:rsidRPr="00E66694">
        <w:rPr>
          <w:rFonts w:cs="Times New Roman"/>
          <w:szCs w:val="24"/>
        </w:rPr>
        <w:t>Электронный</w:t>
      </w:r>
      <w:r w:rsidRPr="00C90A0A">
        <w:rPr>
          <w:rFonts w:cs="Times New Roman"/>
          <w:szCs w:val="24"/>
          <w:lang w:val="en-US"/>
        </w:rPr>
        <w:t xml:space="preserve"> </w:t>
      </w:r>
      <w:r w:rsidRPr="00E66694">
        <w:rPr>
          <w:rFonts w:cs="Times New Roman"/>
          <w:szCs w:val="24"/>
        </w:rPr>
        <w:t>ресурс</w:t>
      </w:r>
      <w:r w:rsidRPr="00C90A0A">
        <w:rPr>
          <w:rFonts w:cs="Times New Roman"/>
          <w:szCs w:val="24"/>
          <w:lang w:val="en-US"/>
        </w:rPr>
        <w:t xml:space="preserve">]. – </w:t>
      </w:r>
      <w:r w:rsidRPr="00E66694">
        <w:rPr>
          <w:rFonts w:cs="Times New Roman"/>
          <w:szCs w:val="24"/>
        </w:rPr>
        <w:t>Режим</w:t>
      </w:r>
      <w:r w:rsidRPr="00C90A0A">
        <w:rPr>
          <w:rFonts w:cs="Times New Roman"/>
          <w:szCs w:val="24"/>
          <w:lang w:val="en-US"/>
        </w:rPr>
        <w:t xml:space="preserve"> </w:t>
      </w:r>
      <w:r>
        <w:rPr>
          <w:rFonts w:cs="Times New Roman"/>
          <w:szCs w:val="24"/>
        </w:rPr>
        <w:t>доступа</w:t>
      </w:r>
      <w:r w:rsidRPr="00C90A0A">
        <w:rPr>
          <w:rFonts w:cs="Times New Roman"/>
          <w:szCs w:val="24"/>
          <w:lang w:val="en-US"/>
        </w:rPr>
        <w:t>: http://www.kpmg.com/</w:t>
      </w:r>
    </w:p>
    <w:p w:rsidR="00FC2F03" w:rsidRPr="00C90A0A" w:rsidRDefault="00FC2F03" w:rsidP="00E66694">
      <w:pPr>
        <w:pStyle w:val="ListParagraph"/>
        <w:ind w:left="709"/>
        <w:jc w:val="both"/>
        <w:rPr>
          <w:rFonts w:cs="Times New Roman"/>
          <w:sz w:val="28"/>
          <w:szCs w:val="28"/>
          <w:lang w:val="en-US"/>
        </w:rPr>
      </w:pPr>
    </w:p>
    <w:p w:rsidR="00FC2F03" w:rsidRPr="00E66694" w:rsidRDefault="00FC2F03" w:rsidP="00E66694">
      <w:pPr>
        <w:pStyle w:val="ListParagraph"/>
        <w:ind w:left="0" w:firstLine="709"/>
        <w:jc w:val="center"/>
        <w:rPr>
          <w:rFonts w:cs="Times New Roman"/>
          <w:b/>
          <w:szCs w:val="24"/>
          <w:lang w:val="en-US"/>
        </w:rPr>
      </w:pPr>
      <w:r>
        <w:rPr>
          <w:rFonts w:cs="Times New Roman"/>
          <w:b/>
          <w:szCs w:val="24"/>
          <w:lang w:val="en-US"/>
        </w:rPr>
        <w:t>References</w:t>
      </w:r>
    </w:p>
    <w:p w:rsidR="00FC2F03" w:rsidRPr="00E66694" w:rsidRDefault="00FC2F03" w:rsidP="00E66694">
      <w:pPr>
        <w:pStyle w:val="ListParagraph"/>
        <w:ind w:left="0" w:firstLine="709"/>
        <w:jc w:val="both"/>
        <w:rPr>
          <w:rFonts w:cs="Times New Roman"/>
          <w:szCs w:val="24"/>
          <w:lang w:val="en-US"/>
        </w:rPr>
      </w:pPr>
      <w:r w:rsidRPr="00E66694">
        <w:rPr>
          <w:rFonts w:cs="Times New Roman"/>
          <w:szCs w:val="24"/>
          <w:lang w:val="en-US"/>
        </w:rPr>
        <w:t>1.</w:t>
      </w:r>
      <w:r w:rsidRPr="00E66694">
        <w:rPr>
          <w:rFonts w:cs="Times New Roman"/>
          <w:szCs w:val="24"/>
          <w:lang w:val="en-US"/>
        </w:rPr>
        <w:tab/>
        <w:t>Mahonina E. A. Problemy vnedrenija integrirovannoj otchetnosti v Rossijskoj Federacii // Molodoj uchenyj. — 2014. — №20. — S. 340-343.</w:t>
      </w:r>
    </w:p>
    <w:p w:rsidR="00FC2F03" w:rsidRPr="00E66694" w:rsidRDefault="00FC2F03" w:rsidP="00E66694">
      <w:pPr>
        <w:pStyle w:val="ListParagraph"/>
        <w:ind w:left="0" w:firstLine="709"/>
        <w:jc w:val="both"/>
        <w:rPr>
          <w:rFonts w:cs="Times New Roman"/>
          <w:szCs w:val="24"/>
          <w:lang w:val="en-US"/>
        </w:rPr>
      </w:pPr>
      <w:r w:rsidRPr="00E66694">
        <w:rPr>
          <w:rFonts w:cs="Times New Roman"/>
          <w:szCs w:val="24"/>
          <w:lang w:val="en-US"/>
        </w:rPr>
        <w:t>2.</w:t>
      </w:r>
      <w:r w:rsidRPr="00E66694">
        <w:rPr>
          <w:rFonts w:cs="Times New Roman"/>
          <w:szCs w:val="24"/>
          <w:lang w:val="en-US"/>
        </w:rPr>
        <w:tab/>
        <w:t>Roshhektaeva U.Ju. Integrirovannaja otchjotnost' kak novyj uroven' razvitija korporativnoj otchetnosti // Nauchnyj vestnik Juzhnogo instituta menedzhmenta. 2016. № 1 (13). S. 40-44.</w:t>
      </w:r>
    </w:p>
    <w:p w:rsidR="00FC2F03" w:rsidRPr="00E66694" w:rsidRDefault="00FC2F03" w:rsidP="00E66694">
      <w:pPr>
        <w:pStyle w:val="ListParagraph"/>
        <w:ind w:left="0" w:firstLine="709"/>
        <w:jc w:val="both"/>
        <w:rPr>
          <w:rFonts w:cs="Times New Roman"/>
          <w:szCs w:val="24"/>
          <w:lang w:val="en-US"/>
        </w:rPr>
      </w:pPr>
      <w:r w:rsidRPr="00E66694">
        <w:rPr>
          <w:rFonts w:cs="Times New Roman"/>
          <w:szCs w:val="24"/>
          <w:lang w:val="en-US"/>
        </w:rPr>
        <w:t>3.</w:t>
      </w:r>
      <w:r w:rsidRPr="00E66694">
        <w:rPr>
          <w:rFonts w:cs="Times New Roman"/>
          <w:szCs w:val="24"/>
          <w:lang w:val="en-US"/>
        </w:rPr>
        <w:tab/>
      </w:r>
      <w:r w:rsidRPr="002D2F68">
        <w:rPr>
          <w:rFonts w:cs="Times New Roman"/>
          <w:szCs w:val="24"/>
          <w:lang w:val="en-US"/>
        </w:rPr>
        <w:t>Roshhektaev S.A. Vosproizvodstvo finansovyh resursov korporacii: sistemno-jevoljucionnyj podhod. monografija / S. A. Roshhektaev ; M-vo obrazovanija i nauki Rossijskoj Federacii, Kubanskij gos. un-t. Krasnodar, 2007.</w:t>
      </w:r>
    </w:p>
    <w:p w:rsidR="00FC2F03" w:rsidRDefault="00FC2F03" w:rsidP="00E66694">
      <w:pPr>
        <w:pStyle w:val="ListParagraph"/>
        <w:ind w:left="0" w:firstLine="709"/>
        <w:jc w:val="both"/>
        <w:rPr>
          <w:rFonts w:cs="Times New Roman"/>
          <w:szCs w:val="24"/>
          <w:lang w:val="en-US"/>
        </w:rPr>
      </w:pPr>
      <w:r w:rsidRPr="00E66694">
        <w:rPr>
          <w:rFonts w:cs="Times New Roman"/>
          <w:szCs w:val="24"/>
          <w:lang w:val="en-US"/>
        </w:rPr>
        <w:t>4.</w:t>
      </w:r>
      <w:r w:rsidRPr="00E66694">
        <w:rPr>
          <w:rFonts w:cs="Times New Roman"/>
          <w:szCs w:val="24"/>
          <w:lang w:val="en-US"/>
        </w:rPr>
        <w:tab/>
        <w:t>Integrirovannaja otchetnost' (RRS) [Jelektronnyj resurs]. – Rezhim dostu</w:t>
      </w:r>
      <w:r>
        <w:rPr>
          <w:rFonts w:cs="Times New Roman"/>
          <w:szCs w:val="24"/>
          <w:lang w:val="en-US"/>
        </w:rPr>
        <w:t xml:space="preserve">pa: </w:t>
      </w:r>
      <w:hyperlink r:id="rId8" w:history="1">
        <w:r w:rsidRPr="00C90A0A">
          <w:rPr>
            <w:rStyle w:val="Hyperlink"/>
            <w:color w:val="auto"/>
            <w:szCs w:val="24"/>
            <w:u w:val="none"/>
            <w:lang w:val="en-US"/>
          </w:rPr>
          <w:t>http://ir.org.ru/</w:t>
        </w:r>
      </w:hyperlink>
    </w:p>
    <w:p w:rsidR="00FC2F03" w:rsidRPr="00E66694" w:rsidRDefault="00FC2F03" w:rsidP="00E66694">
      <w:pPr>
        <w:pStyle w:val="ListParagraph"/>
        <w:ind w:left="0" w:firstLine="709"/>
        <w:jc w:val="both"/>
        <w:rPr>
          <w:rFonts w:cs="Times New Roman"/>
          <w:szCs w:val="24"/>
          <w:lang w:val="en-US"/>
        </w:rPr>
      </w:pPr>
      <w:r w:rsidRPr="00E66694">
        <w:rPr>
          <w:rFonts w:cs="Times New Roman"/>
          <w:szCs w:val="24"/>
          <w:lang w:val="en-US"/>
        </w:rPr>
        <w:t>5.</w:t>
      </w:r>
      <w:r w:rsidRPr="00E66694">
        <w:rPr>
          <w:rFonts w:cs="Times New Roman"/>
          <w:szCs w:val="24"/>
          <w:lang w:val="en-US"/>
        </w:rPr>
        <w:tab/>
        <w:t>The International Integrated Reporting Council (IIRC) [Jelektronnyj resurs]. – Rezhim dostupa: h</w:t>
      </w:r>
      <w:r>
        <w:rPr>
          <w:rFonts w:cs="Times New Roman"/>
          <w:szCs w:val="24"/>
          <w:lang w:val="en-US"/>
        </w:rPr>
        <w:t>ttp://integratedreporting.org/</w:t>
      </w:r>
    </w:p>
    <w:p w:rsidR="00FC2F03" w:rsidRPr="00E66694" w:rsidRDefault="00FC2F03" w:rsidP="00E66694">
      <w:pPr>
        <w:pStyle w:val="ListParagraph"/>
        <w:ind w:left="0" w:firstLine="709"/>
        <w:jc w:val="both"/>
        <w:rPr>
          <w:rFonts w:cs="Times New Roman"/>
          <w:szCs w:val="24"/>
          <w:lang w:val="en-US"/>
        </w:rPr>
      </w:pPr>
      <w:r w:rsidRPr="00E66694">
        <w:rPr>
          <w:rFonts w:cs="Times New Roman"/>
          <w:szCs w:val="24"/>
          <w:lang w:val="en-US"/>
        </w:rPr>
        <w:t>6.</w:t>
      </w:r>
      <w:r w:rsidRPr="00E66694">
        <w:rPr>
          <w:rFonts w:cs="Times New Roman"/>
          <w:szCs w:val="24"/>
          <w:lang w:val="en-US"/>
        </w:rPr>
        <w:tab/>
        <w:t>Global Standards for the world [Jelektronnyj resurs]. – Rezhim</w:t>
      </w:r>
      <w:r>
        <w:rPr>
          <w:rFonts w:cs="Times New Roman"/>
          <w:szCs w:val="24"/>
          <w:lang w:val="en-US"/>
        </w:rPr>
        <w:t xml:space="preserve"> dostupa: http://www.kpmg.com/</w:t>
      </w:r>
      <w:bookmarkStart w:id="0" w:name="_GoBack"/>
      <w:bookmarkEnd w:id="0"/>
    </w:p>
    <w:sectPr w:rsidR="00FC2F03" w:rsidRPr="00E66694" w:rsidSect="00A12D2D">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F03" w:rsidRDefault="00FC2F03" w:rsidP="00A12D2D">
      <w:r>
        <w:separator/>
      </w:r>
    </w:p>
  </w:endnote>
  <w:endnote w:type="continuationSeparator" w:id="0">
    <w:p w:rsidR="00FC2F03" w:rsidRDefault="00FC2F03" w:rsidP="00A12D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Lucida Sans">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03" w:rsidRDefault="00FC2F03">
    <w:pPr>
      <w:pStyle w:val="Footer"/>
    </w:pPr>
    <w:r w:rsidRPr="002D1EE9">
      <w:rPr>
        <w:rFonts w:cs="Times New Roman"/>
        <w:szCs w:val="24"/>
      </w:rPr>
      <w:t>http://ej.kubagro.ru/2017/06/pdf/</w:t>
    </w:r>
    <w:r>
      <w:rPr>
        <w:rFonts w:cs="Times New Roman"/>
        <w:szCs w:val="24"/>
        <w:lang w:val="en-US"/>
      </w:rPr>
      <w:t>79</w:t>
    </w:r>
    <w:r w:rsidRPr="002D1EE9">
      <w:rPr>
        <w:rFonts w:cs="Times New Roman"/>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F03" w:rsidRDefault="00FC2F03" w:rsidP="00A12D2D">
      <w:r>
        <w:separator/>
      </w:r>
    </w:p>
  </w:footnote>
  <w:footnote w:type="continuationSeparator" w:id="0">
    <w:p w:rsidR="00FC2F03" w:rsidRDefault="00FC2F03" w:rsidP="00A12D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03" w:rsidRDefault="00FC2F03" w:rsidP="00086E75">
    <w:pPr>
      <w:pStyle w:val="Header"/>
      <w:framePr w:wrap="around" w:vAnchor="text" w:hAnchor="margin" w:xAlign="right" w:y="1"/>
      <w:rPr>
        <w:rStyle w:val="PageNumber"/>
        <w:rFonts w:cs="Mangal"/>
      </w:rPr>
    </w:pPr>
    <w:r>
      <w:rPr>
        <w:rStyle w:val="PageNumber"/>
        <w:rFonts w:cs="Mangal"/>
      </w:rPr>
      <w:fldChar w:fldCharType="begin"/>
    </w:r>
    <w:r>
      <w:rPr>
        <w:rStyle w:val="PageNumber"/>
        <w:rFonts w:cs="Mangal"/>
      </w:rPr>
      <w:instrText xml:space="preserve">PAGE  </w:instrText>
    </w:r>
    <w:r>
      <w:rPr>
        <w:rStyle w:val="PageNumber"/>
        <w:rFonts w:cs="Mangal"/>
      </w:rPr>
      <w:fldChar w:fldCharType="end"/>
    </w:r>
  </w:p>
  <w:p w:rsidR="00FC2F03" w:rsidRDefault="00FC2F03" w:rsidP="00611AC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03" w:rsidRPr="00611AC1" w:rsidRDefault="00FC2F03" w:rsidP="00086E75">
    <w:pPr>
      <w:pStyle w:val="Header"/>
      <w:framePr w:wrap="around" w:vAnchor="text" w:hAnchor="margin" w:xAlign="right" w:y="1"/>
      <w:rPr>
        <w:rStyle w:val="PageNumber"/>
        <w:rFonts w:cs="Mangal"/>
        <w:sz w:val="28"/>
        <w:szCs w:val="28"/>
      </w:rPr>
    </w:pPr>
    <w:r w:rsidRPr="00611AC1">
      <w:rPr>
        <w:rStyle w:val="PageNumber"/>
        <w:rFonts w:cs="Mangal"/>
        <w:sz w:val="28"/>
        <w:szCs w:val="28"/>
      </w:rPr>
      <w:fldChar w:fldCharType="begin"/>
    </w:r>
    <w:r w:rsidRPr="00611AC1">
      <w:rPr>
        <w:rStyle w:val="PageNumber"/>
        <w:rFonts w:cs="Mangal"/>
        <w:sz w:val="28"/>
        <w:szCs w:val="28"/>
      </w:rPr>
      <w:instrText xml:space="preserve">PAGE  </w:instrText>
    </w:r>
    <w:r w:rsidRPr="00611AC1">
      <w:rPr>
        <w:rStyle w:val="PageNumber"/>
        <w:rFonts w:cs="Mangal"/>
        <w:sz w:val="28"/>
        <w:szCs w:val="28"/>
      </w:rPr>
      <w:fldChar w:fldCharType="separate"/>
    </w:r>
    <w:r>
      <w:rPr>
        <w:rStyle w:val="PageNumber"/>
        <w:rFonts w:cs="Mangal"/>
        <w:noProof/>
        <w:sz w:val="28"/>
        <w:szCs w:val="28"/>
      </w:rPr>
      <w:t>11</w:t>
    </w:r>
    <w:r w:rsidRPr="00611AC1">
      <w:rPr>
        <w:rStyle w:val="PageNumber"/>
        <w:rFonts w:cs="Mangal"/>
        <w:sz w:val="28"/>
        <w:szCs w:val="28"/>
      </w:rPr>
      <w:fldChar w:fldCharType="end"/>
    </w:r>
  </w:p>
  <w:p w:rsidR="00FC2F03" w:rsidRPr="00611AC1" w:rsidRDefault="00FC2F03" w:rsidP="00611AC1">
    <w:pPr>
      <w:pStyle w:val="Header"/>
      <w:ind w:right="360"/>
      <w:rPr>
        <w:lang w:val="en-US"/>
      </w:rPr>
    </w:pPr>
    <w:r w:rsidRPr="00D6572B">
      <w:rPr>
        <w:rFonts w:cs="Times New Roman"/>
        <w:szCs w:val="24"/>
      </w:rPr>
      <w:t>Научный журнал КубГАУ, №130(06), 2017 года</w:t>
    </w:r>
  </w:p>
  <w:p w:rsidR="00FC2F03" w:rsidRDefault="00FC2F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F0F16"/>
    <w:multiLevelType w:val="hybridMultilevel"/>
    <w:tmpl w:val="01F43C20"/>
    <w:lvl w:ilvl="0" w:tplc="E1FE752C">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
    <w:nsid w:val="3FC953A9"/>
    <w:multiLevelType w:val="hybridMultilevel"/>
    <w:tmpl w:val="AFCA77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1CD314B"/>
    <w:multiLevelType w:val="hybridMultilevel"/>
    <w:tmpl w:val="93A48368"/>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6D063F78"/>
    <w:multiLevelType w:val="hybridMultilevel"/>
    <w:tmpl w:val="63542006"/>
    <w:lvl w:ilvl="0" w:tplc="E1FE75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63A3"/>
    <w:rsid w:val="0001344D"/>
    <w:rsid w:val="0007176F"/>
    <w:rsid w:val="0008413F"/>
    <w:rsid w:val="00086E75"/>
    <w:rsid w:val="000A3832"/>
    <w:rsid w:val="000C48F5"/>
    <w:rsid w:val="00112480"/>
    <w:rsid w:val="00112F02"/>
    <w:rsid w:val="00157B96"/>
    <w:rsid w:val="002373DE"/>
    <w:rsid w:val="002B4E2A"/>
    <w:rsid w:val="002D1EE9"/>
    <w:rsid w:val="002D2F68"/>
    <w:rsid w:val="002E06C8"/>
    <w:rsid w:val="00385A98"/>
    <w:rsid w:val="003B4F40"/>
    <w:rsid w:val="003B7936"/>
    <w:rsid w:val="003C3482"/>
    <w:rsid w:val="003C3D52"/>
    <w:rsid w:val="00404725"/>
    <w:rsid w:val="0044621C"/>
    <w:rsid w:val="004A5489"/>
    <w:rsid w:val="004B4B83"/>
    <w:rsid w:val="00514408"/>
    <w:rsid w:val="00531424"/>
    <w:rsid w:val="005845E3"/>
    <w:rsid w:val="00594D94"/>
    <w:rsid w:val="005A7238"/>
    <w:rsid w:val="005D01B8"/>
    <w:rsid w:val="00611AC1"/>
    <w:rsid w:val="006C3885"/>
    <w:rsid w:val="00771381"/>
    <w:rsid w:val="007D6D4F"/>
    <w:rsid w:val="008674CE"/>
    <w:rsid w:val="00A12D2D"/>
    <w:rsid w:val="00B23CC7"/>
    <w:rsid w:val="00B742FC"/>
    <w:rsid w:val="00C263A3"/>
    <w:rsid w:val="00C637A8"/>
    <w:rsid w:val="00C90A0A"/>
    <w:rsid w:val="00CE0C1A"/>
    <w:rsid w:val="00D01545"/>
    <w:rsid w:val="00D57E3D"/>
    <w:rsid w:val="00D6572B"/>
    <w:rsid w:val="00DD2766"/>
    <w:rsid w:val="00DF5ED4"/>
    <w:rsid w:val="00E545D9"/>
    <w:rsid w:val="00E66694"/>
    <w:rsid w:val="00E709A5"/>
    <w:rsid w:val="00F27037"/>
    <w:rsid w:val="00FC2F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3A3"/>
    <w:pPr>
      <w:widowControl w:val="0"/>
      <w:suppressAutoHyphens/>
      <w:autoSpaceDN w:val="0"/>
    </w:pPr>
    <w:rPr>
      <w:rFonts w:ascii="Times New Roman" w:eastAsia="SimSun" w:hAnsi="Times New Roman" w:cs="Lucida Sans"/>
      <w:kern w:val="3"/>
      <w:sz w:val="24"/>
      <w:szCs w:val="24"/>
      <w:lang w:eastAsia="zh-C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C263A3"/>
    <w:pPr>
      <w:widowControl w:val="0"/>
      <w:suppressAutoHyphens/>
      <w:autoSpaceDN w:val="0"/>
    </w:pPr>
    <w:rPr>
      <w:rFonts w:ascii="Times New Roman" w:eastAsia="SimSun" w:hAnsi="Times New Roman" w:cs="Lucida Sans"/>
      <w:kern w:val="3"/>
      <w:sz w:val="24"/>
      <w:szCs w:val="24"/>
      <w:lang w:eastAsia="zh-CN" w:bidi="hi-IN"/>
    </w:rPr>
  </w:style>
  <w:style w:type="paragraph" w:styleId="ListParagraph">
    <w:name w:val="List Paragraph"/>
    <w:basedOn w:val="Normal"/>
    <w:uiPriority w:val="99"/>
    <w:qFormat/>
    <w:rsid w:val="0007176F"/>
    <w:pPr>
      <w:ind w:left="720"/>
      <w:contextualSpacing/>
    </w:pPr>
    <w:rPr>
      <w:rFonts w:cs="Mangal"/>
      <w:szCs w:val="21"/>
    </w:rPr>
  </w:style>
  <w:style w:type="paragraph" w:styleId="Header">
    <w:name w:val="header"/>
    <w:basedOn w:val="Normal"/>
    <w:link w:val="HeaderChar"/>
    <w:uiPriority w:val="99"/>
    <w:rsid w:val="00A12D2D"/>
    <w:pPr>
      <w:tabs>
        <w:tab w:val="center" w:pos="4677"/>
        <w:tab w:val="right" w:pos="9355"/>
      </w:tabs>
    </w:pPr>
    <w:rPr>
      <w:rFonts w:cs="Mangal"/>
      <w:szCs w:val="21"/>
    </w:rPr>
  </w:style>
  <w:style w:type="character" w:customStyle="1" w:styleId="HeaderChar">
    <w:name w:val="Header Char"/>
    <w:basedOn w:val="DefaultParagraphFont"/>
    <w:link w:val="Header"/>
    <w:uiPriority w:val="99"/>
    <w:locked/>
    <w:rsid w:val="00A12D2D"/>
    <w:rPr>
      <w:rFonts w:ascii="Times New Roman" w:eastAsia="SimSun" w:hAnsi="Times New Roman" w:cs="Mangal"/>
      <w:kern w:val="3"/>
      <w:sz w:val="21"/>
      <w:szCs w:val="21"/>
      <w:lang w:eastAsia="zh-CN" w:bidi="hi-IN"/>
    </w:rPr>
  </w:style>
  <w:style w:type="paragraph" w:styleId="Footer">
    <w:name w:val="footer"/>
    <w:basedOn w:val="Normal"/>
    <w:link w:val="FooterChar"/>
    <w:uiPriority w:val="99"/>
    <w:rsid w:val="00A12D2D"/>
    <w:pPr>
      <w:tabs>
        <w:tab w:val="center" w:pos="4677"/>
        <w:tab w:val="right" w:pos="9355"/>
      </w:tabs>
    </w:pPr>
    <w:rPr>
      <w:rFonts w:cs="Mangal"/>
      <w:szCs w:val="21"/>
    </w:rPr>
  </w:style>
  <w:style w:type="character" w:customStyle="1" w:styleId="FooterChar">
    <w:name w:val="Footer Char"/>
    <w:basedOn w:val="DefaultParagraphFont"/>
    <w:link w:val="Footer"/>
    <w:uiPriority w:val="99"/>
    <w:locked/>
    <w:rsid w:val="00A12D2D"/>
    <w:rPr>
      <w:rFonts w:ascii="Times New Roman" w:eastAsia="SimSun" w:hAnsi="Times New Roman" w:cs="Mangal"/>
      <w:kern w:val="3"/>
      <w:sz w:val="21"/>
      <w:szCs w:val="21"/>
      <w:lang w:eastAsia="zh-CN" w:bidi="hi-IN"/>
    </w:rPr>
  </w:style>
  <w:style w:type="table" w:styleId="TableGrid">
    <w:name w:val="Table Grid"/>
    <w:basedOn w:val="TableNormal"/>
    <w:uiPriority w:val="99"/>
    <w:rsid w:val="00A12D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E66694"/>
    <w:pPr>
      <w:widowControl w:val="0"/>
      <w:autoSpaceDE w:val="0"/>
      <w:autoSpaceDN w:val="0"/>
      <w:adjustRightInd w:val="0"/>
      <w:ind w:firstLine="720"/>
    </w:pPr>
    <w:rPr>
      <w:rFonts w:ascii="Arial" w:eastAsia="Times New Roman" w:hAnsi="Arial" w:cs="Arial"/>
      <w:sz w:val="20"/>
      <w:szCs w:val="20"/>
    </w:rPr>
  </w:style>
  <w:style w:type="character" w:styleId="Hyperlink">
    <w:name w:val="Hyperlink"/>
    <w:basedOn w:val="DefaultParagraphFont"/>
    <w:uiPriority w:val="99"/>
    <w:rsid w:val="00C90A0A"/>
    <w:rPr>
      <w:rFonts w:cs="Times New Roman"/>
      <w:color w:val="0563C1"/>
      <w:u w:val="single"/>
    </w:rPr>
  </w:style>
  <w:style w:type="character" w:styleId="PageNumber">
    <w:name w:val="page number"/>
    <w:basedOn w:val="DefaultParagraphFont"/>
    <w:uiPriority w:val="99"/>
    <w:rsid w:val="00611AC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r.org.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E61BCDE8108F139F9D5148062F463158B45D71E7502958CB9970C09C9EDD36D4FBD576D1EA502488X3u0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323</TotalTime>
  <Pages>11</Pages>
  <Words>2933</Words>
  <Characters>16724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Прищепа</dc:creator>
  <cp:keywords/>
  <dc:description/>
  <cp:lastModifiedBy>Sergey</cp:lastModifiedBy>
  <cp:revision>20</cp:revision>
  <dcterms:created xsi:type="dcterms:W3CDTF">2016-11-12T15:08:00Z</dcterms:created>
  <dcterms:modified xsi:type="dcterms:W3CDTF">2017-06-22T14:06:00Z</dcterms:modified>
</cp:coreProperties>
</file>