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УДК 66.097.3</w:t>
            </w:r>
          </w:p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UDC 66.097.3</w:t>
            </w:r>
          </w:p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31A24" w:rsidRPr="00411D61" w:rsidRDefault="00631A24" w:rsidP="0041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Technical science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1D61">
              <w:rPr>
                <w:rFonts w:ascii="Times New Roman" w:hAnsi="Times New Roman"/>
                <w:b/>
                <w:sz w:val="20"/>
                <w:szCs w:val="20"/>
              </w:rPr>
              <w:t>ТЕОРЕТИЧЕСКИЕ ИССЛЕДОВАНИЯ СИСТЕМЫ ТЕПЛОСНАБЖЕНИЯ ЖИВОТНОВОДЧЕСКОГО КОМПЛЕКСА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THEORETICAL STUDIES OF THE HEATING SYSTEM OF A CATTLE-BREEDING COMPLEX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Медяков Андрей Андреевич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к.т.н.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 xml:space="preserve">SPIN-код=5189-6826, 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 707819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Medyakov Andrei Andreevich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SPIN-code= 5189-6826, 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 707819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Онучин Евгений Михайлович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к.т.н.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411D61">
              <w:rPr>
                <w:rFonts w:ascii="Times New Roman" w:hAnsi="Times New Roman"/>
                <w:sz w:val="20"/>
                <w:szCs w:val="20"/>
              </w:rPr>
              <w:t>-код=5242-8873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AuthorID</w:t>
            </w:r>
            <w:r w:rsidRPr="00411D61">
              <w:rPr>
                <w:rFonts w:ascii="Times New Roman" w:hAnsi="Times New Roman"/>
                <w:sz w:val="20"/>
                <w:szCs w:val="20"/>
              </w:rPr>
              <w:t xml:space="preserve">=400607 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Style w:val="shorttext"/>
                <w:rFonts w:ascii="Times New Roman" w:hAnsi="Times New Roman"/>
                <w:sz w:val="20"/>
                <w:szCs w:val="20"/>
                <w:lang/>
              </w:rPr>
              <w:t>Onuchin Evgeniy Mikhailovich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SPIN-code=5242-8873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AuthorID=400607 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Каменских Александр Дмитриевич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ст. преподаватель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SPIN-код=2689-1168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 611232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Style w:val="shorttext"/>
                <w:rFonts w:ascii="Times New Roman" w:hAnsi="Times New Roman"/>
                <w:sz w:val="20"/>
                <w:szCs w:val="20"/>
                <w:lang/>
              </w:rPr>
              <w:t>Kamensky Alexander Dmitrievich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SPIN-code=2689-1168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AuthorID=611232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Ласточкин Денис Михайлович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к.т.н.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411D61">
              <w:rPr>
                <w:rFonts w:ascii="Times New Roman" w:hAnsi="Times New Roman"/>
                <w:sz w:val="20"/>
                <w:szCs w:val="20"/>
              </w:rPr>
              <w:t>-код=7597-7487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Scopus ID= 57190291451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Lastochkin Denis Mihajlovich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SPIN-code=7597-7487</w:t>
            </w: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Scopus ID= 57190291451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Свечников Владимир Николаевич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ст. преподаватель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 xml:space="preserve">SPIN-код= 5168-8533, 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 846273</w:t>
            </w: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Style w:val="shorttext"/>
                <w:rFonts w:ascii="Times New Roman" w:hAnsi="Times New Roman"/>
                <w:sz w:val="20"/>
                <w:szCs w:val="20"/>
                <w:lang/>
              </w:rPr>
              <w:t>Svechnikov Vladimir Nikolaevich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SPIN-code= 5168-8533, 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AuthorID=846273</w:t>
            </w:r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11D61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университет, Йошкар-Ола, Россия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MedyakovAA@volgatech.net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8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OnuchinEM</w:t>
              </w:r>
              <w:r w:rsidRPr="00411D6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volgatech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.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9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KamenskihAD@volgatech.net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10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LastochkinDM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@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volgatech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.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Style w:val="Hyperlink"/>
                <w:rFonts w:ascii="Times New Roman" w:hAnsi="Times New Roman"/>
                <w:i/>
                <w:color w:val="auto"/>
                <w:sz w:val="20"/>
                <w:szCs w:val="20"/>
              </w:rPr>
            </w:pPr>
            <w:hyperlink r:id="rId11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SvechnikovVN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@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volgatech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.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11D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Volga</w:t>
              </w:r>
            </w:smartTag>
            <w:r w:rsidRPr="00411D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11D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11D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11D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11D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Technology, </w:t>
            </w:r>
            <w:smartTag w:uri="urn:schemas-microsoft-com:office:smarttags" w:element="place">
              <w:smartTag w:uri="urn:schemas-microsoft-com:office:smarttags" w:element="City">
                <w:r w:rsidRPr="00411D6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Ioshkar-Ola</w:t>
                </w:r>
              </w:smartTag>
              <w:r w:rsidRPr="00411D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11D6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2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MedyakovAA@volgatech.net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3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OnuchinEM</w:t>
              </w:r>
              <w:r w:rsidRPr="00411D6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@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4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KamenskihAD@volgatech.net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5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LastochkinDM@volgatech.net</w:t>
              </w:r>
            </w:hyperlink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6" w:history="1"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SvechnikovVN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@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volgatech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</w:rPr>
                <w:t>.</w:t>
              </w:r>
              <w:r w:rsidRPr="00411D61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lang w:val="en-US"/>
                </w:rPr>
                <w:t>net</w:t>
              </w:r>
            </w:hyperlink>
          </w:p>
        </w:tc>
      </w:tr>
      <w:tr w:rsidR="00631A24" w:rsidRPr="00411D61" w:rsidTr="00AD5AE9"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>В статье приводится описание процесса моделирования работы системы теплоснабжения животноводческого комплекса. Представлены графики, отражающие влияние технологических параметров системы теплоснабжения животноводческого комплекса с каталитическим устройством сжигания на параметры энергетической эффективности системы и на параметры, характеризующие стабильность температурных услов</w:t>
            </w:r>
            <w:r>
              <w:rPr>
                <w:rFonts w:ascii="Times New Roman" w:hAnsi="Times New Roman"/>
                <w:sz w:val="20"/>
                <w:szCs w:val="20"/>
              </w:rPr>
              <w:t>ий в животноводческом комплексе</w:t>
            </w:r>
          </w:p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The article describes the modeling process of the heating system operation of a livestock-breeding complex. It presents graphs reflecting the influence of technological parameters of heat supply system of cattle-breeding complex with a catalytic combustion device on the parameters of energy efficiency of the system and the parameters characterizing the stability of the temperature conditions in the livestock sector</w:t>
            </w:r>
          </w:p>
        </w:tc>
      </w:tr>
      <w:tr w:rsidR="00631A24" w:rsidRPr="00411D61" w:rsidTr="00AD5AE9">
        <w:trPr>
          <w:trHeight w:val="722"/>
        </w:trPr>
        <w:tc>
          <w:tcPr>
            <w:tcW w:w="4643" w:type="dxa"/>
          </w:tcPr>
          <w:p w:rsidR="00631A24" w:rsidRPr="00FA2D86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1D61">
              <w:rPr>
                <w:rFonts w:ascii="Times New Roman" w:hAnsi="Times New Roman"/>
                <w:sz w:val="20"/>
                <w:szCs w:val="20"/>
              </w:rPr>
              <w:t xml:space="preserve">Ключевые слова: КАТАЛИТИЧЕСКОЕ СЖИГАНИЕ, СИСТЕМА ТЕПЛОСНАБЖЕНИЯ, МАТЕМАТИЧЕСКОЕ МОДЕЛИРОВАНИЕ, </w:t>
            </w:r>
            <w:r>
              <w:rPr>
                <w:rFonts w:ascii="Times New Roman" w:hAnsi="Times New Roman"/>
                <w:sz w:val="20"/>
                <w:szCs w:val="20"/>
              </w:rPr>
              <w:t>ЭНЕРГЕТИЧЕСКАЯ ЭФФЕКТИВНОСТЬ</w:t>
            </w:r>
          </w:p>
          <w:p w:rsidR="00631A24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31A24" w:rsidRPr="00FA2D86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68</w:t>
            </w:r>
          </w:p>
        </w:tc>
        <w:tc>
          <w:tcPr>
            <w:tcW w:w="4643" w:type="dxa"/>
          </w:tcPr>
          <w:p w:rsidR="00631A24" w:rsidRPr="00411D61" w:rsidRDefault="00631A24" w:rsidP="00411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1D61">
              <w:rPr>
                <w:rFonts w:ascii="Times New Roman" w:hAnsi="Times New Roman"/>
                <w:sz w:val="20"/>
                <w:szCs w:val="20"/>
                <w:lang w:val="en-US"/>
              </w:rPr>
              <w:t>Keywords: CATALYTIC INCINERATION, HEAT SUPPLY SYSTEM, MATHEMATICAL MODELING, ENERGY EFFICIENCY</w:t>
            </w:r>
          </w:p>
        </w:tc>
      </w:tr>
    </w:tbl>
    <w:p w:rsidR="00631A24" w:rsidRDefault="00631A24" w:rsidP="00EB10A5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631A24" w:rsidRPr="00732D42" w:rsidRDefault="00631A24" w:rsidP="00EB10A5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32D42">
        <w:rPr>
          <w:rFonts w:ascii="Times New Roman" w:hAnsi="Times New Roman"/>
          <w:b/>
          <w:sz w:val="28"/>
          <w:szCs w:val="28"/>
          <w:lang w:eastAsia="ru-RU"/>
        </w:rPr>
        <w:t>Введение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>Предприятия сельскохозяйственного комплекса являются лидерами по объему потребляемой энергии. Значительную долю в общем объеме энергопотребления, занимают объекты, занимающиеся разведением и содержанием животны</w:t>
      </w:r>
      <w:bookmarkStart w:id="0" w:name="_GoBack"/>
      <w:bookmarkEnd w:id="0"/>
      <w:r w:rsidRPr="00593725">
        <w:rPr>
          <w:rFonts w:ascii="Times New Roman" w:hAnsi="Times New Roman"/>
          <w:sz w:val="28"/>
          <w:szCs w:val="28"/>
          <w:lang w:eastAsia="ru-RU"/>
        </w:rPr>
        <w:t>х. В среднем на отопление и вентиляцию животноводческого комплекса на 400 голов КРС расходуется 362 тыс. кВт•ч в год. Однако, существующие технологии и оборудование, применяемые на крупных фермах, не рассчитаны под специфику работы семейных ферм.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 xml:space="preserve">Для комплексного решения проблем очистки вентилируемого воздуха, утилизации органических отходов жизнедеятельности животных и повышения эффективности семейных молочных ферм с биогазовыми установками целесообразно применение устройства каталитического окисления биогаза. 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>Работа устройства каталитического окисления основана на принципе каталитического горения (окисление топлива на поверхности катализатора).</w:t>
      </w:r>
    </w:p>
    <w:p w:rsidR="00631A24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>Устройства каталитического окисления биогаза обеспечивают полноту сгорания биогаза и уменьшение количества вредных выбросов в атмосферу, за счет снижения температуры протекания реакции. При удалении из помещения воздуха с вредными веществами, через устройство каталитического окисления биогаза, происходит его очистка, а после дымовые газы можно использовать для обогрева помещений. [1-10]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b/>
          <w:sz w:val="28"/>
          <w:szCs w:val="28"/>
        </w:rPr>
        <w:t xml:space="preserve">Теоретические исследования. </w:t>
      </w:r>
      <w:r w:rsidRPr="00593725">
        <w:rPr>
          <w:rFonts w:ascii="Times New Roman" w:hAnsi="Times New Roman"/>
          <w:sz w:val="28"/>
          <w:szCs w:val="28"/>
        </w:rPr>
        <w:t>При исследовании процессов, протекающих при функционировании системы теплоснабжения животноводческого комплекса с устройством каталитического окисления биогаза, выбран метод математического моделирования, описывающий: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1) состояние объекта, на который оказывает воздействие система отопления с устройством каталитического окисления биогаза;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2) воздействия, оказываемые системой теплоснабжения с устройством каталитического окисления биогаза на объект теплоснабжения.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Существенным факторами, влияющим на эффективность функционирования технико-технологических систем отопления на базе устройств каталитического окисления биогаза для теплоснабжения животноводческого комплекса, являются [11]: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– обеспечение оптимальной и равномерной температуры в животноводческом комплексе для жизнедеятельности, роста и размножения продуктивных пород сельскохозяйственных животных;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– обеспечение минимального потребления биогенного топлива технико-технологической системой для теплоснабжения животноводческого комплекса (обеспечения условия энергетической эффективности системы теплоснабжения).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93725">
        <w:rPr>
          <w:rFonts w:ascii="Times New Roman" w:hAnsi="Times New Roman"/>
          <w:sz w:val="28"/>
          <w:szCs w:val="28"/>
        </w:rPr>
        <w:t>Для оптимизации конструктивно-технологических параметров технико-технологических систем с устройством каталитического окисления биогенных газообразных топлив для теплоснабжения животноводческого комплекса, необходимо исследовать нестационарный процесс передачи тепловой энергии от системы теплоснабжения к помещению животноводческого комплекса.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Для упрощения описания нестационарных процессов передачи тепловой энергии при функционировании устройства каталитического окисления предлагается использовать метод элементарных балансов. Суть метода в том, что объем помещения животноводческого комплекса разбивается на элементарные геометрические формы, в пределах каждой из которых параметры приближенно принимаются одинаковыми. Величины тепловых потоков, средние за элементарный промежуток времени, являются пропорциональными среднему для этого промежутка температурному градиенту при условии равномерности изменения температур в течение элементарного промежутка времени, а повышение теплосодержания объема пропорциональным повышению его температуры. Это позволяет представить задачу в виде системы уравнений, решение которой представляет собой состояние системы на следующем элементарном промежутке времени [11,12].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 xml:space="preserve">Таким образом, принимаются следующие допущения: 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– помещение животноводческого комплекса заменяется дискретной моделью;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– модель времени является дискретной с шагом в интервал моделирования;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– состояние объекта (животноводческого комплекса) изменяется равномерно за интервал моделирования.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В результате помещение животноводческого комплекса и процесс передачи тепловой энергии при обогреве представляются в соответствии со схемой, представленной на рисунке 1.</w:t>
      </w:r>
      <w:r>
        <w:rPr>
          <w:rFonts w:ascii="Times New Roman" w:hAnsi="Times New Roman"/>
          <w:sz w:val="28"/>
          <w:szCs w:val="28"/>
        </w:rPr>
        <w:t xml:space="preserve"> В соответствии со схемой процесс обогрева животноводческого комплекса осуществляется следующим образом. В систему вентиляции подается приточный воздух, который предварительно подогрет в каталитическом устройстве сжигания. Затем воздух распределяется по помещению через централизованную систему воздухораспределения и подается в помещение (1). Схема воздухораспределения между ячейками, принятая при моделировании, показана стрелками. Удаление воздуха из помещения производится через вентиляционное отверстие в крыше здания (2).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В соответствии с принятыми допущениями имитационная математическая модель функционирования технико-технологической системы для теплоснабжения животноводческого комплекса была реализована на ЭВМ в среде Microsoft Office Excel с использование возможностей встроенного пакета Visual Basic for Application. Внешний вид математической модели представлен на рисунке 2.</w:t>
      </w:r>
    </w:p>
    <w:p w:rsidR="00631A24" w:rsidRPr="00593725" w:rsidRDefault="00631A24" w:rsidP="0059372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alt="рисунок1 Схема" style="width:466.8pt;height:228pt;visibility:visible">
            <v:imagedata r:id="rId17" o:title=""/>
          </v:shape>
        </w:pict>
      </w:r>
    </w:p>
    <w:p w:rsidR="00631A24" w:rsidRPr="00593725" w:rsidRDefault="00631A24" w:rsidP="00593725">
      <w:pPr>
        <w:spacing w:after="0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 xml:space="preserve">Рисунок 1 – </w:t>
      </w:r>
      <w:r w:rsidRPr="00834086">
        <w:rPr>
          <w:rFonts w:ascii="Times New Roman" w:hAnsi="Times New Roman"/>
          <w:sz w:val="28"/>
          <w:szCs w:val="28"/>
        </w:rPr>
        <w:t>Общая схема процесса теплоснабжения животноводческого комплекса: 1 – место подачи нагретого воздуха в комплекс; 2 – место выхода воздуха из комплекса</w:t>
      </w:r>
    </w:p>
    <w:p w:rsidR="00631A24" w:rsidRPr="00593725" w:rsidRDefault="00631A24" w:rsidP="0059372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445.8pt;height:361.2pt;visibility:visible">
            <v:imagedata r:id="rId18" o:title="" cropbottom="25229f" cropright="2843f"/>
          </v:shape>
        </w:pict>
      </w:r>
    </w:p>
    <w:p w:rsidR="00631A24" w:rsidRDefault="00631A24" w:rsidP="00DC5652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 xml:space="preserve">Рисунок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593725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C05151">
        <w:rPr>
          <w:rFonts w:ascii="Times New Roman" w:hAnsi="Times New Roman"/>
          <w:sz w:val="28"/>
          <w:szCs w:val="28"/>
        </w:rPr>
        <w:t>Внешний вид математической модели процесса теплоснабжения животноводческого комплекса</w:t>
      </w:r>
    </w:p>
    <w:p w:rsidR="00631A24" w:rsidRPr="00070152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На разработанной математической модели была проведена серия вычислительных экспериментов, в рамках которых моделировался суточный цикл работы системы теплоснабжения животноводческого комплекса при температуре наружного воздуха -30</w:t>
      </w:r>
      <w:r w:rsidRPr="00593725">
        <w:rPr>
          <w:rFonts w:ascii="Times New Roman" w:hAnsi="Times New Roman"/>
          <w:sz w:val="28"/>
          <w:szCs w:val="28"/>
          <w:vertAlign w:val="superscript"/>
        </w:rPr>
        <w:t>о</w:t>
      </w:r>
      <w:r w:rsidRPr="00593725">
        <w:rPr>
          <w:rFonts w:ascii="Times New Roman" w:hAnsi="Times New Roman"/>
          <w:sz w:val="28"/>
          <w:szCs w:val="28"/>
        </w:rPr>
        <w:t>С. В качестве входных факторов вычислительного эксперимента на основании априорного ранжирования были приняты «температура подаваемого воздуха», «расход подаваемого воздуха» на одно животное. Уровни варьирования выбранных входных факторов представлены в таблице 1.</w:t>
      </w:r>
    </w:p>
    <w:p w:rsidR="00631A24" w:rsidRDefault="00631A24" w:rsidP="00A5302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Для полученных значений отклика средней температуры внутри животноводческого комплекса (СрТ1)</w:t>
      </w:r>
      <w:r>
        <w:rPr>
          <w:rFonts w:ascii="Times New Roman" w:hAnsi="Times New Roman"/>
          <w:sz w:val="28"/>
          <w:szCs w:val="28"/>
        </w:rPr>
        <w:t xml:space="preserve"> и среднего квадратичного отклонения температуры от средней внутри комплекса (СКО1) </w:t>
      </w:r>
      <w:r w:rsidRPr="00593725">
        <w:rPr>
          <w:rFonts w:ascii="Times New Roman" w:hAnsi="Times New Roman"/>
          <w:sz w:val="28"/>
          <w:szCs w:val="28"/>
        </w:rPr>
        <w:t>построены графики, представленные на рисунке 3.</w:t>
      </w:r>
      <w:r>
        <w:rPr>
          <w:rFonts w:ascii="Times New Roman" w:hAnsi="Times New Roman"/>
          <w:sz w:val="28"/>
          <w:szCs w:val="28"/>
        </w:rPr>
        <w:t xml:space="preserve"> При увеличении температуры подаваемого воздуха в 2 раза незначительно снижаются (менее 1%) средняя температура воздуха и среднее квадратичное отклонение температуры от средней внутри животноводческого комплекса. При увеличении расхода воздуха на 27 % увеличивается средняя температура воздуха на 3,3 % и среднее квадратичное отклонение температуры от средней на 9,1%  внутри животноводческого комплекса.</w:t>
      </w:r>
    </w:p>
    <w:p w:rsidR="00631A24" w:rsidRDefault="00631A24" w:rsidP="00593725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31A24" w:rsidRPr="00593725" w:rsidRDefault="00631A24" w:rsidP="00593725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732D42">
        <w:rPr>
          <w:rFonts w:ascii="Times New Roman" w:hAnsi="Times New Roman"/>
          <w:sz w:val="28"/>
          <w:szCs w:val="28"/>
          <w:lang w:eastAsia="ru-RU"/>
        </w:rPr>
        <w:t>Таблица 1 –</w:t>
      </w:r>
      <w:r w:rsidRPr="00593725">
        <w:rPr>
          <w:rFonts w:ascii="Times New Roman" w:hAnsi="Times New Roman"/>
          <w:sz w:val="28"/>
          <w:szCs w:val="28"/>
        </w:rPr>
        <w:t>Уровни варьирования количественных входных факторов вычислительного эксперимента в исследуемой области</w:t>
      </w:r>
    </w:p>
    <w:tbl>
      <w:tblPr>
        <w:tblW w:w="8825" w:type="dxa"/>
        <w:jc w:val="center"/>
        <w:tblLayout w:type="fixed"/>
        <w:tblLook w:val="01E0"/>
      </w:tblPr>
      <w:tblGrid>
        <w:gridCol w:w="618"/>
        <w:gridCol w:w="3260"/>
        <w:gridCol w:w="989"/>
        <w:gridCol w:w="989"/>
        <w:gridCol w:w="990"/>
        <w:gridCol w:w="989"/>
        <w:gridCol w:w="990"/>
      </w:tblGrid>
      <w:tr w:rsidR="00631A24" w:rsidRPr="00820A3D" w:rsidTr="00167078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Фактор</w:t>
            </w:r>
          </w:p>
        </w:tc>
        <w:tc>
          <w:tcPr>
            <w:tcW w:w="4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Уровни варьирования</w:t>
            </w:r>
          </w:p>
        </w:tc>
      </w:tr>
      <w:tr w:rsidR="00631A24" w:rsidRPr="00820A3D" w:rsidTr="00167078">
        <w:trPr>
          <w:jc w:val="center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0A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631A24" w:rsidRPr="00820A3D" w:rsidTr="00167078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 xml:space="preserve">Температура подаваемого воздуха, </w:t>
            </w:r>
            <w:r w:rsidRPr="00820A3D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820A3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31A24" w:rsidRPr="00820A3D" w:rsidTr="00167078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Расход подаваемого воздуха, м</w:t>
            </w:r>
            <w:r w:rsidRPr="00820A3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820A3D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24" w:rsidRPr="00820A3D" w:rsidRDefault="00631A24" w:rsidP="005937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3D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</w:tbl>
    <w:p w:rsidR="00631A24" w:rsidRDefault="00631A24" w:rsidP="00A5302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31A24" w:rsidRDefault="00631A24" w:rsidP="00A5302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Для полученных значений отклика средней температуры внутри животноводческого комплекса (СрТ1)</w:t>
      </w:r>
      <w:r>
        <w:rPr>
          <w:rFonts w:ascii="Times New Roman" w:hAnsi="Times New Roman"/>
          <w:sz w:val="28"/>
          <w:szCs w:val="28"/>
        </w:rPr>
        <w:t xml:space="preserve"> и среднего квадратичного отклонения температуры от средней внутри комплекса (СКО1) </w:t>
      </w:r>
      <w:r w:rsidRPr="00593725">
        <w:rPr>
          <w:rFonts w:ascii="Times New Roman" w:hAnsi="Times New Roman"/>
          <w:sz w:val="28"/>
          <w:szCs w:val="28"/>
        </w:rPr>
        <w:t>построены графики, представленные на рисунке 3.</w:t>
      </w:r>
      <w:r>
        <w:rPr>
          <w:rFonts w:ascii="Times New Roman" w:hAnsi="Times New Roman"/>
          <w:sz w:val="28"/>
          <w:szCs w:val="28"/>
        </w:rPr>
        <w:t xml:space="preserve"> При увеличении температуры подаваемого воздуха в 2 раза незначительно снижаются (менее 0,6 %) средняя температура воздуха и среднее квадратичное отклонение температуры от средней внутри животноводческого комплекса. При увеличении расхода воздуха на 27 % увеличивается средняя температура воздуха на 3,3 % и среднее квадратичное отклонение температуры от средней на 9,1%  внутри животноводческого комплекса.</w:t>
      </w:r>
    </w:p>
    <w:p w:rsidR="00631A24" w:rsidRDefault="00631A24" w:rsidP="00C0515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31A24" w:rsidRPr="00593725" w:rsidRDefault="00631A24" w:rsidP="00C0515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5" o:spid="_x0000_i1027" type="#_x0000_t75" style="width:297.6pt;height:196.2pt;visibility:visible">
            <v:imagedata r:id="rId19" o:title="" croptop="5071f" cropbottom="3920f" cropleft="1712f" cropright="6275f"/>
          </v:shape>
        </w:pict>
      </w: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6" o:spid="_x0000_i1028" type="#_x0000_t75" style="width:292.8pt;height:184.2pt;visibility:visible">
            <v:imagedata r:id="rId20" o:title="" croptop="3329f" cropbottom="3329f" cropleft="3072f" cropright="2312f"/>
          </v:shape>
        </w:pict>
      </w:r>
    </w:p>
    <w:p w:rsidR="00631A24" w:rsidRDefault="00631A24" w:rsidP="00593725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C05151">
        <w:rPr>
          <w:rFonts w:ascii="Times New Roman" w:hAnsi="Times New Roman"/>
          <w:sz w:val="28"/>
          <w:szCs w:val="28"/>
          <w:lang w:eastAsia="ru-RU"/>
        </w:rPr>
        <w:t xml:space="preserve">Рисунок 3 – </w:t>
      </w:r>
      <w:r>
        <w:rPr>
          <w:rFonts w:ascii="Times New Roman" w:hAnsi="Times New Roman"/>
          <w:sz w:val="28"/>
          <w:szCs w:val="28"/>
        </w:rPr>
        <w:t>Параметры равномерности обогрева внутри комплекса</w:t>
      </w:r>
    </w:p>
    <w:p w:rsidR="00631A24" w:rsidRDefault="00631A24" w:rsidP="00A5302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31A24" w:rsidRDefault="00631A24" w:rsidP="00A5302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 xml:space="preserve">Для полученных значений отклика средней температуры </w:t>
      </w:r>
      <w:r>
        <w:rPr>
          <w:rFonts w:ascii="Times New Roman" w:hAnsi="Times New Roman"/>
          <w:sz w:val="28"/>
          <w:szCs w:val="28"/>
        </w:rPr>
        <w:t>в зоне пребывания животных</w:t>
      </w:r>
      <w:r w:rsidRPr="00593725">
        <w:rPr>
          <w:rFonts w:ascii="Times New Roman" w:hAnsi="Times New Roman"/>
          <w:sz w:val="28"/>
          <w:szCs w:val="28"/>
        </w:rPr>
        <w:t xml:space="preserve"> (СрТ</w:t>
      </w:r>
      <w:r>
        <w:rPr>
          <w:rFonts w:ascii="Times New Roman" w:hAnsi="Times New Roman"/>
          <w:sz w:val="28"/>
          <w:szCs w:val="28"/>
        </w:rPr>
        <w:t>2</w:t>
      </w:r>
      <w:r w:rsidRPr="005937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среднего квадратичного отклонения температуры от средней в зоне пребывания животных (СКО2) </w:t>
      </w:r>
      <w:r w:rsidRPr="00593725">
        <w:rPr>
          <w:rFonts w:ascii="Times New Roman" w:hAnsi="Times New Roman"/>
          <w:sz w:val="28"/>
          <w:szCs w:val="28"/>
        </w:rPr>
        <w:t xml:space="preserve">построены графики, представленные на рисунке </w:t>
      </w:r>
      <w:r>
        <w:rPr>
          <w:rFonts w:ascii="Times New Roman" w:hAnsi="Times New Roman"/>
          <w:sz w:val="28"/>
          <w:szCs w:val="28"/>
        </w:rPr>
        <w:t>4</w:t>
      </w:r>
      <w:r w:rsidRPr="005937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 увеличении температуры подаваемого воздуха в 2 раза незначительно снижаются (менее 1,5%) средняя температура воздуха и среднее квадратичное отклонение температуры от средней в зоне пребывания животных. При увеличении расхода воздуха на 27 % увеличивается средняя температура воздуха на 3,4 % и среднее квадратичное отклонение температуры от средней на 8,5% в зоне пребывания животных.</w:t>
      </w:r>
    </w:p>
    <w:p w:rsidR="00631A24" w:rsidRPr="00C05151" w:rsidRDefault="00631A24" w:rsidP="00593725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631A24" w:rsidRDefault="00631A24" w:rsidP="00593725">
      <w:pPr>
        <w:spacing w:after="0" w:line="360" w:lineRule="auto"/>
        <w:ind w:firstLine="426"/>
        <w:jc w:val="center"/>
        <w:rPr>
          <w:rFonts w:ascii="Times New Roman" w:hAnsi="Times New Roman"/>
          <w:i/>
          <w:sz w:val="28"/>
          <w:szCs w:val="28"/>
        </w:rPr>
      </w:pP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29" type="#_x0000_t75" style="width:306pt;height:205.8pt;visibility:visible">
            <v:imagedata r:id="rId21" o:title="" croptop="5959f" cropbottom="1065f" cropleft="5071f" cropright="4907f"/>
          </v:shape>
        </w:pict>
      </w:r>
    </w:p>
    <w:p w:rsidR="00631A24" w:rsidRDefault="00631A24" w:rsidP="00593725">
      <w:pPr>
        <w:spacing w:after="0" w:line="360" w:lineRule="auto"/>
        <w:ind w:firstLine="426"/>
        <w:jc w:val="center"/>
        <w:rPr>
          <w:rFonts w:ascii="Times New Roman" w:hAnsi="Times New Roman"/>
          <w:i/>
          <w:sz w:val="28"/>
          <w:szCs w:val="28"/>
        </w:rPr>
      </w:pPr>
      <w:r w:rsidRPr="00820A3D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Рисунок 17" o:spid="_x0000_i1030" type="#_x0000_t75" style="width:307.2pt;height:222.6pt;visibility:visible">
            <v:imagedata r:id="rId22" o:title="" croptop="3407f" cropbottom="1328f" cropleft="3271f" cropright="3501f"/>
          </v:shape>
        </w:pict>
      </w:r>
    </w:p>
    <w:p w:rsidR="00631A24" w:rsidRDefault="00631A24" w:rsidP="00DC5652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 xml:space="preserve">Рисунок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593725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</w:rPr>
        <w:t>Параметры равномерности обогрева в зоне пребывания животных</w:t>
      </w:r>
    </w:p>
    <w:p w:rsidR="00631A24" w:rsidRDefault="00631A24" w:rsidP="00DC5652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631A24" w:rsidRDefault="00631A24" w:rsidP="004073F8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 xml:space="preserve">Для полученных значений </w:t>
      </w:r>
      <w:r>
        <w:rPr>
          <w:rFonts w:ascii="Times New Roman" w:hAnsi="Times New Roman"/>
          <w:sz w:val="28"/>
          <w:szCs w:val="28"/>
        </w:rPr>
        <w:t>расхода топлива для обогрева животноводческого комплекса</w:t>
      </w:r>
      <w:r w:rsidRPr="0059372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Расход топлива</w:t>
      </w:r>
      <w:r w:rsidRPr="005937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3725">
        <w:rPr>
          <w:rFonts w:ascii="Times New Roman" w:hAnsi="Times New Roman"/>
          <w:sz w:val="28"/>
          <w:szCs w:val="28"/>
        </w:rPr>
        <w:t>построен график, представленны</w:t>
      </w:r>
      <w:r>
        <w:rPr>
          <w:rFonts w:ascii="Times New Roman" w:hAnsi="Times New Roman"/>
          <w:sz w:val="28"/>
          <w:szCs w:val="28"/>
        </w:rPr>
        <w:t>й</w:t>
      </w:r>
      <w:r w:rsidRPr="00593725">
        <w:rPr>
          <w:rFonts w:ascii="Times New Roman" w:hAnsi="Times New Roman"/>
          <w:sz w:val="28"/>
          <w:szCs w:val="28"/>
        </w:rPr>
        <w:t xml:space="preserve"> на рисунке </w:t>
      </w:r>
      <w:r>
        <w:rPr>
          <w:rFonts w:ascii="Times New Roman" w:hAnsi="Times New Roman"/>
          <w:sz w:val="28"/>
          <w:szCs w:val="28"/>
        </w:rPr>
        <w:t>5</w:t>
      </w:r>
      <w:r w:rsidRPr="005937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 увеличении температуры подаваемого воздуха в 2 раза увеличивается на 4% расход топлива для обогрева животноводческого комплекса. При увеличении расхода воздуха на 27 % расход топлива увеличивается с нулевых значений до 10 м</w:t>
      </w:r>
      <w:r w:rsidRPr="004073F8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631A24" w:rsidRDefault="00631A24" w:rsidP="00DC5652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  <w:highlight w:val="green"/>
        </w:rPr>
      </w:pPr>
      <w:r w:rsidRPr="00820A3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" o:spid="_x0000_i1031" type="#_x0000_t75" style="width:311.4pt;height:206.4pt;visibility:visible">
            <v:imagedata r:id="rId23" o:title="" croptop="3031f" cropbottom="4918f" cropleft="4376f" cropright="620f"/>
          </v:shape>
        </w:pict>
      </w:r>
    </w:p>
    <w:p w:rsidR="00631A24" w:rsidRDefault="00631A24" w:rsidP="00C05151">
      <w:pPr>
        <w:spacing w:after="0" w:line="360" w:lineRule="auto"/>
        <w:ind w:firstLine="426"/>
        <w:jc w:val="center"/>
        <w:rPr>
          <w:rFonts w:ascii="Times New Roman" w:hAnsi="Times New Roman"/>
          <w:i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  <w:lang w:eastAsia="ru-RU"/>
        </w:rPr>
        <w:t xml:space="preserve">Рисунок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593725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</w:rPr>
        <w:t>Расход топлива для обогрева животноводческого комплекса</w:t>
      </w:r>
    </w:p>
    <w:p w:rsidR="00631A24" w:rsidRPr="00593725" w:rsidRDefault="00631A24" w:rsidP="00593725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b/>
          <w:sz w:val="28"/>
          <w:szCs w:val="28"/>
        </w:rPr>
        <w:t>Выводы.</w:t>
      </w:r>
      <w:r w:rsidRPr="00593725">
        <w:rPr>
          <w:rFonts w:ascii="Times New Roman" w:hAnsi="Times New Roman"/>
          <w:sz w:val="28"/>
          <w:szCs w:val="28"/>
        </w:rPr>
        <w:t xml:space="preserve"> 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1. Была разработана и программно реализована математическая модель процесса работы системы теплоснабжения животноводческого комплекса на базе каталитического устройства сжигания биогаза, которая позволяет оценить эффективность работы системы в зависимости от технологических параметров.</w:t>
      </w:r>
    </w:p>
    <w:p w:rsidR="00631A24" w:rsidRPr="00593725" w:rsidRDefault="00631A24" w:rsidP="0059372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3725">
        <w:rPr>
          <w:rFonts w:ascii="Times New Roman" w:hAnsi="Times New Roman"/>
          <w:sz w:val="28"/>
          <w:szCs w:val="28"/>
        </w:rPr>
        <w:t>2. По результатам вычислительного эксперимента установлено, что температура подаваемого в помещение воздуха (в выбранном диапазоне моделирования) существенно не влияет на среднюю температуру внутри животноводческого комплекса и на расход потребляемого биогаза, однако изменение расхода подаваемого воздуха оказывает заметное влияние на среднюю температуру внутри животноводческого комплекса и существенное влияние на количество потребляемого топлива.</w:t>
      </w:r>
    </w:p>
    <w:p w:rsidR="00631A24" w:rsidRPr="00593725" w:rsidRDefault="00631A24" w:rsidP="0059372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31A24" w:rsidRPr="00AA033B" w:rsidRDefault="00631A24" w:rsidP="00B0781F">
      <w:pPr>
        <w:tabs>
          <w:tab w:val="left" w:pos="993"/>
        </w:tabs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AA033B">
        <w:rPr>
          <w:rFonts w:ascii="Times New Roman" w:eastAsia="Arial Unicode MS" w:hAnsi="Times New Roman"/>
          <w:b/>
          <w:sz w:val="28"/>
          <w:szCs w:val="28"/>
        </w:rPr>
        <w:t>Библиографический список</w:t>
      </w:r>
    </w:p>
    <w:p w:rsidR="00631A24" w:rsidRPr="008D605E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1. Лукьянов Б. Н. Экологически чистое окисление углеводородных газов в каталитических нагревательных элементах // Химия в интересах устойчивого развития. – 2001. – №9. – с</w:t>
      </w:r>
      <w:r w:rsidRPr="008D605E">
        <w:rPr>
          <w:rFonts w:ascii="Times New Roman" w:hAnsi="Times New Roman"/>
          <w:sz w:val="24"/>
          <w:szCs w:val="24"/>
        </w:rPr>
        <w:t>. 667 – 677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>2. van Giezen J.C., Intven M., Meijer M. D. et al. The development of novel metal-based combustion catalysts // Catal. Today. – 1999. - № 47. – p. 191-197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>3. Zhi-yong P., Chao-yang D. A novel two-stage process for catalytic oxidation of methane to synthesis gas // Ranliao Huaxue Xuebao. – 2000. - № 4. – p. 348.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 xml:space="preserve">4. Theophilos P., Xenophon V. Development of a novel heat-integrated wall reactor for the partial oxidation of methane to synthesis gas // Catal. </w:t>
      </w:r>
      <w:r w:rsidRPr="00593725">
        <w:rPr>
          <w:rFonts w:ascii="Times New Roman" w:hAnsi="Times New Roman"/>
          <w:sz w:val="24"/>
          <w:szCs w:val="24"/>
        </w:rPr>
        <w:t>Today. – 1998. - № 46. – p. 71-81.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93656">
        <w:rPr>
          <w:rFonts w:ascii="Times New Roman" w:hAnsi="Times New Roman"/>
          <w:sz w:val="24"/>
          <w:szCs w:val="24"/>
        </w:rPr>
        <w:t xml:space="preserve">5. </w:t>
      </w:r>
      <w:r w:rsidRPr="00593725">
        <w:rPr>
          <w:rFonts w:ascii="Times New Roman" w:hAnsi="Times New Roman"/>
          <w:sz w:val="24"/>
          <w:szCs w:val="24"/>
        </w:rPr>
        <w:t>Институт катализа им. Г. К. Борескова СО РАН – РЕВЕРС-ПРОЦЕСС - Каталитическая очистка отходящих газов [Электронный ресурс] – Режим доступа: http://www.catalysis.ru/block/index.php?ID=3&amp;SECTION_ID=1483, свободный (дата обращения 7.05.2013).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 xml:space="preserve">6. Ismagilov Z. R., Kerzhentsev M. A. Fluidized bed catalytic combustion / // Catal. </w:t>
      </w:r>
      <w:r w:rsidRPr="00593725">
        <w:rPr>
          <w:rFonts w:ascii="Times New Roman" w:hAnsi="Times New Roman"/>
          <w:sz w:val="24"/>
          <w:szCs w:val="24"/>
        </w:rPr>
        <w:t>Today. – 1999. - № 47. – p. 339-346.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7. Сидыганов Ю.Н., Медяков А.А., Каменских А.Д., Анисимов П.Н. Нестационарные каталитические системы для утилизации биогаза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№04(78). – Режим доступа: http://ej.kubagro.ru/2012/04/pdf/46.pdf, свободный (дата обращения 7.05.2013).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8. Сидыганов Ю.Н., Медяков А.А., Каменских А.Д., Анисимов П.Н. Повышение эффективности разрабатываемых каталитических систем для утилизации биогаза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№04(78). – Режим доступа: http://ej.kubagro.ru/2012/04/pdf/47.pdf, свободный (дата обращения 7.05.2013).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9. Медяков А.А., Каменских А.Д. Разработка новых каталитических систем для процессов получения биогаза // Вестник Марийского государственного технического университета. Серия: Лес. Экология. Природопользование. - 2011. - № 3. – С. 88-94.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10. Сидыганов, Ю.Н. Каталитические устройства сжигания для аварийной и технологической утилизации газообразных углеводородов / Ю.Н. Сидыганов, А.А. Медяков, А.Д. Каменских // Химическое и нефтегазовое машиностроение: 9/2014 – Москва: ООО «ТисоПринт», 2014. – С. 34-37.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11. Сидыганов, Ю.Н. Имитационная математическая модель функционирования системы теплоснабжения животноводческого комплекса на базе каталитического устройства сжигания / А.А. Медяков, Е.М. Онучин, А.Д. Каменских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– Режим доступа: http://ej.kubagro.ru/2014/07/pdf/122.pdf.</w:t>
      </w:r>
    </w:p>
    <w:p w:rsidR="00631A24" w:rsidRPr="00593725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93725">
        <w:rPr>
          <w:rFonts w:ascii="Times New Roman" w:hAnsi="Times New Roman"/>
          <w:sz w:val="24"/>
          <w:szCs w:val="24"/>
        </w:rPr>
        <w:t>12. Сидыганов Ю.Н. Имитационная математическая модель функционирования каталитических систем для производства и преобразования энергии при анаэробной переработке органических отходов животноводства / Ю.Н. Сидыганов, А.А. Медяков, Е.М. Онучин, А.Д. Каменских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№07(91). – Режим доступа: http://ej.kubagro.ru/2013/07/pdf/25.pdf.</w:t>
      </w:r>
    </w:p>
    <w:p w:rsidR="00631A24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31A24" w:rsidRPr="00D24B9B" w:rsidRDefault="00631A24" w:rsidP="00B0781F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31A24" w:rsidRPr="00070152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70152">
        <w:rPr>
          <w:rFonts w:ascii="Times New Roman" w:hAnsi="Times New Roman"/>
          <w:sz w:val="24"/>
          <w:szCs w:val="24"/>
          <w:lang w:val="en-US"/>
        </w:rPr>
        <w:t>Luk'janov B. N. Jekologicheski chistoe okislenie uglevodorodnyh gazov v kataliticheskih nagrevatel'nyh jelementah // Himija v interesah ustojchivogo razvitija. – 2001. – №9. – s. 667 – 677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 xml:space="preserve">van Giezen J.C., Intven M., Meijer M. D. et al. The development of novel metal-based combustion catalysts // Catal. </w:t>
      </w:r>
      <w:r w:rsidRPr="008D605E">
        <w:rPr>
          <w:rFonts w:ascii="Times New Roman" w:hAnsi="Times New Roman"/>
          <w:sz w:val="24"/>
          <w:szCs w:val="24"/>
        </w:rPr>
        <w:t>Today. – 1999. - № 47. – p. 191-197</w:t>
      </w:r>
    </w:p>
    <w:p w:rsidR="00631A24" w:rsidRPr="008D605E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Zhi-yong P., Chao-yang D. A novel two-stage process for catalytic oxidation of methane to synthesis gas // Ranliao Huaxue Xuebao. – 2000. - № 4. – p. 348.</w:t>
      </w:r>
    </w:p>
    <w:p w:rsidR="00631A24" w:rsidRPr="008D605E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 xml:space="preserve">Theophilos P., Xenophon V. Development of a novel heat-integrated wall reactor for the partial oxidation of methane to synthesis gas // Catal. </w:t>
      </w:r>
      <w:r w:rsidRPr="00593725">
        <w:rPr>
          <w:rFonts w:ascii="Times New Roman" w:hAnsi="Times New Roman"/>
          <w:sz w:val="24"/>
          <w:szCs w:val="24"/>
        </w:rPr>
        <w:t>Today. – 1998. - № 46. – p. 71-81.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Institut kataliza im. G. K. Boreskova SO RAN – REVERS-PROCESS - Kataliticheskaja ochistka othodjashhih gazov [Jelektronnyj resurs] – Rezhim dostupa: http://www.catalysis.ru/block/index.php?ID=3&amp;SECTION_ID=1483, svobodnyj (data obrashhenija 7.05.2013).</w:t>
      </w:r>
    </w:p>
    <w:p w:rsidR="00631A24" w:rsidRPr="008D605E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93725">
        <w:rPr>
          <w:rFonts w:ascii="Times New Roman" w:hAnsi="Times New Roman"/>
          <w:sz w:val="24"/>
          <w:szCs w:val="24"/>
          <w:lang w:val="en-US"/>
        </w:rPr>
        <w:t xml:space="preserve">Ismagilov Z. R., Kerzhentsev M. A. Fluidized bed catalytic combustion / // Catal. </w:t>
      </w:r>
      <w:r w:rsidRPr="00593725">
        <w:rPr>
          <w:rFonts w:ascii="Times New Roman" w:hAnsi="Times New Roman"/>
          <w:sz w:val="24"/>
          <w:szCs w:val="24"/>
        </w:rPr>
        <w:t>Today. – 1999. - № 47. – p. 339-346.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Sidyganov Ju.N., Medjakov A.A., Kamenskih A.D., Anisimov P.N. Nestacionarnye kataliticheskie sistemy dlja utilizacii biogaza // Politematicheskij setevoj jelektronnyj nauchnyj zhurnal Kubanskogo gosudarstvennogo agrarnogo universiteta (Nauchnyj zhurnal KubGAU) [Jelektronnyj resurs]. – Krasnodar: KubGAU, 2012. – №04(78). – Rezhim dostupa: http://ej.kubagro.ru/2012/04/pdf/46.pdf, svobodnyj (data obrashhenija 7.05.2013).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Sidyganov Ju.N., Medjakov A.A., Kamenskih A.D., Anisimov P.N. Povyshenie jeffektivnosti razrabatyvaemyh kataliticheskih sistem dlja utilizacii biogaza // Politematicheskij setevoj jelektronnyj nauchnyj zhurnal Kubanskogo gosudarstvennogo agrarnogo universiteta (Nauchnyj zhurnal KubGAU) [Jelektronnyj resurs]. – Krasnodar: KubGAU, 2012. – №04(78). – Rezhim dostupa: http://ej.kubagro.ru/2012/04/pdf/47.pdf, svobodnyj (data obrashhenija 7.05.2013).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Medjakov A.A., Kamenskih A.D. Razrabotka novyh kataliticheskih sistem dlja processov poluchenija biogaza // Vestnik Marijskogo gosudarstvennogo tehnicheskogo universiteta. Serija: Les. Jekologija. Prirodopol'zovanie. - 2011. - № 3. – S. 88-94.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Sidyganov, Ju.N. Kataliticheskie ustrojstva szhiganija dlja avarijnoj i tehnologicheskoj utilizacii gazoobraznyh uglevodorodov / Ju.N. Sidyganov, A.A. Medjakov, A.D. Kamenskih // Himicheskoe i neftegazovoe mashinostroenie: 9/2014 – Moskva: OOO «TisoPrint», 2014. – S. 34-37.</w:t>
      </w:r>
    </w:p>
    <w:p w:rsidR="00631A24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 xml:space="preserve">Sidyganov, Ju.N. Imitacionnaja matematicheskaja model' funkcionirovanija sistemy teplosnabzhenija zhivotnovodcheskogo kompleksa na baze kataliticheskogo ustrojstva szhiganija / A.A. Medjakov, E.M. Onuchin, A.D. Kamenskih // Politematicheskij setevoj jelektronnyj nauchnyj zhurnal Kubanskogo gosudarstvennogo agrarnogo universiteta (Nauchnyj zhurnal KubGAU) [Jelektronnyj resurs]. – Krasnodar: KubGAU, 2014. – №07(101). – Rezhim dostupa: </w:t>
      </w:r>
      <w:hyperlink r:id="rId24" w:history="1">
        <w:r w:rsidRPr="002C660D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http://ej.kubagro.ru/2014/07/pdf/122.pdf</w:t>
        </w:r>
      </w:hyperlink>
      <w:r w:rsidRPr="008D605E">
        <w:rPr>
          <w:rFonts w:ascii="Times New Roman" w:hAnsi="Times New Roman"/>
          <w:sz w:val="24"/>
          <w:szCs w:val="24"/>
          <w:lang w:val="en-US"/>
        </w:rPr>
        <w:t>.</w:t>
      </w:r>
    </w:p>
    <w:p w:rsidR="00631A24" w:rsidRPr="008D605E" w:rsidRDefault="00631A24" w:rsidP="00B0781F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605E">
        <w:rPr>
          <w:rFonts w:ascii="Times New Roman" w:hAnsi="Times New Roman"/>
          <w:sz w:val="24"/>
          <w:szCs w:val="24"/>
          <w:lang w:val="en-US"/>
        </w:rPr>
        <w:t>Sidyganov Ju.N. Imitacionnaja matematicheskaja model' funkcionirovanija kataliticheskih sistem dlja proizvodstva i preobrazovanija jenergii pri anajerobnoj pererabotke organicheskih othodov zhivotnovodstva / Ju.N. Sidyganov, A.A. Medjakov, E.M. Onuchin, A.D. Kamenskih // Politematicheskij setevoj jelektronnyj nauchnyj zhurnal Kubanskogo gosudarstvennogo agrarnogo universiteta (Nauchnyj zhurnal KubGAU) [Jelektronnyj resurs]. – Krasnodar: KubGAU, 2013. – №07(91). – Rezhim dostupa: http://ej.kubagro.ru/2013/07/pdf/25.pdf.</w:t>
      </w:r>
    </w:p>
    <w:sectPr w:rsidR="00631A24" w:rsidRPr="008D605E" w:rsidSect="00EB10A5">
      <w:headerReference w:type="even" r:id="rId25"/>
      <w:headerReference w:type="default" r:id="rId26"/>
      <w:footerReference w:type="default" r:id="rId2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A24" w:rsidRDefault="00631A24" w:rsidP="00B0781F">
      <w:pPr>
        <w:spacing w:after="0" w:line="240" w:lineRule="auto"/>
      </w:pPr>
      <w:r>
        <w:separator/>
      </w:r>
    </w:p>
  </w:endnote>
  <w:endnote w:type="continuationSeparator" w:id="0">
    <w:p w:rsidR="00631A24" w:rsidRDefault="00631A24" w:rsidP="00B0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A24" w:rsidRDefault="00631A24">
    <w:pPr>
      <w:pStyle w:val="Footer"/>
    </w:pPr>
    <w:r w:rsidRPr="002D1EE9">
      <w:rPr>
        <w:rFonts w:ascii="Times New Roman" w:hAnsi="Times New Roman"/>
        <w:sz w:val="24"/>
        <w:szCs w:val="24"/>
      </w:rPr>
      <w:t>http://ej.kubagro.ru/2017/06/pdf/</w:t>
    </w:r>
    <w:r w:rsidRPr="002D1EE9"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  <w:lang w:val="en-US"/>
      </w:rPr>
      <w:t>8</w:t>
    </w:r>
    <w:r w:rsidRPr="002D1EE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A24" w:rsidRDefault="00631A24" w:rsidP="00B0781F">
      <w:pPr>
        <w:spacing w:after="0" w:line="240" w:lineRule="auto"/>
      </w:pPr>
      <w:r>
        <w:separator/>
      </w:r>
    </w:p>
  </w:footnote>
  <w:footnote w:type="continuationSeparator" w:id="0">
    <w:p w:rsidR="00631A24" w:rsidRDefault="00631A24" w:rsidP="00B0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A24" w:rsidRDefault="00631A24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1A24" w:rsidRDefault="00631A24" w:rsidP="00411D6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A24" w:rsidRPr="00411D61" w:rsidRDefault="00631A24" w:rsidP="00086E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11D61">
      <w:rPr>
        <w:rStyle w:val="PageNumber"/>
        <w:rFonts w:ascii="Times New Roman" w:hAnsi="Times New Roman"/>
        <w:sz w:val="28"/>
        <w:szCs w:val="28"/>
      </w:rPr>
      <w:fldChar w:fldCharType="begin"/>
    </w:r>
    <w:r w:rsidRPr="00411D6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11D6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11D61">
      <w:rPr>
        <w:rStyle w:val="PageNumber"/>
        <w:rFonts w:ascii="Times New Roman" w:hAnsi="Times New Roman"/>
        <w:sz w:val="28"/>
        <w:szCs w:val="28"/>
      </w:rPr>
      <w:fldChar w:fldCharType="end"/>
    </w:r>
  </w:p>
  <w:p w:rsidR="00631A24" w:rsidRPr="00411D61" w:rsidRDefault="00631A24" w:rsidP="00411D61">
    <w:pPr>
      <w:pStyle w:val="Header"/>
      <w:ind w:right="360"/>
      <w:rPr>
        <w:lang w:val="en-US"/>
      </w:rPr>
    </w:pPr>
    <w:r w:rsidRPr="00D6572B">
      <w:rPr>
        <w:rFonts w:ascii="Times New Roman" w:hAnsi="Times New Roman"/>
        <w:sz w:val="24"/>
        <w:szCs w:val="24"/>
      </w:rPr>
      <w:t>Научный журнал КубГАУ, №130(06), 2017 года</w:t>
    </w:r>
  </w:p>
  <w:p w:rsidR="00631A24" w:rsidRDefault="00631A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7D9"/>
    <w:multiLevelType w:val="hybridMultilevel"/>
    <w:tmpl w:val="9A1A5CFC"/>
    <w:lvl w:ilvl="0" w:tplc="F5B00AF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68A288F"/>
    <w:multiLevelType w:val="hybridMultilevel"/>
    <w:tmpl w:val="3CA29BEA"/>
    <w:lvl w:ilvl="0" w:tplc="040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28114611"/>
    <w:multiLevelType w:val="hybridMultilevel"/>
    <w:tmpl w:val="7624D95A"/>
    <w:lvl w:ilvl="0" w:tplc="B240E7B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6FB3D9D"/>
    <w:multiLevelType w:val="hybridMultilevel"/>
    <w:tmpl w:val="9C9475E8"/>
    <w:lvl w:ilvl="0" w:tplc="94064E76">
      <w:start w:val="1"/>
      <w:numFmt w:val="bullet"/>
      <w:lvlText w:val="–"/>
      <w:lvlJc w:val="left"/>
      <w:pPr>
        <w:ind w:left="1367" w:hanging="8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D1977A1"/>
    <w:multiLevelType w:val="hybridMultilevel"/>
    <w:tmpl w:val="77B6018A"/>
    <w:lvl w:ilvl="0" w:tplc="040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EBD"/>
    <w:rsid w:val="00010E06"/>
    <w:rsid w:val="000360E8"/>
    <w:rsid w:val="000406FB"/>
    <w:rsid w:val="00045F36"/>
    <w:rsid w:val="00053C0C"/>
    <w:rsid w:val="00070152"/>
    <w:rsid w:val="00076F7C"/>
    <w:rsid w:val="00086E75"/>
    <w:rsid w:val="00094741"/>
    <w:rsid w:val="000C7E5D"/>
    <w:rsid w:val="000F7E13"/>
    <w:rsid w:val="00103705"/>
    <w:rsid w:val="00125979"/>
    <w:rsid w:val="00135348"/>
    <w:rsid w:val="0015297C"/>
    <w:rsid w:val="00162D90"/>
    <w:rsid w:val="00167078"/>
    <w:rsid w:val="001670D8"/>
    <w:rsid w:val="0017078D"/>
    <w:rsid w:val="0017463F"/>
    <w:rsid w:val="001801C3"/>
    <w:rsid w:val="001B2958"/>
    <w:rsid w:val="001D4C1E"/>
    <w:rsid w:val="001D5338"/>
    <w:rsid w:val="001F408E"/>
    <w:rsid w:val="00217453"/>
    <w:rsid w:val="002358A6"/>
    <w:rsid w:val="00245404"/>
    <w:rsid w:val="00251CFB"/>
    <w:rsid w:val="0025599E"/>
    <w:rsid w:val="00270E95"/>
    <w:rsid w:val="0027226F"/>
    <w:rsid w:val="00285F54"/>
    <w:rsid w:val="00297A6B"/>
    <w:rsid w:val="002A4C97"/>
    <w:rsid w:val="002C2870"/>
    <w:rsid w:val="002C55D0"/>
    <w:rsid w:val="002C660D"/>
    <w:rsid w:val="002D1EE9"/>
    <w:rsid w:val="002F2C89"/>
    <w:rsid w:val="003036A8"/>
    <w:rsid w:val="00316B2C"/>
    <w:rsid w:val="00320C36"/>
    <w:rsid w:val="00322BB5"/>
    <w:rsid w:val="0033614C"/>
    <w:rsid w:val="00351F81"/>
    <w:rsid w:val="00382EAD"/>
    <w:rsid w:val="003B2709"/>
    <w:rsid w:val="003C0CF3"/>
    <w:rsid w:val="004073F8"/>
    <w:rsid w:val="00411D61"/>
    <w:rsid w:val="004139AE"/>
    <w:rsid w:val="00426E5A"/>
    <w:rsid w:val="00427068"/>
    <w:rsid w:val="004311E4"/>
    <w:rsid w:val="00436E1C"/>
    <w:rsid w:val="0044380D"/>
    <w:rsid w:val="00474E55"/>
    <w:rsid w:val="004817C8"/>
    <w:rsid w:val="004A4D38"/>
    <w:rsid w:val="004A5489"/>
    <w:rsid w:val="004C1276"/>
    <w:rsid w:val="004D3F7F"/>
    <w:rsid w:val="00504AFD"/>
    <w:rsid w:val="00507A72"/>
    <w:rsid w:val="00510B7E"/>
    <w:rsid w:val="00534681"/>
    <w:rsid w:val="005621BD"/>
    <w:rsid w:val="0056796F"/>
    <w:rsid w:val="005763B9"/>
    <w:rsid w:val="00593725"/>
    <w:rsid w:val="005A67F8"/>
    <w:rsid w:val="005B2AD2"/>
    <w:rsid w:val="005F4371"/>
    <w:rsid w:val="00601DCA"/>
    <w:rsid w:val="00617557"/>
    <w:rsid w:val="00631A24"/>
    <w:rsid w:val="00634EB0"/>
    <w:rsid w:val="00641077"/>
    <w:rsid w:val="00693656"/>
    <w:rsid w:val="006B7573"/>
    <w:rsid w:val="006C42F5"/>
    <w:rsid w:val="006C6EBD"/>
    <w:rsid w:val="006E0075"/>
    <w:rsid w:val="006E75A4"/>
    <w:rsid w:val="007006C6"/>
    <w:rsid w:val="00705139"/>
    <w:rsid w:val="007114FB"/>
    <w:rsid w:val="00711D54"/>
    <w:rsid w:val="00721188"/>
    <w:rsid w:val="00722CCE"/>
    <w:rsid w:val="00732D42"/>
    <w:rsid w:val="00757A12"/>
    <w:rsid w:val="00766928"/>
    <w:rsid w:val="00795CF7"/>
    <w:rsid w:val="007A6BE5"/>
    <w:rsid w:val="007C6DAA"/>
    <w:rsid w:val="007D027A"/>
    <w:rsid w:val="007D22FE"/>
    <w:rsid w:val="007E006F"/>
    <w:rsid w:val="007E0A18"/>
    <w:rsid w:val="007E2F72"/>
    <w:rsid w:val="00804F9F"/>
    <w:rsid w:val="00820A3D"/>
    <w:rsid w:val="00820A95"/>
    <w:rsid w:val="00831EE6"/>
    <w:rsid w:val="00834086"/>
    <w:rsid w:val="0084226A"/>
    <w:rsid w:val="008A00C9"/>
    <w:rsid w:val="008C5276"/>
    <w:rsid w:val="008D1875"/>
    <w:rsid w:val="008D605E"/>
    <w:rsid w:val="008F5C99"/>
    <w:rsid w:val="00921BAF"/>
    <w:rsid w:val="00923C9E"/>
    <w:rsid w:val="00946A88"/>
    <w:rsid w:val="00955DB6"/>
    <w:rsid w:val="00986D0A"/>
    <w:rsid w:val="009B55F3"/>
    <w:rsid w:val="009C51E3"/>
    <w:rsid w:val="009D5B21"/>
    <w:rsid w:val="009D7130"/>
    <w:rsid w:val="009F1A91"/>
    <w:rsid w:val="00A5302B"/>
    <w:rsid w:val="00A67BFD"/>
    <w:rsid w:val="00A94FDB"/>
    <w:rsid w:val="00A95467"/>
    <w:rsid w:val="00AA033B"/>
    <w:rsid w:val="00AA0FCF"/>
    <w:rsid w:val="00AA1B7F"/>
    <w:rsid w:val="00AA27B4"/>
    <w:rsid w:val="00AA58E9"/>
    <w:rsid w:val="00AB1931"/>
    <w:rsid w:val="00AB36B6"/>
    <w:rsid w:val="00AD386E"/>
    <w:rsid w:val="00AD5737"/>
    <w:rsid w:val="00AD5AE9"/>
    <w:rsid w:val="00B00B9E"/>
    <w:rsid w:val="00B02EB9"/>
    <w:rsid w:val="00B06D5C"/>
    <w:rsid w:val="00B0781F"/>
    <w:rsid w:val="00B16F8F"/>
    <w:rsid w:val="00B31665"/>
    <w:rsid w:val="00B33782"/>
    <w:rsid w:val="00B713C8"/>
    <w:rsid w:val="00B80954"/>
    <w:rsid w:val="00B810CA"/>
    <w:rsid w:val="00B848E8"/>
    <w:rsid w:val="00B946FF"/>
    <w:rsid w:val="00BA2A3E"/>
    <w:rsid w:val="00BA2EA4"/>
    <w:rsid w:val="00BC7293"/>
    <w:rsid w:val="00BD06C7"/>
    <w:rsid w:val="00BD06D6"/>
    <w:rsid w:val="00C05151"/>
    <w:rsid w:val="00C05F71"/>
    <w:rsid w:val="00C07DE9"/>
    <w:rsid w:val="00C10010"/>
    <w:rsid w:val="00C16496"/>
    <w:rsid w:val="00C21184"/>
    <w:rsid w:val="00C270E1"/>
    <w:rsid w:val="00C4069F"/>
    <w:rsid w:val="00C43F5D"/>
    <w:rsid w:val="00C8250C"/>
    <w:rsid w:val="00C9143B"/>
    <w:rsid w:val="00CB3E7A"/>
    <w:rsid w:val="00CB4F22"/>
    <w:rsid w:val="00CB580F"/>
    <w:rsid w:val="00CD4C36"/>
    <w:rsid w:val="00D0290E"/>
    <w:rsid w:val="00D07CB6"/>
    <w:rsid w:val="00D23307"/>
    <w:rsid w:val="00D24B9B"/>
    <w:rsid w:val="00D45266"/>
    <w:rsid w:val="00D53D9B"/>
    <w:rsid w:val="00D54919"/>
    <w:rsid w:val="00D6572B"/>
    <w:rsid w:val="00D878BE"/>
    <w:rsid w:val="00DA20CE"/>
    <w:rsid w:val="00DB00D4"/>
    <w:rsid w:val="00DB7EA1"/>
    <w:rsid w:val="00DC5652"/>
    <w:rsid w:val="00DC7691"/>
    <w:rsid w:val="00DD1EC6"/>
    <w:rsid w:val="00DE6FB7"/>
    <w:rsid w:val="00E10F60"/>
    <w:rsid w:val="00E34420"/>
    <w:rsid w:val="00E373FB"/>
    <w:rsid w:val="00E445EC"/>
    <w:rsid w:val="00E825EF"/>
    <w:rsid w:val="00E838F5"/>
    <w:rsid w:val="00E83965"/>
    <w:rsid w:val="00E93555"/>
    <w:rsid w:val="00EB10A5"/>
    <w:rsid w:val="00EB1D3B"/>
    <w:rsid w:val="00EC04AD"/>
    <w:rsid w:val="00EC0740"/>
    <w:rsid w:val="00ED4B31"/>
    <w:rsid w:val="00F20681"/>
    <w:rsid w:val="00F42B60"/>
    <w:rsid w:val="00F55C1B"/>
    <w:rsid w:val="00F57BA1"/>
    <w:rsid w:val="00F86F67"/>
    <w:rsid w:val="00FA2D86"/>
    <w:rsid w:val="00FB0FE8"/>
    <w:rsid w:val="00FB230E"/>
    <w:rsid w:val="00FC2790"/>
    <w:rsid w:val="00FE2F64"/>
    <w:rsid w:val="00FE34BD"/>
    <w:rsid w:val="00FE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BD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EA4"/>
    <w:pPr>
      <w:keepNext/>
      <w:keepLines/>
      <w:spacing w:before="200" w:after="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6EBD"/>
    <w:pPr>
      <w:keepNext/>
      <w:suppressAutoHyphens/>
      <w:spacing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A2EA4"/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C6EBD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C6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6E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923C9E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037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A1B7F"/>
    <w:pPr>
      <w:ind w:left="720"/>
      <w:contextualSpacing/>
    </w:pPr>
  </w:style>
  <w:style w:type="paragraph" w:customStyle="1" w:styleId="1">
    <w:name w:val="Стиль1"/>
    <w:basedOn w:val="Normal"/>
    <w:uiPriority w:val="99"/>
    <w:rsid w:val="00E445EC"/>
    <w:pPr>
      <w:spacing w:after="0" w:line="240" w:lineRule="auto"/>
      <w:ind w:firstLine="851"/>
      <w:jc w:val="both"/>
    </w:pPr>
    <w:rPr>
      <w:rFonts w:ascii="Arial" w:eastAsia="Times New Roman" w:hAnsi="Arial"/>
      <w:szCs w:val="24"/>
      <w:lang w:eastAsia="ru-RU"/>
    </w:rPr>
  </w:style>
  <w:style w:type="character" w:styleId="Hyperlink">
    <w:name w:val="Hyperlink"/>
    <w:basedOn w:val="DefaultParagraphFont"/>
    <w:uiPriority w:val="99"/>
    <w:rsid w:val="00593725"/>
    <w:rPr>
      <w:rFonts w:cs="Times New Roman"/>
      <w:color w:val="0000FF"/>
      <w:u w:val="single"/>
    </w:rPr>
  </w:style>
  <w:style w:type="character" w:customStyle="1" w:styleId="shorttext">
    <w:name w:val="short_text"/>
    <w:basedOn w:val="DefaultParagraphFont"/>
    <w:uiPriority w:val="99"/>
    <w:rsid w:val="00D4526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0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81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81F"/>
    <w:rPr>
      <w:rFonts w:cs="Times New Roman"/>
    </w:rPr>
  </w:style>
  <w:style w:type="character" w:styleId="PageNumber">
    <w:name w:val="page number"/>
    <w:basedOn w:val="DefaultParagraphFont"/>
    <w:uiPriority w:val="99"/>
    <w:rsid w:val="00411D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8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7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78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uchinEM@volgatech.net" TargetMode="External"/><Relationship Id="rId13" Type="http://schemas.openxmlformats.org/officeDocument/2006/relationships/hyperlink" Target="mailto:OnuchinEM@volgatech.net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mailto:MedyakovAA@volgatech.net" TargetMode="External"/><Relationship Id="rId12" Type="http://schemas.openxmlformats.org/officeDocument/2006/relationships/hyperlink" Target="mailto:MedyakovAA@volgatech.net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SvechnikovVN@volgatech.net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vechnikovVN@volgatech.net" TargetMode="External"/><Relationship Id="rId24" Type="http://schemas.openxmlformats.org/officeDocument/2006/relationships/hyperlink" Target="http://ej.kubagro.ru/2014/07/pdf/122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astochkinDM@volgatech.net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mailto:LastochkinDM@volgatech.net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amenskihAD@volgatech.net" TargetMode="External"/><Relationship Id="rId14" Type="http://schemas.openxmlformats.org/officeDocument/2006/relationships/hyperlink" Target="mailto:KamenskihAD@volgatech.net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12</Pages>
  <Words>2847</Words>
  <Characters>16228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MakBook L</dc:creator>
  <cp:keywords/>
  <dc:description/>
  <cp:lastModifiedBy>Sergey</cp:lastModifiedBy>
  <cp:revision>32</cp:revision>
  <cp:lastPrinted>2017-05-30T11:19:00Z</cp:lastPrinted>
  <dcterms:created xsi:type="dcterms:W3CDTF">2017-06-01T10:36:00Z</dcterms:created>
  <dcterms:modified xsi:type="dcterms:W3CDTF">2017-06-22T13:11:00Z</dcterms:modified>
</cp:coreProperties>
</file>