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4" w:type="dxa"/>
        <w:tblLook w:val="0000"/>
      </w:tblPr>
      <w:tblGrid>
        <w:gridCol w:w="4644"/>
        <w:gridCol w:w="4680"/>
      </w:tblGrid>
      <w:tr w:rsidR="00BD6D7F" w:rsidRPr="004868A4" w:rsidTr="00196D27">
        <w:trPr>
          <w:trHeight w:val="286"/>
        </w:trPr>
        <w:tc>
          <w:tcPr>
            <w:tcW w:w="4644" w:type="dxa"/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УДК 658.155</w:t>
            </w:r>
          </w:p>
        </w:tc>
        <w:tc>
          <w:tcPr>
            <w:tcW w:w="4680" w:type="dxa"/>
          </w:tcPr>
          <w:p w:rsidR="00BD6D7F" w:rsidRPr="004868A4" w:rsidRDefault="00BD6D7F" w:rsidP="004868A4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UDC 658.155</w:t>
            </w:r>
          </w:p>
        </w:tc>
      </w:tr>
      <w:tr w:rsidR="00BD6D7F" w:rsidRPr="004868A4" w:rsidTr="00196D27">
        <w:tblPrEx>
          <w:tblCellMar>
            <w:left w:w="10" w:type="dxa"/>
            <w:right w:w="10" w:type="dxa"/>
          </w:tblCellMar>
          <w:tblLook w:val="00A0"/>
        </w:tblPrEx>
        <w:trPr>
          <w:trHeight w:val="274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08.00.00  Экономические науки</w:t>
            </w: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Economic</w:t>
            </w:r>
            <w:r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  <w:t xml:space="preserve"> </w:t>
            </w: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sciences</w:t>
            </w:r>
          </w:p>
        </w:tc>
      </w:tr>
      <w:tr w:rsidR="00BD6D7F" w:rsidRPr="004868A4" w:rsidTr="00196D27">
        <w:tblPrEx>
          <w:tblCellMar>
            <w:left w:w="10" w:type="dxa"/>
            <w:right w:w="10" w:type="dxa"/>
          </w:tblCellMar>
          <w:tblLook w:val="00A0"/>
        </w:tblPrEx>
        <w:trPr>
          <w:trHeight w:val="769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868A4">
              <w:rPr>
                <w:rFonts w:ascii="Times New Roman" w:hAnsi="Times New Roman"/>
                <w:b/>
                <w:sz w:val="20"/>
                <w:szCs w:val="20"/>
              </w:rPr>
              <w:t>ФОРМИРОВАНИЕ ОТЧЕТА О ФИНАНСОВЫХ РЕЗУЛЬТАТАХ  КАК ФУНКЦИЯ УПРАВЛЕНИЯ ПРОИЗВОДСТВЕННЫМИ РЕСУРСАМИ</w:t>
            </w:r>
          </w:p>
          <w:p w:rsidR="00BD6D7F" w:rsidRPr="004868A4" w:rsidRDefault="00BD6D7F" w:rsidP="004868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68A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FORMATION OF THE REPORT ON FINANCIAL RESULTS AS THE FUNCTION OF MANAGEMENT OF PRODUCTION RESOURCES</w:t>
            </w:r>
          </w:p>
        </w:tc>
      </w:tr>
      <w:tr w:rsidR="00BD6D7F" w:rsidRPr="004868A4" w:rsidTr="00196D27">
        <w:tblPrEx>
          <w:tblCellMar>
            <w:left w:w="10" w:type="dxa"/>
            <w:right w:w="10" w:type="dxa"/>
          </w:tblCellMar>
          <w:tblLook w:val="00A0"/>
        </w:tblPrEx>
        <w:trPr>
          <w:trHeight w:val="601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Прудников Анатолий Григорьевич</w:t>
            </w:r>
          </w:p>
          <w:p w:rsidR="00BD6D7F" w:rsidRPr="004868A4" w:rsidRDefault="00BD6D7F" w:rsidP="004868A4">
            <w:pPr>
              <w:widowControl w:val="0"/>
              <w:tabs>
                <w:tab w:val="left" w:pos="5949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868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д. э. н., профессор </w:t>
            </w:r>
            <w:r w:rsidRPr="004868A4">
              <w:rPr>
                <w:rFonts w:ascii="Times New Roman" w:hAnsi="Times New Roman"/>
                <w:sz w:val="20"/>
                <w:szCs w:val="20"/>
                <w:lang w:eastAsia="ar-SA"/>
              </w:rPr>
              <w:t>кафедры экономического анализа</w:t>
            </w:r>
          </w:p>
          <w:p w:rsidR="00BD6D7F" w:rsidRPr="004868A4" w:rsidRDefault="00BD6D7F" w:rsidP="004868A4">
            <w:pPr>
              <w:widowControl w:val="0"/>
              <w:tabs>
                <w:tab w:val="left" w:pos="5949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  <w:t>Prudnikov Anatoly Grigoryevich</w:t>
            </w: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val="en-US" w:eastAsia="zh-CN" w:bidi="hi-IN"/>
              </w:rPr>
            </w:pPr>
            <w:r w:rsidRPr="004868A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Dr.Sci.Econ., </w:t>
            </w:r>
            <w:r w:rsidRPr="004868A4">
              <w:rPr>
                <w:rFonts w:ascii="Times New Roman" w:hAnsi="Times New Roman"/>
                <w:sz w:val="20"/>
                <w:szCs w:val="20"/>
                <w:lang w:val="en-US" w:eastAsia="ar-SA"/>
              </w:rPr>
              <w:t>professor, the Chair of economic analysis</w:t>
            </w:r>
          </w:p>
        </w:tc>
      </w:tr>
      <w:tr w:rsidR="00BD6D7F" w:rsidRPr="00F67FA4" w:rsidTr="00196D27">
        <w:tblPrEx>
          <w:tblCellMar>
            <w:left w:w="10" w:type="dxa"/>
            <w:right w:w="10" w:type="dxa"/>
          </w:tblCellMar>
          <w:tblLook w:val="00A0"/>
        </w:tblPrEx>
        <w:trPr>
          <w:trHeight w:val="519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Редина Виктория Эрнстовна</w:t>
            </w: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Магистрант</w:t>
            </w: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  <w:t>Redina Victoria Ernstovna</w:t>
            </w:r>
          </w:p>
          <w:p w:rsidR="00BD6D7F" w:rsidRPr="00F67FA4" w:rsidRDefault="00BD6D7F" w:rsidP="004868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68A4">
              <w:rPr>
                <w:rFonts w:ascii="Times New Roman" w:hAnsi="Times New Roman"/>
                <w:sz w:val="20"/>
                <w:szCs w:val="20"/>
                <w:lang w:val="en-US"/>
              </w:rPr>
              <w:t>Undergraduate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BD6D7F" w:rsidRPr="004868A4" w:rsidTr="00196D27">
        <w:tblPrEx>
          <w:tblCellMar>
            <w:left w:w="10" w:type="dxa"/>
            <w:right w:w="10" w:type="dxa"/>
          </w:tblCellMar>
          <w:tblLook w:val="00A0"/>
        </w:tblPrEx>
        <w:trPr>
          <w:trHeight w:val="387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eastAsia="zh-CN" w:bidi="hi-IN"/>
              </w:rPr>
              <w:t>Кубанский государственный аграрный университет, Краснодар, Россия</w:t>
            </w: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val="en-US" w:eastAsia="zh-CN" w:bidi="hi-IN"/>
              </w:rPr>
            </w:pPr>
            <w:smartTag w:uri="urn:schemas-microsoft-com:office:smarttags" w:element="PlaceName">
              <w:r w:rsidRPr="004868A4">
                <w:rPr>
                  <w:rFonts w:ascii="Times New Roman" w:eastAsia="SimSun" w:hAnsi="Times New Roman"/>
                  <w:i/>
                  <w:iCs/>
                  <w:kern w:val="3"/>
                  <w:sz w:val="20"/>
                  <w:szCs w:val="20"/>
                  <w:lang w:val="en-US" w:eastAsia="zh-CN" w:bidi="hi-IN"/>
                </w:rPr>
                <w:t>Kuban</w:t>
              </w:r>
            </w:smartTag>
            <w:r w:rsidRPr="004868A4"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val="en-US" w:eastAsia="zh-CN" w:bidi="hi-IN"/>
              </w:rPr>
              <w:t xml:space="preserve"> </w:t>
            </w:r>
            <w:smartTag w:uri="urn:schemas-microsoft-com:office:smarttags" w:element="PlaceType">
              <w:r w:rsidRPr="004868A4">
                <w:rPr>
                  <w:rFonts w:ascii="Times New Roman" w:eastAsia="SimSun" w:hAnsi="Times New Roman"/>
                  <w:i/>
                  <w:iCs/>
                  <w:kern w:val="3"/>
                  <w:sz w:val="20"/>
                  <w:szCs w:val="20"/>
                  <w:lang w:val="en-US" w:eastAsia="zh-CN" w:bidi="hi-IN"/>
                </w:rPr>
                <w:t>State</w:t>
              </w:r>
            </w:smartTag>
            <w:r w:rsidRPr="004868A4"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val="en-US" w:eastAsia="zh-CN" w:bidi="hi-IN"/>
              </w:rPr>
              <w:t xml:space="preserve"> </w:t>
            </w:r>
            <w:smartTag w:uri="urn:schemas-microsoft-com:office:smarttags" w:element="PlaceName">
              <w:r w:rsidRPr="004868A4">
                <w:rPr>
                  <w:rFonts w:ascii="Times New Roman" w:eastAsia="SimSun" w:hAnsi="Times New Roman"/>
                  <w:i/>
                  <w:iCs/>
                  <w:kern w:val="3"/>
                  <w:sz w:val="20"/>
                  <w:szCs w:val="20"/>
                  <w:lang w:val="en-US" w:eastAsia="zh-CN" w:bidi="hi-IN"/>
                </w:rPr>
                <w:t>Agrarian</w:t>
              </w:r>
            </w:smartTag>
            <w:r w:rsidRPr="004868A4"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val="en-US" w:eastAsia="zh-CN" w:bidi="hi-IN"/>
              </w:rPr>
              <w:t xml:space="preserve"> </w:t>
            </w:r>
            <w:smartTag w:uri="urn:schemas-microsoft-com:office:smarttags" w:element="PlaceType">
              <w:r w:rsidRPr="004868A4">
                <w:rPr>
                  <w:rFonts w:ascii="Times New Roman" w:eastAsia="SimSun" w:hAnsi="Times New Roman"/>
                  <w:i/>
                  <w:iCs/>
                  <w:kern w:val="3"/>
                  <w:sz w:val="20"/>
                  <w:szCs w:val="20"/>
                  <w:lang w:val="en-US" w:eastAsia="zh-CN" w:bidi="hi-IN"/>
                </w:rPr>
                <w:t>University</w:t>
              </w:r>
            </w:smartTag>
            <w:r w:rsidRPr="004868A4">
              <w:rPr>
                <w:rFonts w:ascii="Times New Roman" w:eastAsia="SimSun" w:hAnsi="Times New Roman"/>
                <w:i/>
                <w:iCs/>
                <w:kern w:val="3"/>
                <w:sz w:val="20"/>
                <w:szCs w:val="20"/>
                <w:lang w:val="en-US" w:eastAsia="zh-CN" w:bidi="hi-IN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868A4">
                  <w:rPr>
                    <w:rFonts w:ascii="Times New Roman" w:eastAsia="SimSun" w:hAnsi="Times New Roman"/>
                    <w:i/>
                    <w:iCs/>
                    <w:kern w:val="3"/>
                    <w:sz w:val="20"/>
                    <w:szCs w:val="20"/>
                    <w:lang w:val="en-US" w:eastAsia="zh-CN" w:bidi="hi-IN"/>
                  </w:rPr>
                  <w:t>Krasnodar</w:t>
                </w:r>
              </w:smartTag>
              <w:r w:rsidRPr="004868A4">
                <w:rPr>
                  <w:rFonts w:ascii="Times New Roman" w:eastAsia="SimSun" w:hAnsi="Times New Roman"/>
                  <w:i/>
                  <w:iCs/>
                  <w:kern w:val="3"/>
                  <w:sz w:val="20"/>
                  <w:szCs w:val="20"/>
                  <w:lang w:val="en-US" w:eastAsia="zh-CN" w:bidi="hi-IN"/>
                </w:rPr>
                <w:t xml:space="preserve">, </w:t>
              </w:r>
              <w:smartTag w:uri="urn:schemas-microsoft-com:office:smarttags" w:element="country-region">
                <w:r w:rsidRPr="004868A4">
                  <w:rPr>
                    <w:rFonts w:ascii="Times New Roman" w:eastAsia="SimSun" w:hAnsi="Times New Roman"/>
                    <w:i/>
                    <w:iCs/>
                    <w:kern w:val="3"/>
                    <w:sz w:val="20"/>
                    <w:szCs w:val="20"/>
                    <w:lang w:val="en-US" w:eastAsia="zh-CN" w:bidi="hi-IN"/>
                  </w:rPr>
                  <w:t>Russia</w:t>
                </w:r>
              </w:smartTag>
            </w:smartTag>
          </w:p>
        </w:tc>
      </w:tr>
      <w:tr w:rsidR="00BD6D7F" w:rsidRPr="004868A4" w:rsidTr="00196D27">
        <w:tblPrEx>
          <w:tblCellMar>
            <w:left w:w="10" w:type="dxa"/>
            <w:right w:w="10" w:type="dxa"/>
          </w:tblCellMar>
          <w:tblLook w:val="00A0"/>
        </w:tblPrEx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152B41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bCs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bCs/>
                <w:kern w:val="3"/>
                <w:sz w:val="20"/>
                <w:szCs w:val="20"/>
                <w:lang w:eastAsia="zh-CN" w:bidi="hi-IN"/>
              </w:rPr>
              <w:t>Отчет о финансовых результатах относится к числу основных форм бухгалтерской отчетности коммерческих организаций. Годовой отчет содержит данные за отчетный и предшествующий годы о полученной выручке-нетто, себестоимости проданной продукции, валовой прибыли, управленческих и коммерческих расходах, прибыли (убытке) от продаж; он включает также: доходы от участия  в других организациях; проценты к получению; проценты к уплате; прочие доходы; прочие расходы; прибыль (убыток) до налогообложения; текущий налог на прибыль; изменение отложенных налоговых обязательств; изменение отложенных налоговых активов; прочее; чистую прибыль (убыток). Справочно в отчете представлены: результаты переоценки внеоборотных активов, не включаемые в чистую прибыль (убыток) периода; результаты от прочих операций, не включаемые в чистую прибыль (убыток) периода; базовую прибыль (убыток) на акцию; разводненную прибыль (убыток) на акцию. Отчет составляется с учетом двух основополагающих принципов – метода начисления и допущения непрерывности деятельности организации. Его содержание преобразовано  в соответствии  с форматом отчета, реализованного международными стандартами финансовой отчетности  - МСФО 1 «Представление финансовой отчетности». Значение отчета о финансовых результатах определяется их ролью как критерия оценки результативности и эффективности производственно - финансовой деятельности коммерческой организации, ролью прибыли как источника финансирован</w:t>
            </w:r>
            <w:r>
              <w:rPr>
                <w:rFonts w:ascii="Times New Roman" w:eastAsia="SimSun" w:hAnsi="Times New Roman"/>
                <w:bCs/>
                <w:kern w:val="3"/>
                <w:sz w:val="20"/>
                <w:szCs w:val="20"/>
                <w:lang w:eastAsia="zh-CN" w:bidi="hi-IN"/>
              </w:rPr>
              <w:t>ия расширенного воспроизводства</w:t>
            </w: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  <w:t>The report on financial results is among the main forms of financial statements of commercial organizations. Annual report contains data for the reporting and prior years received revenue-net cost of products sold gross profit administrative and commercial costs, profit (loss) from sales; it also includes: income from participation in other entities; interest income; interest expense; other income; other expenses; profit (loss) before taxation current profit tax; change of deferred tax obligations change of deferred tax assets other net profit (loss). Reference in report: results of revaluation of non-current assets not included in net profit (loss) of the period results of other operations not included in net profit (loss) for the period basic earnings (loss) per share; diluted earnings (loss) per share. The report is based on two fundamental principles – the method of calculation and assumptions the continuity of the organization. Its content transformed in accordance with the format of the report, implemented the international financial reporting standards - IFRS 1 "Presentation of financial statements".  The value of the statement of financial performance is determined by their role as criteria of effectiveness and efficiency of industrial - financial activities of business organizations, the role of profit as source of fin</w:t>
            </w:r>
            <w:r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  <w:t>ancing of expanded reproduction</w:t>
            </w:r>
          </w:p>
        </w:tc>
      </w:tr>
      <w:tr w:rsidR="00BD6D7F" w:rsidRPr="004868A4" w:rsidTr="00196D27">
        <w:tblPrEx>
          <w:tblCellMar>
            <w:left w:w="10" w:type="dxa"/>
            <w:right w:w="10" w:type="dxa"/>
          </w:tblCellMar>
          <w:tblLook w:val="00A0"/>
        </w:tblPrEx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152B41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</w:pPr>
            <w:r w:rsidRPr="004868A4"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 xml:space="preserve">Ключевые слова: АГРАРНОЕ ПРЕДПРИЯТИЕ, ВЫРУЧКА, ПЛАТЕЖЕСПОСОБНОСТЬ, ПРИБЫЛЬ, ОБОРАЧИВАЕМОСТЬ АКТИВОВ, ОБОРАЧИВАЕМОСТЬ СОБСТВЕННОГО КАПИТАЛА, РЕНТАБЕЛЬНОСТЬ, РЕЗЕРВЫ </w:t>
            </w:r>
            <w:r>
              <w:rPr>
                <w:rFonts w:ascii="Times New Roman" w:eastAsia="SimSun" w:hAnsi="Times New Roman"/>
                <w:kern w:val="3"/>
                <w:sz w:val="20"/>
                <w:szCs w:val="20"/>
                <w:lang w:eastAsia="zh-CN" w:bidi="hi-IN"/>
              </w:rPr>
              <w:t>ПОВЫШЕНИЯ РЕЗУЛЬТАТИВНОСТИ</w:t>
            </w:r>
          </w:p>
          <w:p w:rsidR="00BD6D7F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</w:p>
          <w:p w:rsidR="00BD6D7F" w:rsidRPr="00F67F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  <w:bookmarkStart w:id="0" w:name="OLE_LINK14"/>
            <w:bookmarkStart w:id="1" w:name="OLE_LINK15"/>
            <w:bookmarkStart w:id="2" w:name="OLE_LINK16"/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DE2E28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-0</w:t>
            </w:r>
            <w:bookmarkEnd w:id="0"/>
            <w:bookmarkEnd w:id="1"/>
            <w:bookmarkEnd w:id="2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69</w:t>
            </w: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D7F" w:rsidRPr="004868A4" w:rsidRDefault="00BD6D7F" w:rsidP="004868A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4868A4"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 xml:space="preserve">Keywords: </w:t>
            </w:r>
            <w:r w:rsidRPr="004868A4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AGRARIAN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4868A4">
              <w:rPr>
                <w:rFonts w:ascii="Times New Roman" w:hAnsi="Times New Roman" w:cs="Times New Roman"/>
                <w:lang w:val="en-US"/>
              </w:rPr>
              <w:t>COMPANY</w:t>
            </w:r>
            <w:r w:rsidRPr="004868A4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 REVENUE, RESPONSIBILITY</w:t>
            </w:r>
            <w:r w:rsidRPr="004868A4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868A4">
              <w:rPr>
                <w:rFonts w:ascii="Times New Roman" w:hAnsi="Times New Roman" w:cs="Times New Roman"/>
                <w:lang w:val="en-US"/>
              </w:rPr>
              <w:t>PROFIT,</w:t>
            </w:r>
          </w:p>
          <w:p w:rsidR="00BD6D7F" w:rsidRPr="004868A4" w:rsidRDefault="00BD6D7F" w:rsidP="004868A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4868A4">
              <w:rPr>
                <w:rFonts w:ascii="Times New Roman" w:hAnsi="Times New Roman" w:cs="Times New Roman"/>
                <w:lang w:val="en-US"/>
              </w:rPr>
              <w:t>TURNOVER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868A4">
              <w:rPr>
                <w:rFonts w:ascii="Times New Roman" w:hAnsi="Times New Roman" w:cs="Times New Roman"/>
                <w:lang w:val="en-US"/>
              </w:rPr>
              <w:t>OF ASSETS,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868A4">
              <w:rPr>
                <w:rFonts w:ascii="Times New Roman" w:hAnsi="Times New Roman" w:cs="Times New Roman"/>
                <w:lang w:val="en-US"/>
              </w:rPr>
              <w:t>TURNOVER</w:t>
            </w:r>
            <w:r>
              <w:rPr>
                <w:rFonts w:ascii="Times New Roman" w:hAnsi="Times New Roman" w:cs="Times New Roman"/>
                <w:lang w:val="en-US"/>
              </w:rPr>
              <w:t xml:space="preserve"> OF </w:t>
            </w:r>
            <w:r w:rsidRPr="004868A4">
              <w:rPr>
                <w:rFonts w:ascii="Times New Roman" w:hAnsi="Times New Roman" w:cs="Times New Roman"/>
                <w:lang w:val="en-US"/>
              </w:rPr>
              <w:t>OWN CAPITAL, PROFITABILITY, RESERVES OF INCREASE OF PRODUCTIVITY</w:t>
            </w:r>
          </w:p>
          <w:p w:rsidR="00BD6D7F" w:rsidRPr="004868A4" w:rsidRDefault="00BD6D7F" w:rsidP="004868A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en-US" w:eastAsia="zh-CN" w:bidi="hi-IN"/>
              </w:rPr>
            </w:pPr>
          </w:p>
        </w:tc>
      </w:tr>
    </w:tbl>
    <w:p w:rsidR="00BD6D7F" w:rsidRPr="004868A4" w:rsidRDefault="00BD6D7F" w:rsidP="00F4587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8"/>
          <w:szCs w:val="28"/>
          <w:lang w:val="en-US"/>
        </w:rPr>
      </w:pPr>
    </w:p>
    <w:p w:rsidR="00BD6D7F" w:rsidRDefault="00BD6D7F" w:rsidP="00F4587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26A5D">
        <w:rPr>
          <w:rFonts w:ascii="Times New Roman" w:hAnsi="Times New Roman"/>
          <w:bCs/>
          <w:kern w:val="36"/>
          <w:sz w:val="28"/>
          <w:szCs w:val="28"/>
        </w:rPr>
        <w:t>Эффективная работа современного предприятия невозможна без хорошо налаженной системы управленческого учета и отчетн</w:t>
      </w:r>
      <w:r>
        <w:rPr>
          <w:rFonts w:ascii="Times New Roman" w:hAnsi="Times New Roman"/>
          <w:bCs/>
          <w:kern w:val="36"/>
          <w:sz w:val="28"/>
          <w:szCs w:val="28"/>
        </w:rPr>
        <w:t>ости на всех уровнях управления, формирующих во многом финансовые результаты, являющиеся одними и</w:t>
      </w:r>
      <w:bookmarkStart w:id="3" w:name="_GoBack"/>
      <w:bookmarkEnd w:id="3"/>
      <w:r>
        <w:rPr>
          <w:rFonts w:ascii="Times New Roman" w:hAnsi="Times New Roman"/>
          <w:bCs/>
          <w:kern w:val="36"/>
          <w:sz w:val="28"/>
          <w:szCs w:val="28"/>
        </w:rPr>
        <w:t xml:space="preserve">з основных оценочных показателей и характеризующих эффективность </w:t>
      </w:r>
      <w:r w:rsidRPr="00A02874">
        <w:rPr>
          <w:rFonts w:ascii="Times New Roman" w:hAnsi="Times New Roman"/>
          <w:sz w:val="28"/>
          <w:szCs w:val="28"/>
        </w:rPr>
        <w:t>производственно-хозяйственной деятельности и рациональность использования всех ресурсов</w:t>
      </w:r>
      <w:r w:rsidRPr="00883B33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.</w:t>
      </w:r>
    </w:p>
    <w:p w:rsidR="00BD6D7F" w:rsidRPr="00A02874" w:rsidRDefault="00BD6D7F" w:rsidP="00A028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отчета о финансовых результатах</w:t>
      </w:r>
      <w:r w:rsidRPr="00A02874">
        <w:rPr>
          <w:rFonts w:ascii="Times New Roman" w:hAnsi="Times New Roman"/>
          <w:sz w:val="28"/>
          <w:szCs w:val="28"/>
        </w:rPr>
        <w:t xml:space="preserve"> применя</w:t>
      </w:r>
      <w:r>
        <w:rPr>
          <w:rFonts w:ascii="Times New Roman" w:hAnsi="Times New Roman"/>
          <w:sz w:val="28"/>
          <w:szCs w:val="28"/>
        </w:rPr>
        <w:t>ю</w:t>
      </w:r>
      <w:r w:rsidRPr="00A02874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, с одной стороны,</w:t>
      </w:r>
      <w:r w:rsidRPr="00A02874">
        <w:rPr>
          <w:rFonts w:ascii="Times New Roman" w:hAnsi="Times New Roman"/>
          <w:sz w:val="28"/>
          <w:szCs w:val="28"/>
        </w:rPr>
        <w:t xml:space="preserve"> в качестве расчетно-аналитическ</w:t>
      </w:r>
      <w:r>
        <w:rPr>
          <w:rFonts w:ascii="Times New Roman" w:hAnsi="Times New Roman"/>
          <w:sz w:val="28"/>
          <w:szCs w:val="28"/>
        </w:rPr>
        <w:t>их</w:t>
      </w:r>
      <w:r w:rsidRPr="00A02874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A02874">
        <w:rPr>
          <w:rFonts w:ascii="Times New Roman" w:hAnsi="Times New Roman"/>
          <w:sz w:val="28"/>
          <w:szCs w:val="28"/>
        </w:rPr>
        <w:t xml:space="preserve"> в целях углубленного анализа эффективности работы организации </w:t>
      </w:r>
      <w:r>
        <w:rPr>
          <w:rFonts w:ascii="Times New Roman" w:hAnsi="Times New Roman"/>
          <w:sz w:val="28"/>
          <w:szCs w:val="28"/>
        </w:rPr>
        <w:t>и ее подразделений, позволяют выявить взаимосвязь показателей и их тенденцию</w:t>
      </w:r>
      <w:r w:rsidRPr="00AB1662">
        <w:rPr>
          <w:rFonts w:ascii="Times New Roman" w:hAnsi="Times New Roman"/>
          <w:sz w:val="28"/>
          <w:szCs w:val="28"/>
        </w:rPr>
        <w:t>[9]</w:t>
      </w:r>
      <w:r>
        <w:rPr>
          <w:rFonts w:ascii="Times New Roman" w:hAnsi="Times New Roman"/>
          <w:sz w:val="28"/>
          <w:szCs w:val="28"/>
        </w:rPr>
        <w:t xml:space="preserve">. А, с другой, </w:t>
      </w:r>
      <w:r w:rsidRPr="00851AE2"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</w:rPr>
        <w:t>ю</w:t>
      </w:r>
      <w:r w:rsidRPr="00851AE2">
        <w:rPr>
          <w:rFonts w:ascii="Times New Roman" w:hAnsi="Times New Roman"/>
          <w:sz w:val="28"/>
          <w:szCs w:val="28"/>
        </w:rPr>
        <w:t>тся основой принятия управленческих решений, обеспечивающих увеличение выручки, различных видов прибыли и минимизацию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BD6D7F" w:rsidRDefault="00BD6D7F" w:rsidP="002333A8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Достижению высокого уровня эффективности деятельности хозяйствующего субъекта способствует ситуация, когда </w:t>
      </w:r>
      <w:r w:rsidRPr="00D26F99">
        <w:rPr>
          <w:sz w:val="28"/>
          <w:szCs w:val="28"/>
        </w:rPr>
        <w:t>все элементы управленч</w:t>
      </w:r>
      <w:r>
        <w:rPr>
          <w:sz w:val="28"/>
          <w:szCs w:val="28"/>
        </w:rPr>
        <w:t xml:space="preserve">еского процесса реализуются </w:t>
      </w:r>
      <w:r w:rsidRPr="00D26F99">
        <w:rPr>
          <w:sz w:val="28"/>
          <w:szCs w:val="28"/>
        </w:rPr>
        <w:t>не последовательно, а одновреме</w:t>
      </w:r>
      <w:r>
        <w:rPr>
          <w:sz w:val="28"/>
          <w:szCs w:val="28"/>
        </w:rPr>
        <w:t>нно</w:t>
      </w:r>
      <w:r w:rsidRPr="00D26F99">
        <w:rPr>
          <w:sz w:val="28"/>
          <w:szCs w:val="28"/>
        </w:rPr>
        <w:t>, в комплексе</w:t>
      </w:r>
      <w:r>
        <w:rPr>
          <w:sz w:val="28"/>
          <w:szCs w:val="28"/>
        </w:rPr>
        <w:t xml:space="preserve"> оптимального их сочетания</w:t>
      </w:r>
      <w:r w:rsidRPr="00D26F99">
        <w:rPr>
          <w:sz w:val="28"/>
          <w:szCs w:val="28"/>
        </w:rPr>
        <w:t xml:space="preserve"> (рис</w:t>
      </w:r>
      <w:r>
        <w:rPr>
          <w:sz w:val="28"/>
          <w:szCs w:val="28"/>
        </w:rPr>
        <w:t>. 1).</w:t>
      </w:r>
    </w:p>
    <w:p w:rsidR="00BD6D7F" w:rsidRDefault="00BD6D7F" w:rsidP="006669BA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63F6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8.4pt;height:173.4pt;visibility:visible">
            <v:imagedata r:id="rId7" o:title=""/>
          </v:shape>
        </w:pict>
      </w:r>
    </w:p>
    <w:p w:rsidR="00BD6D7F" w:rsidRDefault="00BD6D7F" w:rsidP="002333A8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Формирование и использование информации в процессе управления предприятием</w:t>
      </w:r>
    </w:p>
    <w:p w:rsidR="00BD6D7F" w:rsidRDefault="00BD6D7F" w:rsidP="002333A8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6F99">
        <w:rPr>
          <w:sz w:val="28"/>
          <w:szCs w:val="28"/>
        </w:rPr>
        <w:t>При функционировании каждого, в рамках его предмета и метода, формируется специфическая информация. Например, в процессе стратегического планирования – программы, тактического – бюджеты, сметы, планы, нормативы; в процессе контроля – регламенты, отчеты, задания, предписания; в процессе анализа – сводные аналитические расчетные данные о внешней и внутренней эффективности</w:t>
      </w:r>
      <w:r w:rsidRPr="00A901EA">
        <w:rPr>
          <w:sz w:val="28"/>
          <w:szCs w:val="28"/>
        </w:rPr>
        <w:t>[4]</w:t>
      </w:r>
      <w:r w:rsidRPr="00D26F99">
        <w:rPr>
          <w:sz w:val="28"/>
          <w:szCs w:val="28"/>
        </w:rPr>
        <w:t>.</w:t>
      </w:r>
    </w:p>
    <w:p w:rsidR="00BD6D7F" w:rsidRPr="002F64DF" w:rsidRDefault="00BD6D7F" w:rsidP="00A0287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F64DF">
        <w:rPr>
          <w:sz w:val="28"/>
          <w:szCs w:val="28"/>
        </w:rPr>
        <w:t>Аграрным предприятиям приходится принимать управленческие решения в современных, быстро меняющихся условиях хозяйствования, которые характеризуются высокой степенью риска и неопределенности</w:t>
      </w:r>
      <w:r w:rsidRPr="00D45FDD">
        <w:rPr>
          <w:sz w:val="28"/>
          <w:szCs w:val="28"/>
        </w:rPr>
        <w:t>[5]</w:t>
      </w:r>
      <w:r w:rsidRPr="002F64DF">
        <w:rPr>
          <w:sz w:val="28"/>
          <w:szCs w:val="28"/>
        </w:rPr>
        <w:t>. На результаты деятельности сельхозпроизводителей существенное влияние оказывают климатические условия, особенно в отрасли растениеводства</w:t>
      </w:r>
      <w:r w:rsidRPr="00883B33">
        <w:rPr>
          <w:sz w:val="28"/>
          <w:szCs w:val="28"/>
        </w:rPr>
        <w:t xml:space="preserve"> [2]</w:t>
      </w:r>
      <w:r w:rsidRPr="002F64DF">
        <w:rPr>
          <w:sz w:val="28"/>
          <w:szCs w:val="28"/>
        </w:rPr>
        <w:t>. В связи с этим наиболее характерными для аграрной сферы являются риски:</w:t>
      </w:r>
    </w:p>
    <w:p w:rsidR="00BD6D7F" w:rsidRDefault="00BD6D7F" w:rsidP="00BC2D7A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778"/>
        <w:jc w:val="both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производственный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который может привести к убыткам в результате нарушения процесса производства</w:t>
      </w:r>
      <w:r>
        <w:rPr>
          <w:rFonts w:ascii="Times" w:hAnsi="Times" w:cs="Times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выбытия основных фондов</w:t>
      </w:r>
      <w:r>
        <w:rPr>
          <w:rFonts w:ascii="Times" w:hAnsi="Times" w:cs="Times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снижения качественных показателей</w:t>
      </w:r>
      <w:r>
        <w:rPr>
          <w:rFonts w:ascii="Times" w:hAnsi="Times" w:cs="Times"/>
          <w:sz w:val="28"/>
          <w:szCs w:val="28"/>
        </w:rPr>
        <w:t>;</w:t>
      </w:r>
    </w:p>
    <w:p w:rsidR="00BD6D7F" w:rsidRDefault="00BD6D7F" w:rsidP="00BC2D7A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790"/>
        <w:jc w:val="both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рыночный риск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связанный с изменением валютных курсов и цен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инфляцией</w:t>
      </w:r>
      <w:r>
        <w:rPr>
          <w:rFonts w:ascii="Times" w:hAnsi="Times" w:cs="Times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конкуренцией</w:t>
      </w:r>
      <w:r>
        <w:rPr>
          <w:rFonts w:ascii="Times" w:hAnsi="Times" w:cs="Times"/>
          <w:sz w:val="28"/>
          <w:szCs w:val="28"/>
        </w:rPr>
        <w:t>;</w:t>
      </w:r>
    </w:p>
    <w:p w:rsidR="00BD6D7F" w:rsidRPr="002F64DF" w:rsidRDefault="00BD6D7F" w:rsidP="00A0287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Fonts w:ascii="Times" w:hAnsi="Times" w:cs="Times"/>
          <w:sz w:val="28"/>
          <w:szCs w:val="28"/>
        </w:rPr>
        <w:t xml:space="preserve">– </w:t>
      </w:r>
      <w:r>
        <w:rPr>
          <w:sz w:val="28"/>
          <w:szCs w:val="28"/>
        </w:rPr>
        <w:t>финансовый риск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sz w:val="28"/>
          <w:szCs w:val="28"/>
        </w:rPr>
        <w:t>связанный с уменьшением прибыли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sz w:val="28"/>
          <w:szCs w:val="28"/>
        </w:rPr>
        <w:t>доходов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sz w:val="28"/>
          <w:szCs w:val="28"/>
        </w:rPr>
        <w:t>капитала</w:t>
      </w:r>
      <w:r>
        <w:rPr>
          <w:rFonts w:ascii="Times" w:hAnsi="Times" w:cs="Times"/>
          <w:sz w:val="28"/>
          <w:szCs w:val="28"/>
        </w:rPr>
        <w:t>.</w:t>
      </w:r>
    </w:p>
    <w:p w:rsidR="00BD6D7F" w:rsidRDefault="00BD6D7F" w:rsidP="00BC2D7A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аграрным предприятиям приходится функционировать в динамичных экономических условиях</w:t>
      </w:r>
      <w:r>
        <w:rPr>
          <w:rFonts w:ascii="Times" w:hAnsi="Times" w:cs="Times"/>
          <w:sz w:val="28"/>
          <w:szCs w:val="28"/>
        </w:rPr>
        <w:t>.</w:t>
      </w:r>
      <w:r>
        <w:rPr>
          <w:rFonts w:cs="Times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этим успешная деятельность в сельском хозяйстве во многом зависит от умения оценить ситуацию</w:t>
      </w:r>
      <w:r>
        <w:rPr>
          <w:rFonts w:ascii="Times" w:hAnsi="Times" w:cs="Times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подготовить и реализовать комплекс управленческих решений по снижению рисков</w:t>
      </w:r>
      <w:r>
        <w:rPr>
          <w:rFonts w:ascii="Times" w:hAnsi="Times" w:cs="Times"/>
          <w:sz w:val="28"/>
          <w:szCs w:val="28"/>
        </w:rPr>
        <w:t>.</w:t>
      </w:r>
    </w:p>
    <w:p w:rsidR="00BD6D7F" w:rsidRPr="00320CB5" w:rsidRDefault="00BD6D7F" w:rsidP="00F45A20">
      <w:pPr>
        <w:spacing w:after="0" w:line="360" w:lineRule="auto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высокой эффективности управленческих функций финансовой отчетности свидетельствуют результаты деятельности ОАО «Агрообъединение «Кубань» Усть-Лабинского района. </w:t>
      </w:r>
      <w:r>
        <w:rPr>
          <w:rFonts w:ascii="Times New Roman" w:eastAsia="SimSun" w:hAnsi="Times New Roman"/>
          <w:color w:val="000000"/>
          <w:sz w:val="28"/>
          <w:szCs w:val="28"/>
        </w:rPr>
        <w:t>Это</w:t>
      </w:r>
      <w:r w:rsidRPr="00320CB5">
        <w:rPr>
          <w:rFonts w:ascii="Times New Roman" w:eastAsia="SimSun" w:hAnsi="Times New Roman"/>
          <w:color w:val="000000"/>
          <w:sz w:val="28"/>
          <w:szCs w:val="28"/>
        </w:rPr>
        <w:t xml:space="preserve"> одно из ведущих аграрных объединений на сельскохозяйственном рынке, расположенное в самом центре Краснодарского к</w:t>
      </w:r>
      <w:r>
        <w:rPr>
          <w:rFonts w:ascii="Times New Roman" w:eastAsia="SimSun" w:hAnsi="Times New Roman"/>
          <w:color w:val="000000"/>
          <w:sz w:val="28"/>
          <w:szCs w:val="28"/>
        </w:rPr>
        <w:t xml:space="preserve">рая - Усть-Лабинском районе, в </w:t>
      </w:r>
      <w:smartTag w:uri="urn:schemas-microsoft-com:office:smarttags" w:element="metricconverter">
        <w:smartTagPr>
          <w:attr w:name="ProductID" w:val="50 км"/>
        </w:smartTagPr>
        <w:r>
          <w:rPr>
            <w:rFonts w:ascii="Times New Roman" w:eastAsia="SimSun" w:hAnsi="Times New Roman"/>
            <w:color w:val="000000"/>
            <w:sz w:val="28"/>
            <w:szCs w:val="28"/>
          </w:rPr>
          <w:t>5</w:t>
        </w:r>
        <w:r w:rsidRPr="00320CB5">
          <w:rPr>
            <w:rFonts w:ascii="Times New Roman" w:eastAsia="SimSun" w:hAnsi="Times New Roman"/>
            <w:color w:val="000000"/>
            <w:sz w:val="28"/>
            <w:szCs w:val="28"/>
          </w:rPr>
          <w:t>0 км</w:t>
        </w:r>
      </w:smartTag>
      <w:r w:rsidRPr="00320CB5">
        <w:rPr>
          <w:rFonts w:ascii="Times New Roman" w:eastAsia="SimSun" w:hAnsi="Times New Roman"/>
          <w:color w:val="000000"/>
          <w:sz w:val="28"/>
          <w:szCs w:val="28"/>
        </w:rPr>
        <w:t xml:space="preserve"> от Краснодара, в которое вошли девять сельскохозяйственных предприятий.</w:t>
      </w:r>
    </w:p>
    <w:p w:rsidR="00BD6D7F" w:rsidRPr="00F45A20" w:rsidRDefault="00BD6D7F" w:rsidP="00F45A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0CB5">
        <w:rPr>
          <w:rFonts w:ascii="Times New Roman" w:eastAsia="SimSun" w:hAnsi="Times New Roman"/>
          <w:color w:val="000000"/>
          <w:sz w:val="28"/>
          <w:szCs w:val="28"/>
        </w:rPr>
        <w:t>ОАО «Агрообъединение «Кубань» входит в состав ООО УК АгроХолдинг «Кубань» - крупнейшей аграрной бизнес</w:t>
      </w:r>
      <w:r>
        <w:rPr>
          <w:rFonts w:ascii="Times New Roman" w:eastAsia="SimSun" w:hAnsi="Times New Roman"/>
          <w:color w:val="000000"/>
          <w:sz w:val="28"/>
          <w:szCs w:val="28"/>
        </w:rPr>
        <w:t xml:space="preserve"> </w:t>
      </w:r>
      <w:r w:rsidRPr="00320CB5">
        <w:rPr>
          <w:rFonts w:ascii="Times New Roman" w:eastAsia="SimSun" w:hAnsi="Times New Roman"/>
          <w:color w:val="000000"/>
          <w:sz w:val="28"/>
          <w:szCs w:val="28"/>
        </w:rPr>
        <w:t>структуры  юга России.</w:t>
      </w:r>
      <w:r>
        <w:rPr>
          <w:rFonts w:ascii="Times New Roman" w:eastAsia="SimSun" w:hAnsi="Times New Roman"/>
          <w:color w:val="000000"/>
          <w:sz w:val="28"/>
          <w:szCs w:val="28"/>
        </w:rPr>
        <w:t xml:space="preserve"> </w:t>
      </w:r>
      <w:r w:rsidRPr="00320CB5">
        <w:rPr>
          <w:rFonts w:ascii="Times New Roman" w:eastAsia="SimSun" w:hAnsi="Times New Roman"/>
          <w:color w:val="000000"/>
          <w:sz w:val="28"/>
          <w:szCs w:val="28"/>
        </w:rPr>
        <w:t>Предприятие имеет выгодное географическое расположение: близость к основным портам России на Черном и Азовском морях, через которые осуществляется до 40% общероссийского экспорта сельхозпродукции. Почти все объекты ОАО «Агрообъединение «Кубань» расположены вблизи федеральной трассы «Краснодар».</w:t>
      </w:r>
      <w:r w:rsidRPr="00320CB5">
        <w:rPr>
          <w:rFonts w:ascii="Times New Roman" w:eastAsia="SimSun" w:hAnsi="Times New Roman"/>
          <w:bCs/>
          <w:color w:val="000000"/>
          <w:sz w:val="28"/>
          <w:szCs w:val="28"/>
        </w:rPr>
        <w:t xml:space="preserve">Основными  видами производимой продукции являются 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зерно, сахарная свекла, масло, семена подсолнечника, </w:t>
      </w:r>
      <w:r w:rsidRPr="00320CB5">
        <w:rPr>
          <w:rFonts w:ascii="Times New Roman" w:eastAsia="SimSun" w:hAnsi="Times New Roman"/>
          <w:bCs/>
          <w:color w:val="000000"/>
          <w:sz w:val="28"/>
          <w:szCs w:val="28"/>
        </w:rPr>
        <w:t>мясопродукты живой массы скота,</w:t>
      </w:r>
      <w:r w:rsidRPr="00320CB5">
        <w:rPr>
          <w:rFonts w:ascii="Times New Roman" w:eastAsia="SimSun" w:hAnsi="Times New Roman"/>
          <w:color w:val="000000"/>
          <w:sz w:val="28"/>
          <w:szCs w:val="28"/>
        </w:rPr>
        <w:t xml:space="preserve"> молоко и другая продукция. </w:t>
      </w:r>
    </w:p>
    <w:p w:rsidR="00BD6D7F" w:rsidRDefault="00BD6D7F" w:rsidP="00A0287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D7329">
        <w:rPr>
          <w:sz w:val="28"/>
          <w:szCs w:val="28"/>
        </w:rPr>
        <w:t>В хозяйстве сформировалась тенденция увеличения выручки, прибыли от п</w:t>
      </w:r>
      <w:r>
        <w:rPr>
          <w:sz w:val="28"/>
          <w:szCs w:val="28"/>
        </w:rPr>
        <w:t>родаж, чистой прибыли. Данные об</w:t>
      </w:r>
      <w:r w:rsidRPr="002D7329">
        <w:rPr>
          <w:sz w:val="28"/>
          <w:szCs w:val="28"/>
        </w:rPr>
        <w:t xml:space="preserve"> основных результатах деятельности </w:t>
      </w:r>
      <w:r w:rsidRPr="00270266">
        <w:rPr>
          <w:rFonts w:eastAsia="SimSun"/>
          <w:color w:val="000000"/>
          <w:sz w:val="28"/>
          <w:szCs w:val="28"/>
        </w:rPr>
        <w:t>ОАО «Агрообъединение</w:t>
      </w:r>
      <w:r w:rsidRPr="00320CB5">
        <w:rPr>
          <w:rFonts w:eastAsia="SimSun"/>
          <w:color w:val="000000"/>
          <w:sz w:val="28"/>
          <w:szCs w:val="28"/>
        </w:rPr>
        <w:t xml:space="preserve"> «Кубань»</w:t>
      </w:r>
      <w:r w:rsidRPr="002D7329">
        <w:rPr>
          <w:sz w:val="28"/>
          <w:szCs w:val="28"/>
        </w:rPr>
        <w:t>приведены в таблице 1</w:t>
      </w:r>
      <w:r>
        <w:rPr>
          <w:sz w:val="28"/>
          <w:szCs w:val="28"/>
        </w:rPr>
        <w:t xml:space="preserve">. </w:t>
      </w:r>
    </w:p>
    <w:p w:rsidR="00BD6D7F" w:rsidRPr="00DD19BF" w:rsidRDefault="00BD6D7F" w:rsidP="00DD19B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. по сравнению с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выручка </w:t>
      </w:r>
      <w:r w:rsidRPr="00BE01E6">
        <w:rPr>
          <w:rFonts w:eastAsia="SimSun"/>
          <w:sz w:val="28"/>
          <w:szCs w:val="28"/>
        </w:rPr>
        <w:t>ОАО «Агрообъединение «Кубань»</w:t>
      </w:r>
      <w:r>
        <w:rPr>
          <w:rFonts w:eastAsia="SimSun"/>
          <w:sz w:val="28"/>
          <w:szCs w:val="28"/>
        </w:rPr>
        <w:t xml:space="preserve"> увеличилась </w:t>
      </w:r>
      <w:r w:rsidRPr="00F5208D">
        <w:rPr>
          <w:rFonts w:eastAsia="SimSun"/>
          <w:sz w:val="28"/>
          <w:szCs w:val="28"/>
        </w:rPr>
        <w:t xml:space="preserve">на </w:t>
      </w:r>
      <w:r w:rsidRPr="00F5208D">
        <w:rPr>
          <w:color w:val="000000"/>
          <w:sz w:val="28"/>
          <w:szCs w:val="28"/>
        </w:rPr>
        <w:t>3485288</w:t>
      </w:r>
      <w:r>
        <w:rPr>
          <w:color w:val="000000"/>
          <w:sz w:val="28"/>
          <w:szCs w:val="28"/>
        </w:rPr>
        <w:t xml:space="preserve"> тыс. руб. или на 103,6%. По сравнению с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8"/>
            <w:szCs w:val="28"/>
          </w:rPr>
          <w:t>2014 г</w:t>
        </w:r>
      </w:smartTag>
      <w:r>
        <w:rPr>
          <w:color w:val="000000"/>
          <w:sz w:val="28"/>
          <w:szCs w:val="28"/>
        </w:rPr>
        <w:t xml:space="preserve">. прирост данного показателя составил 1683345 тыс. руб. или 32,6%. Прибыль от продаж в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8"/>
            <w:szCs w:val="28"/>
          </w:rPr>
          <w:t>2015 г</w:t>
        </w:r>
      </w:smartTag>
      <w:r>
        <w:rPr>
          <w:color w:val="000000"/>
          <w:sz w:val="28"/>
          <w:szCs w:val="28"/>
        </w:rPr>
        <w:t xml:space="preserve">. выросла на </w:t>
      </w:r>
      <w:r w:rsidRPr="000E7743">
        <w:rPr>
          <w:color w:val="000000"/>
          <w:sz w:val="28"/>
          <w:szCs w:val="28"/>
        </w:rPr>
        <w:t>1472051</w:t>
      </w:r>
      <w:r>
        <w:rPr>
          <w:color w:val="000000"/>
          <w:sz w:val="28"/>
          <w:szCs w:val="28"/>
        </w:rPr>
        <w:t xml:space="preserve"> тыс. руб. или на 159,5% по сравнению с показателем </w:t>
      </w:r>
      <w:smartTag w:uri="urn:schemas-microsoft-com:office:smarttags" w:element="metricconverter">
        <w:smartTagPr>
          <w:attr w:name="ProductID" w:val="2013 г"/>
        </w:smartTagPr>
        <w:r>
          <w:rPr>
            <w:color w:val="000000"/>
            <w:sz w:val="28"/>
            <w:szCs w:val="28"/>
          </w:rPr>
          <w:t>2013 г</w:t>
        </w:r>
      </w:smartTag>
      <w:r>
        <w:rPr>
          <w:color w:val="000000"/>
          <w:sz w:val="28"/>
          <w:szCs w:val="28"/>
        </w:rPr>
        <w:t xml:space="preserve">., и на 761363 тыс. руб. или на 46,6% по сравнению с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8"/>
            <w:szCs w:val="28"/>
          </w:rPr>
          <w:t>2014 г</w:t>
        </w:r>
      </w:smartTag>
      <w:r>
        <w:rPr>
          <w:color w:val="000000"/>
          <w:sz w:val="28"/>
          <w:szCs w:val="28"/>
        </w:rPr>
        <w:t>. Чистая прибыль увеличилась в 2,3 раза и на 74,3% соответственно.</w:t>
      </w: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en-US"/>
        </w:rPr>
      </w:pP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Таблица 1</w:t>
      </w:r>
      <w:r w:rsidRPr="00BE01E6">
        <w:rPr>
          <w:rFonts w:ascii="Times New Roman" w:eastAsia="SimSun" w:hAnsi="Times New Roman"/>
          <w:sz w:val="28"/>
          <w:szCs w:val="28"/>
        </w:rPr>
        <w:t xml:space="preserve"> – Результаты деятельности  ОАО «Агрообъединение «Кубань», </w:t>
      </w:r>
      <w:r>
        <w:rPr>
          <w:rFonts w:ascii="Times New Roman" w:eastAsia="SimSun" w:hAnsi="Times New Roman"/>
          <w:sz w:val="28"/>
          <w:szCs w:val="28"/>
        </w:rPr>
        <w:t xml:space="preserve">                                 </w:t>
      </w:r>
    </w:p>
    <w:p w:rsidR="00BD6D7F" w:rsidRDefault="00BD6D7F" w:rsidP="00D02E36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 xml:space="preserve">                     Усть-Лабинского района,  </w:t>
      </w:r>
      <w:r w:rsidRPr="00BE01E6">
        <w:rPr>
          <w:rFonts w:ascii="Times New Roman" w:eastAsia="SimSun" w:hAnsi="Times New Roman"/>
          <w:sz w:val="28"/>
          <w:szCs w:val="28"/>
        </w:rPr>
        <w:t>тыс.руб.</w:t>
      </w:r>
    </w:p>
    <w:tbl>
      <w:tblPr>
        <w:tblW w:w="9087" w:type="dxa"/>
        <w:tblInd w:w="93" w:type="dxa"/>
        <w:tblLook w:val="00A0"/>
      </w:tblPr>
      <w:tblGrid>
        <w:gridCol w:w="2850"/>
        <w:gridCol w:w="1276"/>
        <w:gridCol w:w="1276"/>
        <w:gridCol w:w="1134"/>
        <w:gridCol w:w="1417"/>
        <w:gridCol w:w="1134"/>
      </w:tblGrid>
      <w:tr w:rsidR="00BD6D7F" w:rsidRPr="00D063F6" w:rsidTr="00DD19BF">
        <w:trPr>
          <w:trHeight w:val="64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FC609D">
                <w:rPr>
                  <w:rFonts w:ascii="Times New Roman" w:hAnsi="Times New Roman"/>
                  <w:color w:val="000000"/>
                  <w:sz w:val="24"/>
                  <w:szCs w:val="24"/>
                </w:rPr>
                <w:t>2013 г</w:t>
              </w:r>
            </w:smartTag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2014г.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C609D">
                <w:rPr>
                  <w:rFonts w:ascii="Times New Roman" w:hAnsi="Times New Roman"/>
                  <w:color w:val="000000"/>
                  <w:sz w:val="24"/>
                  <w:szCs w:val="24"/>
                </w:rPr>
                <w:t>2015 г</w:t>
              </w:r>
            </w:smartTag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(+/-) в 2015 г. по сравнению с 2013 г.</w:t>
            </w:r>
          </w:p>
        </w:tc>
      </w:tr>
      <w:tr w:rsidR="00BD6D7F" w:rsidRPr="00D063F6" w:rsidTr="00DD19BF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D6D7F" w:rsidRPr="00D063F6" w:rsidTr="00DD19BF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% (раз)</w:t>
            </w:r>
          </w:p>
        </w:tc>
      </w:tr>
      <w:tr w:rsidR="00BD6D7F" w:rsidRPr="00D063F6" w:rsidTr="00DD19BF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D00B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D00B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D00B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FC609D" w:rsidRDefault="00BD6D7F" w:rsidP="00D00B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D00B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D00B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D6D7F" w:rsidRPr="00D063F6" w:rsidTr="00DD19BF">
        <w:trPr>
          <w:trHeight w:val="38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Выручка от реализации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3364535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5166478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6849823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3485288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103,6</w:t>
            </w:r>
          </w:p>
        </w:tc>
      </w:tr>
      <w:tr w:rsidR="00BD6D7F" w:rsidRPr="00D063F6" w:rsidTr="00DD19BF">
        <w:trPr>
          <w:trHeight w:val="3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Себестоимость продаж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2410120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3372154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4069745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1659625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68,9</w:t>
            </w:r>
          </w:p>
        </w:tc>
      </w:tr>
      <w:tr w:rsidR="00BD6D7F" w:rsidRPr="00D063F6" w:rsidTr="00D00B6E">
        <w:trPr>
          <w:trHeight w:val="56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C562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C562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954415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C562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1794324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C562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2780078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C562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1825663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C562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1,9 раза</w:t>
            </w:r>
          </w:p>
        </w:tc>
      </w:tr>
      <w:tr w:rsidR="00BD6D7F" w:rsidRPr="00D063F6" w:rsidTr="00DD19BF">
        <w:trPr>
          <w:trHeight w:val="34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Коммерческие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31560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160781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385172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353612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11,2 раза</w:t>
            </w:r>
          </w:p>
        </w:tc>
      </w:tr>
      <w:tr w:rsidR="00BD6D7F" w:rsidRPr="00D063F6" w:rsidTr="00DD19BF">
        <w:trPr>
          <w:trHeight w:val="55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922855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1633543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2394906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1472051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1,6 раза</w:t>
            </w:r>
          </w:p>
        </w:tc>
      </w:tr>
      <w:tr w:rsidR="00BD6D7F" w:rsidRPr="00D063F6" w:rsidTr="00935A5B">
        <w:trPr>
          <w:trHeight w:val="34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Проценты к получению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12471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15988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97826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85355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6,8 раза</w:t>
            </w:r>
          </w:p>
        </w:tc>
      </w:tr>
      <w:tr w:rsidR="00BD6D7F" w:rsidRPr="00D063F6" w:rsidTr="00DD19BF">
        <w:trPr>
          <w:trHeight w:val="3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Проценты к уплате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344593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402417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622005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277412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80,5</w:t>
            </w:r>
          </w:p>
        </w:tc>
      </w:tr>
      <w:tr w:rsidR="00BD6D7F" w:rsidRPr="00D063F6" w:rsidTr="00DD19B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595108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899864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3113500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2518392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4,2 раза</w:t>
            </w:r>
          </w:p>
        </w:tc>
      </w:tr>
      <w:tr w:rsidR="00BD6D7F" w:rsidRPr="00D063F6" w:rsidTr="00DD19B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588907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1031368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3040999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2452092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4,2 раза</w:t>
            </w:r>
          </w:p>
        </w:tc>
      </w:tr>
      <w:tr w:rsidR="00BD6D7F" w:rsidRPr="00D063F6" w:rsidTr="00DD19BF">
        <w:trPr>
          <w:trHeight w:val="64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Прибыль до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596934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1115610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1943228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1346294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2,3 раза</w:t>
            </w:r>
          </w:p>
        </w:tc>
      </w:tr>
      <w:tr w:rsidR="00BD6D7F" w:rsidRPr="00D063F6" w:rsidTr="00DD19BF">
        <w:trPr>
          <w:trHeight w:val="56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6723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7244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11769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75,1</w:t>
            </w:r>
          </w:p>
        </w:tc>
      </w:tr>
      <w:tr w:rsidR="00BD6D7F" w:rsidRPr="00D063F6" w:rsidTr="00DD19BF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-243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63,6</w:t>
            </w:r>
          </w:p>
        </w:tc>
      </w:tr>
      <w:tr w:rsidR="00BD6D7F" w:rsidRPr="00D063F6" w:rsidTr="00DD19B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-553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64,8</w:t>
            </w:r>
          </w:p>
        </w:tc>
      </w:tr>
      <w:tr w:rsidR="00BD6D7F" w:rsidRPr="00D063F6" w:rsidTr="00DD19BF">
        <w:trPr>
          <w:trHeight w:val="39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Чистая прибыль (убыток)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590785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1107897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1931019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1340234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FC609D" w:rsidRDefault="00BD6D7F" w:rsidP="00FC60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09D">
              <w:rPr>
                <w:rFonts w:ascii="Times New Roman" w:hAnsi="Times New Roman"/>
                <w:color w:val="000000"/>
                <w:sz w:val="24"/>
                <w:szCs w:val="24"/>
              </w:rPr>
              <w:t>2,3 раза</w:t>
            </w:r>
          </w:p>
        </w:tc>
      </w:tr>
    </w:tbl>
    <w:p w:rsidR="00BD6D7F" w:rsidRDefault="00BD6D7F" w:rsidP="00A02874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eastAsia="SimSun"/>
          <w:color w:val="000000"/>
          <w:sz w:val="28"/>
          <w:szCs w:val="28"/>
        </w:rPr>
      </w:pPr>
    </w:p>
    <w:p w:rsidR="00BD6D7F" w:rsidRDefault="00BD6D7F" w:rsidP="00A02874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eastAsia="SimSun"/>
          <w:color w:val="000000"/>
          <w:sz w:val="28"/>
          <w:szCs w:val="28"/>
        </w:rPr>
      </w:pPr>
      <w:r w:rsidRPr="00BE01E6">
        <w:rPr>
          <w:rFonts w:eastAsia="SimSun"/>
          <w:color w:val="000000"/>
          <w:sz w:val="28"/>
          <w:szCs w:val="28"/>
        </w:rPr>
        <w:t xml:space="preserve">За </w:t>
      </w:r>
      <w:r>
        <w:rPr>
          <w:rFonts w:eastAsia="SimSun"/>
          <w:color w:val="000000"/>
          <w:sz w:val="28"/>
          <w:szCs w:val="28"/>
        </w:rPr>
        <w:t>2013 – 2015 гг.</w:t>
      </w:r>
      <w:r w:rsidRPr="00BE01E6">
        <w:rPr>
          <w:rFonts w:eastAsia="SimSun"/>
          <w:color w:val="000000"/>
          <w:sz w:val="28"/>
          <w:szCs w:val="28"/>
        </w:rPr>
        <w:t xml:space="preserve"> произошло </w:t>
      </w:r>
      <w:r>
        <w:rPr>
          <w:rFonts w:eastAsia="SimSun"/>
          <w:color w:val="000000"/>
          <w:sz w:val="28"/>
          <w:szCs w:val="28"/>
        </w:rPr>
        <w:t>повышение</w:t>
      </w:r>
      <w:r w:rsidRPr="00BE01E6">
        <w:rPr>
          <w:rFonts w:eastAsia="SimSun"/>
          <w:color w:val="000000"/>
          <w:sz w:val="28"/>
          <w:szCs w:val="28"/>
        </w:rPr>
        <w:t xml:space="preserve"> себестоимости проданных товар</w:t>
      </w:r>
      <w:r>
        <w:rPr>
          <w:rFonts w:eastAsia="SimSun"/>
          <w:color w:val="000000"/>
          <w:sz w:val="28"/>
          <w:szCs w:val="28"/>
        </w:rPr>
        <w:t>ов, продукции, работ и услуг на 68,9% (рис. 2)</w:t>
      </w:r>
    </w:p>
    <w:p w:rsidR="00BD6D7F" w:rsidRDefault="00BD6D7F" w:rsidP="006669BA">
      <w:pPr>
        <w:widowControl w:val="0"/>
        <w:spacing w:after="0" w:line="360" w:lineRule="auto"/>
        <w:jc w:val="center"/>
        <w:rPr>
          <w:rFonts w:ascii="Times New Roman" w:eastAsia="SimSun" w:hAnsi="Times New Roman"/>
          <w:spacing w:val="-8"/>
          <w:sz w:val="28"/>
          <w:szCs w:val="28"/>
        </w:rPr>
      </w:pPr>
      <w:r w:rsidRPr="00D063F6">
        <w:rPr>
          <w:rFonts w:ascii="Times New Roman" w:eastAsia="SimSun" w:hAnsi="Times New Roman"/>
          <w:noProof/>
          <w:spacing w:val="-8"/>
          <w:sz w:val="28"/>
          <w:szCs w:val="28"/>
        </w:rPr>
        <w:pict>
          <v:shape id="Рисунок 2" o:spid="_x0000_i1026" type="#_x0000_t75" style="width:447.6pt;height:257.4pt;visibility:visible">
            <v:imagedata r:id="rId8" o:title=""/>
          </v:shape>
        </w:pict>
      </w:r>
    </w:p>
    <w:p w:rsidR="00BD6D7F" w:rsidRDefault="00BD6D7F" w:rsidP="00DD19BF">
      <w:pPr>
        <w:widowControl w:val="0"/>
        <w:spacing w:after="0" w:line="360" w:lineRule="auto"/>
        <w:ind w:firstLine="709"/>
        <w:jc w:val="center"/>
        <w:rPr>
          <w:rFonts w:ascii="Times New Roman" w:eastAsia="SimSun" w:hAnsi="Times New Roman"/>
          <w:spacing w:val="-8"/>
          <w:sz w:val="28"/>
          <w:szCs w:val="28"/>
        </w:rPr>
      </w:pPr>
      <w:r>
        <w:rPr>
          <w:rFonts w:ascii="Times New Roman" w:eastAsia="SimSun" w:hAnsi="Times New Roman"/>
          <w:spacing w:val="-8"/>
          <w:sz w:val="28"/>
          <w:szCs w:val="28"/>
        </w:rPr>
        <w:t>Рисунок 2</w:t>
      </w:r>
      <w:r w:rsidRPr="00BE01E6">
        <w:rPr>
          <w:rFonts w:ascii="Times New Roman" w:eastAsia="SimSun" w:hAnsi="Times New Roman"/>
          <w:spacing w:val="-8"/>
          <w:sz w:val="28"/>
          <w:szCs w:val="28"/>
        </w:rPr>
        <w:t xml:space="preserve"> – Динамика валовой и чистой прибыли  ОАО «Агрообъединение</w:t>
      </w:r>
      <w:r>
        <w:rPr>
          <w:rFonts w:ascii="Times New Roman" w:eastAsia="SimSun" w:hAnsi="Times New Roman"/>
          <w:spacing w:val="-8"/>
          <w:sz w:val="28"/>
          <w:szCs w:val="28"/>
        </w:rPr>
        <w:t xml:space="preserve"> «Кубань»</w:t>
      </w:r>
      <w:r w:rsidRPr="00BE01E6">
        <w:rPr>
          <w:rFonts w:ascii="Times New Roman" w:eastAsia="SimSun" w:hAnsi="Times New Roman"/>
          <w:spacing w:val="-8"/>
          <w:sz w:val="28"/>
          <w:szCs w:val="28"/>
        </w:rPr>
        <w:t>, тыс. руб.</w:t>
      </w:r>
    </w:p>
    <w:p w:rsidR="00BD6D7F" w:rsidRPr="00DD19BF" w:rsidRDefault="00BD6D7F" w:rsidP="00DD19BF">
      <w:pPr>
        <w:widowControl w:val="0"/>
        <w:spacing w:after="0" w:line="360" w:lineRule="auto"/>
        <w:ind w:firstLine="709"/>
        <w:jc w:val="both"/>
        <w:rPr>
          <w:rFonts w:ascii="Times New Roman" w:eastAsia="SimSun" w:hAnsi="Times New Roman"/>
          <w:spacing w:val="-8"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>Анализ динамики рентабельности активов, собственного капитала и продаж выявил тенденцию повышения эффективности использования производственного потенциала продаж (табл.2).</w:t>
      </w:r>
    </w:p>
    <w:p w:rsidR="00BD6D7F" w:rsidRDefault="00BD6D7F" w:rsidP="00DD19BF">
      <w:pPr>
        <w:spacing w:after="0" w:line="240" w:lineRule="auto"/>
        <w:jc w:val="both"/>
        <w:rPr>
          <w:rFonts w:ascii="Times New Roman" w:eastAsia="SimSun" w:hAnsi="Times New Roman"/>
          <w:color w:val="000000"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 xml:space="preserve">Таблица 2 – Динамика рентабельности деятельности ОАО </w:t>
      </w:r>
    </w:p>
    <w:p w:rsidR="00BD6D7F" w:rsidRDefault="00BD6D7F" w:rsidP="00DD19BF">
      <w:pPr>
        <w:spacing w:after="0" w:line="240" w:lineRule="auto"/>
        <w:jc w:val="both"/>
        <w:rPr>
          <w:rFonts w:ascii="Times New Roman" w:eastAsia="SimSun" w:hAnsi="Times New Roman"/>
          <w:color w:val="000000"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 xml:space="preserve">                     «Агрообъединение«Кубань» Усть-Лабинского района, %</w:t>
      </w:r>
    </w:p>
    <w:tbl>
      <w:tblPr>
        <w:tblW w:w="9087" w:type="dxa"/>
        <w:tblInd w:w="93" w:type="dxa"/>
        <w:tblLayout w:type="fixed"/>
        <w:tblLook w:val="00A0"/>
      </w:tblPr>
      <w:tblGrid>
        <w:gridCol w:w="3276"/>
        <w:gridCol w:w="1275"/>
        <w:gridCol w:w="1134"/>
        <w:gridCol w:w="1134"/>
        <w:gridCol w:w="1134"/>
        <w:gridCol w:w="1134"/>
      </w:tblGrid>
      <w:tr w:rsidR="00BD6D7F" w:rsidRPr="00D063F6" w:rsidTr="00DD19BF">
        <w:trPr>
          <w:trHeight w:val="129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(+/-) в 2015 г. пунктопроцентов по сравнению с</w:t>
            </w:r>
          </w:p>
        </w:tc>
      </w:tr>
      <w:tr w:rsidR="00BD6D7F" w:rsidRPr="00D063F6" w:rsidTr="00DD19BF">
        <w:trPr>
          <w:trHeight w:val="36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2014 г.</w:t>
            </w:r>
          </w:p>
        </w:tc>
      </w:tr>
      <w:tr w:rsidR="00BD6D7F" w:rsidRPr="00D063F6" w:rsidTr="00DD19BF">
        <w:trPr>
          <w:trHeight w:val="6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Рентабельность оборотных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</w:tr>
      <w:tr w:rsidR="00BD6D7F" w:rsidRPr="00D063F6" w:rsidTr="00DD19BF">
        <w:trPr>
          <w:trHeight w:val="7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BD6D7F" w:rsidRPr="00D063F6" w:rsidTr="00DD19BF">
        <w:trPr>
          <w:trHeight w:val="42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Рентабельность продаж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BD6D7F" w:rsidRPr="00D063F6" w:rsidTr="00DD19BF">
        <w:trPr>
          <w:trHeight w:val="66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продаж по чистой прибыли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</w:tr>
      <w:tr w:rsidR="00BD6D7F" w:rsidRPr="00D063F6" w:rsidTr="00DD19BF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Экономическая рентабельность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1C7382" w:rsidRDefault="00BD6D7F" w:rsidP="001C7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382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</w:tbl>
    <w:p w:rsidR="00BD6D7F" w:rsidRDefault="00BD6D7F" w:rsidP="00595A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Так, рентабельность оборотных активов в 2015 г. по сравнению с 2013 г. повысилась до 40,7 % или на 19,8 пунктопроцента, в сравнении с 2014 г. она увеличилась на 3,9 пунктопроцента в следствие опережающих темпов прироста прибыли от продаж по сравнению с темпами прироста среднегодовой стоимости оборотных активов. Рентабельность собственного капитала за исследуемый период повысилась до 35,1 % или на 13,2 пунктопроцента и на 6,0 пунктов соответственно за счет опережающих темпов прироста чистой прибыли в сравнении с темпами прироста среднегодовой стоимости собственного капитала.</w:t>
      </w:r>
    </w:p>
    <w:p w:rsidR="00BD6D7F" w:rsidRPr="00221DF4" w:rsidRDefault="00BD6D7F" w:rsidP="00595A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DF4">
        <w:rPr>
          <w:rFonts w:ascii="Times New Roman" w:hAnsi="Times New Roman"/>
          <w:sz w:val="28"/>
          <w:szCs w:val="28"/>
        </w:rPr>
        <w:t xml:space="preserve">Рентабельность продаж в 2015 г. достигла 35 % и по сравнению с 2013 – 2014 гг. произошло ее повышение на 7,6 – 3,4 пунктопроцента соответственно за счет опережающих темпов увеличения прибыли от продаж в сравнении с темпами </w:t>
      </w:r>
      <w:r>
        <w:rPr>
          <w:rFonts w:ascii="Times New Roman" w:hAnsi="Times New Roman"/>
          <w:sz w:val="28"/>
          <w:szCs w:val="28"/>
        </w:rPr>
        <w:t>при</w:t>
      </w:r>
      <w:r w:rsidRPr="00221DF4">
        <w:rPr>
          <w:rFonts w:ascii="Times New Roman" w:hAnsi="Times New Roman"/>
          <w:sz w:val="28"/>
          <w:szCs w:val="28"/>
        </w:rPr>
        <w:t xml:space="preserve">роста выручки от продаж – они сформировались как </w:t>
      </w:r>
      <w:r>
        <w:rPr>
          <w:rFonts w:ascii="Times New Roman" w:hAnsi="Times New Roman"/>
          <w:sz w:val="28"/>
          <w:szCs w:val="28"/>
        </w:rPr>
        <w:t xml:space="preserve">103,6 и 32,6 </w:t>
      </w:r>
      <w:r w:rsidRPr="00221DF4">
        <w:rPr>
          <w:rFonts w:ascii="Times New Roman" w:hAnsi="Times New Roman"/>
          <w:sz w:val="28"/>
          <w:szCs w:val="28"/>
        </w:rPr>
        <w:t>% соответственно (см. таблицу 1).</w:t>
      </w:r>
    </w:p>
    <w:p w:rsidR="00BD6D7F" w:rsidRDefault="00BD6D7F" w:rsidP="00595A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DF4">
        <w:rPr>
          <w:rFonts w:ascii="Times New Roman" w:hAnsi="Times New Roman"/>
          <w:sz w:val="28"/>
          <w:szCs w:val="28"/>
        </w:rPr>
        <w:t>Рентабельность продаж как соотношение чистой прибыли и выручки  в 2015 г. равна 28,2 %, и по сравнению с 2013 – 2014 гг. увеличилась на 10,6 – 6,8 пунктопроцента вследствие опережающих темпов прироста чистой прибыли по отношению к темпам прироста выручки - 2,3 раза</w:t>
      </w:r>
      <w:r>
        <w:rPr>
          <w:rFonts w:ascii="Times New Roman" w:hAnsi="Times New Roman"/>
          <w:sz w:val="28"/>
          <w:szCs w:val="28"/>
        </w:rPr>
        <w:t xml:space="preserve"> и 103,6 %. </w:t>
      </w:r>
    </w:p>
    <w:p w:rsidR="00BD6D7F" w:rsidRPr="007F0EAA" w:rsidRDefault="00BD6D7F" w:rsidP="007F0E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Экономическая рентабельность как отношение чистой прибыли к среднегодовой стоимости совокупных активов в 2015 г. по сравнению с 2013 – 2014 гг. повысилась до 16,6 % или на 8,6 – 4,3 пунктопроцента за счет опережающих темпов прироста чистой прибыли в сравнении с темпами прироста среднегодовой стоимости совокупных активов.</w:t>
      </w:r>
    </w:p>
    <w:p w:rsidR="00BD6D7F" w:rsidRDefault="00BD6D7F" w:rsidP="00595A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01E6">
        <w:rPr>
          <w:rFonts w:ascii="Times New Roman" w:hAnsi="Times New Roman"/>
          <w:color w:val="000000"/>
          <w:sz w:val="28"/>
          <w:szCs w:val="28"/>
        </w:rPr>
        <w:t xml:space="preserve">Одним из </w:t>
      </w:r>
      <w:r>
        <w:rPr>
          <w:rFonts w:ascii="Times New Roman" w:hAnsi="Times New Roman"/>
          <w:color w:val="000000"/>
          <w:sz w:val="28"/>
          <w:szCs w:val="28"/>
        </w:rPr>
        <w:t>важнейших критериев оценки производственно-финансовой деятельности коммерческой</w:t>
      </w:r>
      <w:r w:rsidRPr="00BE01E6">
        <w:rPr>
          <w:rFonts w:ascii="Times New Roman" w:hAnsi="Times New Roman"/>
          <w:color w:val="000000"/>
          <w:sz w:val="28"/>
          <w:szCs w:val="28"/>
        </w:rPr>
        <w:t xml:space="preserve"> организации является </w:t>
      </w:r>
      <w:r>
        <w:rPr>
          <w:rFonts w:ascii="Times New Roman" w:hAnsi="Times New Roman"/>
          <w:color w:val="000000"/>
          <w:sz w:val="28"/>
          <w:szCs w:val="28"/>
        </w:rPr>
        <w:t>оборачиваемость активов и собственного капитала [</w:t>
      </w:r>
      <w:r w:rsidRPr="00883B33">
        <w:rPr>
          <w:rFonts w:ascii="Times New Roman" w:hAnsi="Times New Roman"/>
          <w:color w:val="000000"/>
          <w:sz w:val="28"/>
          <w:szCs w:val="28"/>
        </w:rPr>
        <w:t>6</w:t>
      </w:r>
      <w:r w:rsidRPr="00A901EA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D6D7F" w:rsidRDefault="00BD6D7F" w:rsidP="00595A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Результаты анализа оборачиваемости активов и собственного капитала ОАО «Агрообъединение «Кубань» приведены в таблице 3. Анализ их динамики выявил тенденцию ускорения оборачиваемости активов и замедления оборота собственного капитала, что указывает на </w:t>
      </w:r>
      <w:r w:rsidRPr="00ED5D94">
        <w:rPr>
          <w:rFonts w:ascii="Times New Roman" w:hAnsi="Times New Roman"/>
          <w:sz w:val="28"/>
          <w:szCs w:val="28"/>
        </w:rPr>
        <w:t xml:space="preserve">неиспользованные резервы повышения эффективности использования производственных ресурсов, укрепления финансового состояния. </w:t>
      </w:r>
    </w:p>
    <w:p w:rsidR="00BD6D7F" w:rsidRPr="00ED5D94" w:rsidRDefault="00BD6D7F" w:rsidP="00ED5D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2015 г. по сравнению с 2013 г. продолжительность одного оборота совокупных активов уменьшилась с 802 до 619 дней или на 189 дней (22,8 %), а в сравнении с 2014 г. на 18 дней или на 2,8 %. Продолжительность оборота оборотных активов за исследуемые годы сократилась на 166 дней (с 480 до 314 дней) или на 34,6 %; продолжительность оборота собственного капитала в 2015 г. по сравнению с 2014 г. возросла на 24 дня или на 8,9 %, что с финансовой точки зрения характеризуется негативно и указывает на имеющиеся резервы ускорения оборачиваемости собственного капитала за счет обеспечения опережающих темпов роста выручки по сравнению с темпами роста капитала и резервов.</w:t>
      </w:r>
    </w:p>
    <w:p w:rsidR="00BD6D7F" w:rsidRDefault="00BD6D7F" w:rsidP="00ED5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 – Оборачиваемость активов и собственного капитала ОАО  </w:t>
      </w:r>
    </w:p>
    <w:p w:rsidR="00BD6D7F" w:rsidRPr="00ED5D94" w:rsidRDefault="00BD6D7F" w:rsidP="00ED5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«Агрообъединение «Кубань»</w:t>
      </w:r>
    </w:p>
    <w:tbl>
      <w:tblPr>
        <w:tblW w:w="9087" w:type="dxa"/>
        <w:tblInd w:w="93" w:type="dxa"/>
        <w:tblLayout w:type="fixed"/>
        <w:tblLook w:val="00A0"/>
      </w:tblPr>
      <w:tblGrid>
        <w:gridCol w:w="1858"/>
        <w:gridCol w:w="1134"/>
        <w:gridCol w:w="1134"/>
        <w:gridCol w:w="1134"/>
        <w:gridCol w:w="1134"/>
        <w:gridCol w:w="851"/>
        <w:gridCol w:w="1134"/>
        <w:gridCol w:w="708"/>
      </w:tblGrid>
      <w:tr w:rsidR="00BD6D7F" w:rsidRPr="00D063F6" w:rsidTr="005B2C5B">
        <w:trPr>
          <w:trHeight w:val="30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2013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2014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2015 г.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6621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Изменение (+/-) в 2015 г. в сравнении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2013 г.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2014 г.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5B2C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Абс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6621FC">
              <w:rPr>
                <w:rFonts w:ascii="Times New Roman" w:hAnsi="Times New Roman"/>
                <w:color w:val="000000"/>
              </w:rPr>
              <w:t>откл.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Абс. </w:t>
            </w:r>
            <w:r w:rsidRPr="006621FC">
              <w:rPr>
                <w:rFonts w:ascii="Times New Roman" w:hAnsi="Times New Roman"/>
                <w:color w:val="000000"/>
              </w:rPr>
              <w:t>откл.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Выручка,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3364535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5166478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6849823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3485288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1683345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32,6</w:t>
            </w:r>
          </w:p>
        </w:tc>
      </w:tr>
      <w:tr w:rsidR="00BD6D7F" w:rsidRPr="00D063F6" w:rsidTr="006621FC">
        <w:trPr>
          <w:trHeight w:val="385"/>
        </w:trPr>
        <w:tc>
          <w:tcPr>
            <w:tcW w:w="908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6621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Среднегодовая величина активов и собственного капитала, тыс. руб.: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6621FC">
              <w:rPr>
                <w:rFonts w:ascii="Times New Roman" w:hAnsi="Times New Roman"/>
                <w:color w:val="000000"/>
              </w:rPr>
              <w:t>совокупных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7394055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9021962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11618646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4224591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2596684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28,8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6621FC">
              <w:rPr>
                <w:rFonts w:ascii="Times New Roman" w:hAnsi="Times New Roman"/>
                <w:color w:val="000000"/>
              </w:rPr>
              <w:t>оборотных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4426163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4443806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5888630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1462467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1444824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32,5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6621FC">
              <w:rPr>
                <w:rFonts w:ascii="Times New Roman" w:hAnsi="Times New Roman"/>
                <w:color w:val="000000"/>
              </w:rPr>
              <w:t>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2702585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3801980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5504615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2802030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1702635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44,8</w:t>
            </w:r>
          </w:p>
        </w:tc>
      </w:tr>
      <w:tr w:rsidR="00BD6D7F" w:rsidRPr="00D063F6" w:rsidTr="006621FC">
        <w:trPr>
          <w:trHeight w:val="353"/>
        </w:trPr>
        <w:tc>
          <w:tcPr>
            <w:tcW w:w="908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6621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Количество оборотов: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6621FC">
              <w:rPr>
                <w:rFonts w:ascii="Times New Roman" w:hAnsi="Times New Roman"/>
                <w:color w:val="000000"/>
              </w:rPr>
              <w:t>совокупных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6621FC">
              <w:rPr>
                <w:rFonts w:ascii="Times New Roman" w:hAnsi="Times New Roman"/>
                <w:color w:val="000000"/>
              </w:rPr>
              <w:t>оборотных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1,163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1,163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6621FC">
              <w:rPr>
                <w:rFonts w:ascii="Times New Roman" w:hAnsi="Times New Roman"/>
                <w:color w:val="000000"/>
              </w:rPr>
              <w:t>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1,245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1,359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-0,001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-0,115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-8,5</w:t>
            </w:r>
          </w:p>
        </w:tc>
      </w:tr>
      <w:tr w:rsidR="00BD6D7F" w:rsidRPr="00D063F6" w:rsidTr="006621FC">
        <w:trPr>
          <w:trHeight w:val="422"/>
        </w:trPr>
        <w:tc>
          <w:tcPr>
            <w:tcW w:w="908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6621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Продолжительность одного оборота, дней: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6621FC">
              <w:rPr>
                <w:rFonts w:ascii="Times New Roman" w:hAnsi="Times New Roman"/>
                <w:color w:val="000000"/>
              </w:rPr>
              <w:t>совокупных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-183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-18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6621FC">
              <w:rPr>
                <w:rFonts w:ascii="Times New Roman" w:hAnsi="Times New Roman"/>
                <w:color w:val="000000"/>
              </w:rPr>
              <w:t>оборотных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-166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D6D7F" w:rsidRPr="00D063F6" w:rsidTr="005B2C5B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6621FC" w:rsidRDefault="00BD6D7F" w:rsidP="00ED5D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6621FC">
              <w:rPr>
                <w:rFonts w:ascii="Times New Roman" w:hAnsi="Times New Roman"/>
                <w:color w:val="000000"/>
              </w:rPr>
              <w:t>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6621FC" w:rsidRDefault="00BD6D7F" w:rsidP="00ED5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21FC">
              <w:rPr>
                <w:rFonts w:ascii="Times New Roman" w:hAnsi="Times New Roman"/>
                <w:color w:val="000000"/>
              </w:rPr>
              <w:t>8,9</w:t>
            </w:r>
          </w:p>
        </w:tc>
      </w:tr>
    </w:tbl>
    <w:p w:rsidR="00BD6D7F" w:rsidRPr="00ED5D94" w:rsidRDefault="00BD6D7F" w:rsidP="00ED5D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D5D94">
        <w:rPr>
          <w:rFonts w:ascii="Times New Roman" w:hAnsi="Times New Roman"/>
          <w:color w:val="000000"/>
          <w:sz w:val="28"/>
          <w:szCs w:val="28"/>
        </w:rPr>
        <w:t xml:space="preserve">Одним из факторов </w:t>
      </w:r>
      <w:r>
        <w:rPr>
          <w:rFonts w:ascii="Times New Roman" w:hAnsi="Times New Roman"/>
          <w:color w:val="000000"/>
          <w:sz w:val="28"/>
          <w:szCs w:val="28"/>
        </w:rPr>
        <w:t xml:space="preserve">повышения </w:t>
      </w:r>
      <w:r w:rsidRPr="00ED5D94">
        <w:rPr>
          <w:rFonts w:ascii="Times New Roman" w:hAnsi="Times New Roman"/>
          <w:color w:val="000000"/>
          <w:sz w:val="28"/>
          <w:szCs w:val="28"/>
        </w:rPr>
        <w:t xml:space="preserve">эффективности деятельности ОАО «Агрообъединение «Кубань» является освоение </w:t>
      </w:r>
      <w:r w:rsidRPr="00ED5D94">
        <w:rPr>
          <w:rFonts w:ascii="Times New Roman" w:hAnsi="Times New Roman"/>
          <w:sz w:val="28"/>
          <w:szCs w:val="28"/>
        </w:rPr>
        <w:t>современных инновационных технологий и инвестиционных проектов. Инвестиционные проекты АгроХолдинга «Кубань» направлены на достижение стратегических целей компании по повышению эффек</w:t>
      </w:r>
      <w:r>
        <w:rPr>
          <w:rFonts w:ascii="Times New Roman" w:hAnsi="Times New Roman"/>
          <w:sz w:val="28"/>
          <w:szCs w:val="28"/>
        </w:rPr>
        <w:t>тивности производства и развитию</w:t>
      </w:r>
      <w:r w:rsidRPr="00ED5D94">
        <w:rPr>
          <w:rFonts w:ascii="Times New Roman" w:hAnsi="Times New Roman"/>
          <w:sz w:val="28"/>
          <w:szCs w:val="28"/>
        </w:rPr>
        <w:t xml:space="preserve"> производства продукции с высокой добавленной стоимостью. </w:t>
      </w:r>
    </w:p>
    <w:p w:rsidR="00BD6D7F" w:rsidRPr="00E17EF8" w:rsidRDefault="00BD6D7F" w:rsidP="008B7AE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7EF8">
        <w:rPr>
          <w:sz w:val="28"/>
          <w:szCs w:val="28"/>
        </w:rPr>
        <w:t>Начиная с 2008 г</w:t>
      </w:r>
      <w:r>
        <w:rPr>
          <w:sz w:val="28"/>
          <w:szCs w:val="28"/>
        </w:rPr>
        <w:t>.</w:t>
      </w:r>
      <w:r w:rsidRPr="00E17EF8">
        <w:rPr>
          <w:sz w:val="28"/>
          <w:szCs w:val="28"/>
        </w:rPr>
        <w:t>АгроХолдинг «Кубань» реализовал 5 крупных проектов greenfield. Были построены и введены в эксплуатацию мясоперерабатывающий комплекс, два сви</w:t>
      </w:r>
      <w:r>
        <w:rPr>
          <w:sz w:val="28"/>
          <w:szCs w:val="28"/>
        </w:rPr>
        <w:t>нотоварных комплекса на 25000 и 52</w:t>
      </w:r>
      <w:r w:rsidRPr="00E17EF8">
        <w:rPr>
          <w:sz w:val="28"/>
          <w:szCs w:val="28"/>
        </w:rPr>
        <w:t>000 голов, одна из крупнейших в ЮФО молочно-товарных ферм «Кубань» и крупнейший в Европе многофункциональный сервисный центр и</w:t>
      </w:r>
      <w:r>
        <w:rPr>
          <w:sz w:val="28"/>
          <w:szCs w:val="28"/>
        </w:rPr>
        <w:t>м. В. </w:t>
      </w:r>
      <w:r w:rsidRPr="00E17EF8">
        <w:rPr>
          <w:sz w:val="28"/>
          <w:szCs w:val="28"/>
        </w:rPr>
        <w:t xml:space="preserve">Губарь. Кроме того, компания продолжает реализацию поэтапной масштабной программы, направленной на модернизацию и увеличение мощности сахарного завода «Свобода». АгроХолдинг «Кубань» располагает собственной научно-технической лабораторией, которая занимается селекцией сельхозкультур, а также апробирует и </w:t>
      </w:r>
      <w:r>
        <w:rPr>
          <w:sz w:val="28"/>
          <w:szCs w:val="28"/>
        </w:rPr>
        <w:t xml:space="preserve">адаптирует </w:t>
      </w:r>
      <w:r w:rsidRPr="00E17EF8">
        <w:rPr>
          <w:sz w:val="28"/>
          <w:szCs w:val="28"/>
        </w:rPr>
        <w:t xml:space="preserve">уникальные для России технологии в растениеводстве и животноводстве. </w:t>
      </w:r>
      <w:r>
        <w:rPr>
          <w:sz w:val="28"/>
          <w:szCs w:val="28"/>
        </w:rPr>
        <w:t xml:space="preserve">Высокоэффективный </w:t>
      </w:r>
      <w:r w:rsidRPr="00E17EF8">
        <w:rPr>
          <w:sz w:val="28"/>
          <w:szCs w:val="28"/>
        </w:rPr>
        <w:t>подход к использованию имеющихся у предприятия ресурсов способствует диверсификации рисков организации.</w:t>
      </w:r>
    </w:p>
    <w:p w:rsidR="00BD6D7F" w:rsidRDefault="00BD6D7F" w:rsidP="00CB6FF6">
      <w:pPr>
        <w:widowControl w:val="0"/>
        <w:overflowPunct w:val="0"/>
        <w:autoSpaceDE w:val="0"/>
        <w:autoSpaceDN w:val="0"/>
        <w:adjustRightInd w:val="0"/>
        <w:spacing w:after="0" w:line="3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оценки рисков </w:t>
      </w:r>
      <w:r w:rsidRPr="000216AD">
        <w:rPr>
          <w:rFonts w:ascii="Times New Roman" w:hAnsi="Times New Roman"/>
          <w:sz w:val="28"/>
          <w:szCs w:val="28"/>
        </w:rPr>
        <w:t xml:space="preserve">потери финансовой устойчивости и независимости </w:t>
      </w:r>
      <w:r>
        <w:rPr>
          <w:rFonts w:ascii="Times New Roman" w:hAnsi="Times New Roman"/>
          <w:sz w:val="28"/>
          <w:szCs w:val="28"/>
        </w:rPr>
        <w:t xml:space="preserve">ОАО </w:t>
      </w: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Агрообъединение</w:t>
      </w: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Кубань</w:t>
      </w:r>
      <w:r>
        <w:rPr>
          <w:rFonts w:ascii="Times" w:hAnsi="Times" w:cs="Times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на основе показателей финансового состояния по данным бухгалтерской отчетности приведены в таблице 4.Анализ показал, что в 2013-2015 гг. сформировалась разнонаправленная тенденция финансовой устойчивости. Если в динамике коэффициента финансовой независимости произошло его увеличение, то динамика коэффициента финансовой устойчивости характеризуется тенденцией снижения вследствие отсутствия собственных оборотных средств, что с финансовой точки зрения является нежелаемой ситуацией.</w:t>
      </w:r>
    </w:p>
    <w:p w:rsidR="00BD6D7F" w:rsidRDefault="00BD6D7F" w:rsidP="00CB6FF6">
      <w:pPr>
        <w:widowControl w:val="0"/>
        <w:overflowPunct w:val="0"/>
        <w:autoSpaceDE w:val="0"/>
        <w:autoSpaceDN w:val="0"/>
        <w:adjustRightInd w:val="0"/>
        <w:spacing w:after="0" w:line="3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финансовой устойчивости организации по величине финансового левериджа выявила положительную тенденцию его уменьшения на конец 2015 г., но его фактическое значение указывает на кризисную ситуацию.</w:t>
      </w:r>
    </w:p>
    <w:p w:rsidR="00BD6D7F" w:rsidRPr="002F41C9" w:rsidRDefault="00BD6D7F" w:rsidP="000216A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F41C9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2F41C9">
        <w:rPr>
          <w:rFonts w:ascii="Times New Roman" w:hAnsi="Times New Roman"/>
          <w:sz w:val="28"/>
          <w:szCs w:val="28"/>
        </w:rPr>
        <w:t xml:space="preserve"> -  Относительные  показатели  финансовой  устойчивости  </w:t>
      </w:r>
    </w:p>
    <w:p w:rsidR="00BD6D7F" w:rsidRPr="002F41C9" w:rsidRDefault="00BD6D7F" w:rsidP="000216A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 xml:space="preserve">            </w:t>
      </w:r>
      <w:r w:rsidRPr="002F41C9">
        <w:rPr>
          <w:rFonts w:ascii="Times New Roman" w:eastAsia="SimSun" w:hAnsi="Times New Roman"/>
          <w:sz w:val="28"/>
          <w:szCs w:val="28"/>
        </w:rPr>
        <w:t>ОАО «Агрообъединение «Кубань»</w:t>
      </w:r>
    </w:p>
    <w:tbl>
      <w:tblPr>
        <w:tblW w:w="9371" w:type="dxa"/>
        <w:tblInd w:w="93" w:type="dxa"/>
        <w:tblLayout w:type="fixed"/>
        <w:tblLook w:val="00A0"/>
      </w:tblPr>
      <w:tblGrid>
        <w:gridCol w:w="7"/>
        <w:gridCol w:w="3415"/>
        <w:gridCol w:w="1133"/>
        <w:gridCol w:w="1275"/>
        <w:gridCol w:w="1275"/>
        <w:gridCol w:w="1133"/>
        <w:gridCol w:w="1133"/>
      </w:tblGrid>
      <w:tr w:rsidR="00BD6D7F" w:rsidRPr="00D063F6" w:rsidTr="00A41211">
        <w:trPr>
          <w:trHeight w:val="585"/>
        </w:trPr>
        <w:tc>
          <w:tcPr>
            <w:tcW w:w="3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2F41C9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1C9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2F41C9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1C9"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2F41C9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1C9"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2F41C9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1C9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D7F" w:rsidRPr="002F41C9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</w:t>
            </w:r>
            <w:r w:rsidRPr="002F41C9">
              <w:rPr>
                <w:rFonts w:ascii="Times New Roman" w:hAnsi="Times New Roman"/>
                <w:sz w:val="24"/>
                <w:szCs w:val="24"/>
              </w:rPr>
              <w:t>(+/-) в     2015 г. по сравнению с</w:t>
            </w:r>
          </w:p>
        </w:tc>
      </w:tr>
      <w:tr w:rsidR="00BD6D7F" w:rsidRPr="00D063F6" w:rsidTr="00A41211">
        <w:trPr>
          <w:trHeight w:val="315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2014 г.</w:t>
            </w:r>
          </w:p>
        </w:tc>
      </w:tr>
      <w:tr w:rsidR="00BD6D7F" w:rsidRPr="00D063F6" w:rsidTr="00935A5B">
        <w:trPr>
          <w:trHeight w:val="331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35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35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35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35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35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35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D6D7F" w:rsidRPr="00D063F6" w:rsidTr="00475D6E">
        <w:trPr>
          <w:trHeight w:val="706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10F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концентрации собственного  капитала (коэффициент  независимости)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10F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10F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10F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10F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910F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0,041</w:t>
            </w:r>
          </w:p>
        </w:tc>
      </w:tr>
      <w:tr w:rsidR="00BD6D7F" w:rsidRPr="00D063F6" w:rsidTr="00F67FA4">
        <w:trPr>
          <w:trHeight w:val="551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3C1A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</w:t>
            </w: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устойчивости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3C1A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0,737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3C1A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0,724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3C1A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0,643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3C1A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-0,094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3C1A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-0,081</w:t>
            </w:r>
          </w:p>
        </w:tc>
      </w:tr>
      <w:tr w:rsidR="00BD6D7F" w:rsidRPr="00D063F6" w:rsidTr="00F67FA4">
        <w:trPr>
          <w:trHeight w:val="433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маневренности собственных средств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-0,771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-0,450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-0,106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0,665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0,345</w:t>
            </w:r>
          </w:p>
        </w:tc>
      </w:tr>
      <w:tr w:rsidR="00BD6D7F" w:rsidRPr="00D063F6" w:rsidTr="00F67FA4">
        <w:trPr>
          <w:trHeight w:val="839"/>
        </w:trPr>
        <w:tc>
          <w:tcPr>
            <w:tcW w:w="3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обеспеченности собственными  оборотными средствами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-1,128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-0,114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1,015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0,473</w:t>
            </w:r>
          </w:p>
        </w:tc>
      </w:tr>
      <w:tr w:rsidR="00BD6D7F" w:rsidRPr="00D063F6" w:rsidTr="00F67FA4">
        <w:trPr>
          <w:trHeight w:val="845"/>
        </w:trPr>
        <w:tc>
          <w:tcPr>
            <w:tcW w:w="3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покрытия запасов собственными оборотными средствами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-1,431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-1,048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-0,324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1,107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0,725</w:t>
            </w:r>
          </w:p>
        </w:tc>
      </w:tr>
      <w:tr w:rsidR="00BD6D7F" w:rsidRPr="00D063F6" w:rsidTr="00F67FA4">
        <w:trPr>
          <w:gridBefore w:val="1"/>
          <w:wBefore w:w="6" w:type="dxa"/>
          <w:trHeight w:val="706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  соотношения мобильных   и иммобилизованных  активов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0,529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0,840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0,372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0,311</w:t>
            </w:r>
          </w:p>
        </w:tc>
      </w:tr>
      <w:tr w:rsidR="00BD6D7F" w:rsidRPr="00D063F6" w:rsidTr="00F67FA4">
        <w:trPr>
          <w:gridBefore w:val="1"/>
          <w:wBefore w:w="6" w:type="dxa"/>
          <w:trHeight w:val="577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 имущества производственного назначения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0,194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-0,047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-0,033</w:t>
            </w:r>
          </w:p>
        </w:tc>
      </w:tr>
      <w:tr w:rsidR="00BD6D7F" w:rsidRPr="00D063F6" w:rsidTr="00F67FA4">
        <w:trPr>
          <w:gridBefore w:val="1"/>
          <w:wBefore w:w="6" w:type="dxa"/>
          <w:trHeight w:val="84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соотношения заемных и собственных средств организации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1,601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1,218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1,035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-0,566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-0,183</w:t>
            </w:r>
          </w:p>
        </w:tc>
      </w:tr>
      <w:tr w:rsidR="00BD6D7F" w:rsidRPr="00D063F6" w:rsidTr="00F67FA4">
        <w:trPr>
          <w:gridBefore w:val="1"/>
          <w:wBefore w:w="6" w:type="dxa"/>
          <w:trHeight w:val="437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долгосрочного привлечения заемных средств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0,380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0,236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-0,243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-0,144</w:t>
            </w:r>
          </w:p>
        </w:tc>
      </w:tr>
      <w:tr w:rsidR="00BD6D7F" w:rsidRPr="00D063F6" w:rsidTr="00F67FA4">
        <w:trPr>
          <w:gridBefore w:val="1"/>
          <w:wBefore w:w="6" w:type="dxa"/>
          <w:trHeight w:val="545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краткосрочного привлечения заемных средств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0,275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0,199</w:t>
            </w:r>
          </w:p>
        </w:tc>
      </w:tr>
      <w:tr w:rsidR="00BD6D7F" w:rsidRPr="00D063F6" w:rsidTr="00F67FA4">
        <w:trPr>
          <w:gridBefore w:val="1"/>
          <w:wBefore w:w="6" w:type="dxa"/>
          <w:trHeight w:val="70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D7F" w:rsidRPr="00A15DDF" w:rsidRDefault="00BD6D7F" w:rsidP="00A412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Коэффициент кредиторской задолженности в составе </w:t>
            </w: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краткосрочных обязательств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0,281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0,724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0,559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7F" w:rsidRPr="00A15DDF" w:rsidRDefault="00BD6D7F" w:rsidP="00A412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DF">
              <w:rPr>
                <w:rFonts w:ascii="Times New Roman" w:hAnsi="Times New Roman"/>
                <w:color w:val="000000"/>
                <w:sz w:val="24"/>
                <w:szCs w:val="24"/>
              </w:rPr>
              <w:t>0,443</w:t>
            </w:r>
          </w:p>
        </w:tc>
      </w:tr>
    </w:tbl>
    <w:p w:rsidR="00BD6D7F" w:rsidRPr="00A70E9A" w:rsidRDefault="00BD6D7F" w:rsidP="008B7AE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D6D7F" w:rsidRPr="00A70E9A" w:rsidRDefault="00BD6D7F" w:rsidP="00056C96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0E9A">
        <w:rPr>
          <w:rFonts w:ascii="Times New Roman" w:hAnsi="Times New Roman"/>
          <w:sz w:val="28"/>
          <w:szCs w:val="28"/>
        </w:rPr>
        <w:t xml:space="preserve">Главным фактором возникновения риска потери финансовой устойчивости и независимости ОАО </w:t>
      </w:r>
      <w:r w:rsidRPr="00A70E9A">
        <w:rPr>
          <w:rFonts w:ascii="Times" w:hAnsi="Times" w:cs="Times"/>
          <w:sz w:val="28"/>
          <w:szCs w:val="28"/>
        </w:rPr>
        <w:t>«</w:t>
      </w:r>
      <w:r w:rsidRPr="00A70E9A">
        <w:rPr>
          <w:rFonts w:ascii="Times New Roman" w:hAnsi="Times New Roman"/>
          <w:sz w:val="28"/>
          <w:szCs w:val="28"/>
        </w:rPr>
        <w:t>Агрообъединение</w:t>
      </w:r>
      <w:r w:rsidRPr="00A70E9A">
        <w:rPr>
          <w:rFonts w:ascii="Times" w:hAnsi="Times" w:cs="Times"/>
          <w:sz w:val="28"/>
          <w:szCs w:val="28"/>
        </w:rPr>
        <w:t>«</w:t>
      </w:r>
      <w:r w:rsidRPr="00A70E9A">
        <w:rPr>
          <w:rFonts w:ascii="Times New Roman" w:hAnsi="Times New Roman"/>
          <w:sz w:val="28"/>
          <w:szCs w:val="28"/>
        </w:rPr>
        <w:t>Кубань</w:t>
      </w:r>
      <w:r w:rsidRPr="00A70E9A">
        <w:rPr>
          <w:rFonts w:ascii="Times" w:hAnsi="Times" w:cs="Times"/>
          <w:sz w:val="28"/>
          <w:szCs w:val="28"/>
        </w:rPr>
        <w:t>»</w:t>
      </w:r>
      <w:r w:rsidRPr="00A70E9A">
        <w:rPr>
          <w:rFonts w:ascii="Times New Roman" w:hAnsi="Times New Roman"/>
          <w:sz w:val="28"/>
          <w:szCs w:val="28"/>
        </w:rPr>
        <w:t xml:space="preserve"> является тенденция увеличения кредиторской задолженности. С 2013 г. по 2015 г. она увеличилась на 1787846 тыс. руб. (</w:t>
      </w:r>
      <w:r>
        <w:rPr>
          <w:rFonts w:ascii="Times New Roman" w:hAnsi="Times New Roman"/>
          <w:sz w:val="28"/>
          <w:szCs w:val="28"/>
        </w:rPr>
        <w:t>с 6694405 тыс. руб. до</w:t>
      </w:r>
      <w:r w:rsidRPr="00A70E9A">
        <w:rPr>
          <w:rFonts w:ascii="Times New Roman" w:hAnsi="Times New Roman"/>
          <w:sz w:val="28"/>
          <w:szCs w:val="28"/>
        </w:rPr>
        <w:t xml:space="preserve"> 4906559 тыс. руб.)  или на 36,4%. В том числе, задолженность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0E9A">
        <w:rPr>
          <w:rFonts w:ascii="Times New Roman" w:hAnsi="Times New Roman"/>
          <w:sz w:val="28"/>
          <w:szCs w:val="28"/>
        </w:rPr>
        <w:t xml:space="preserve">краткосрочным займам и кредитам возросла до 2603831 тыс. руб., что в 2,4 раза превышает показатель 2013 г. </w:t>
      </w:r>
    </w:p>
    <w:p w:rsidR="00BD6D7F" w:rsidRPr="00A70E9A" w:rsidRDefault="00BD6D7F" w:rsidP="002714F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0E9A">
        <w:rPr>
          <w:rFonts w:ascii="Times New Roman" w:hAnsi="Times New Roman"/>
          <w:sz w:val="28"/>
          <w:szCs w:val="28"/>
        </w:rPr>
        <w:t>Причиной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0E9A">
        <w:rPr>
          <w:rFonts w:ascii="Times New Roman" w:hAnsi="Times New Roman"/>
          <w:sz w:val="28"/>
          <w:szCs w:val="28"/>
        </w:rPr>
        <w:t>недостатка собственных оборотных средств является наращивание и медленное погашение дебиторской задолженности. Так, в 2015 г. дебиторская задолженность предприятия составила 2096607 тыс. руб., что в 3,6 раза превышает аналогичный показатель 2013 г.</w:t>
      </w:r>
    </w:p>
    <w:p w:rsidR="00BD6D7F" w:rsidRDefault="00BD6D7F" w:rsidP="00ED5D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0E9A">
        <w:rPr>
          <w:rFonts w:ascii="Times New Roman" w:hAnsi="Times New Roman"/>
          <w:sz w:val="28"/>
          <w:szCs w:val="28"/>
        </w:rPr>
        <w:t>Для любого аграрного предприятия существует риск неисполнения договоров по оплате продукции</w:t>
      </w:r>
      <w:r w:rsidRPr="00A70E9A">
        <w:rPr>
          <w:rFonts w:ascii="Times" w:hAnsi="Times" w:cs="Times"/>
          <w:sz w:val="28"/>
          <w:szCs w:val="28"/>
        </w:rPr>
        <w:t>,</w:t>
      </w:r>
      <w:r w:rsidRPr="00A70E9A">
        <w:rPr>
          <w:rFonts w:ascii="Times New Roman" w:hAnsi="Times New Roman"/>
          <w:sz w:val="28"/>
          <w:szCs w:val="28"/>
        </w:rPr>
        <w:t xml:space="preserve"> как результат заключения договора с неплатежеспособным партнером</w:t>
      </w:r>
      <w:r w:rsidRPr="00883B33">
        <w:rPr>
          <w:rFonts w:ascii="Times New Roman" w:hAnsi="Times New Roman"/>
          <w:sz w:val="28"/>
          <w:szCs w:val="28"/>
        </w:rPr>
        <w:t xml:space="preserve"> [2]</w:t>
      </w:r>
      <w:r w:rsidRPr="00A70E9A">
        <w:rPr>
          <w:rFonts w:ascii="Times" w:hAnsi="Times" w:cs="Times"/>
          <w:sz w:val="28"/>
          <w:szCs w:val="28"/>
        </w:rPr>
        <w:t>.</w:t>
      </w:r>
      <w:r w:rsidRPr="00A70E9A">
        <w:rPr>
          <w:rFonts w:ascii="Times New Roman" w:hAnsi="Times New Roman"/>
          <w:sz w:val="28"/>
          <w:szCs w:val="28"/>
        </w:rPr>
        <w:t xml:space="preserve"> В ОАО </w:t>
      </w:r>
      <w:r w:rsidRPr="00A70E9A">
        <w:rPr>
          <w:rFonts w:ascii="Times" w:hAnsi="Times" w:cs="Times"/>
          <w:sz w:val="28"/>
          <w:szCs w:val="28"/>
        </w:rPr>
        <w:t>«</w:t>
      </w:r>
      <w:r w:rsidRPr="00A70E9A">
        <w:rPr>
          <w:rFonts w:ascii="Times New Roman" w:hAnsi="Times New Roman"/>
          <w:sz w:val="28"/>
          <w:szCs w:val="28"/>
        </w:rPr>
        <w:t>Агрообъединение</w:t>
      </w:r>
      <w:r w:rsidRPr="00A70E9A">
        <w:rPr>
          <w:rFonts w:ascii="Times" w:hAnsi="Times" w:cs="Times"/>
          <w:sz w:val="28"/>
          <w:szCs w:val="28"/>
        </w:rPr>
        <w:t>«</w:t>
      </w:r>
      <w:r w:rsidRPr="00A70E9A">
        <w:rPr>
          <w:rFonts w:ascii="Times New Roman" w:hAnsi="Times New Roman"/>
          <w:sz w:val="28"/>
          <w:szCs w:val="28"/>
        </w:rPr>
        <w:t>Кубань</w:t>
      </w:r>
      <w:r w:rsidRPr="00A70E9A">
        <w:rPr>
          <w:rFonts w:ascii="Times" w:hAnsi="Times" w:cs="Times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дебиторская задолженность составляет значительную долю отвлечения средств из оборота</w:t>
      </w:r>
      <w:r>
        <w:rPr>
          <w:rFonts w:ascii="Times" w:hAnsi="Times" w:cs="Times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указывает на неудовлетворительное управление расчетами с дебиторами</w:t>
      </w:r>
      <w:r>
        <w:rPr>
          <w:rFonts w:ascii="Times" w:hAnsi="Times" w:cs="Times"/>
          <w:sz w:val="28"/>
          <w:szCs w:val="28"/>
        </w:rPr>
        <w:t>.</w:t>
      </w:r>
      <w:r>
        <w:rPr>
          <w:rFonts w:cs="Times"/>
          <w:sz w:val="28"/>
          <w:szCs w:val="28"/>
        </w:rPr>
        <w:t xml:space="preserve"> </w:t>
      </w:r>
      <w:r w:rsidRPr="00F1666C">
        <w:rPr>
          <w:rFonts w:ascii="Times New Roman" w:hAnsi="Times New Roman"/>
          <w:color w:val="000000"/>
          <w:sz w:val="28"/>
          <w:szCs w:val="28"/>
        </w:rPr>
        <w:t>В целях улучшения управления дебито</w:t>
      </w:r>
      <w:r>
        <w:rPr>
          <w:rFonts w:ascii="Times New Roman" w:hAnsi="Times New Roman"/>
          <w:color w:val="000000"/>
          <w:sz w:val="28"/>
          <w:szCs w:val="28"/>
        </w:rPr>
        <w:t xml:space="preserve">рской задолженностью в </w:t>
      </w:r>
      <w:r>
        <w:rPr>
          <w:rFonts w:ascii="Times New Roman" w:hAnsi="Times New Roman"/>
          <w:sz w:val="28"/>
          <w:szCs w:val="28"/>
        </w:rPr>
        <w:t xml:space="preserve">ОАО </w:t>
      </w: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Агрообъединение</w:t>
      </w: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Кубань</w:t>
      </w:r>
      <w:r>
        <w:rPr>
          <w:rFonts w:ascii="Times" w:hAnsi="Times" w:cs="Times"/>
          <w:sz w:val="28"/>
          <w:szCs w:val="28"/>
        </w:rPr>
        <w:t>»</w:t>
      </w:r>
      <w:r w:rsidRPr="00F1666C">
        <w:rPr>
          <w:rFonts w:ascii="Times New Roman" w:hAnsi="Times New Roman"/>
          <w:color w:val="000000"/>
          <w:sz w:val="28"/>
          <w:szCs w:val="28"/>
        </w:rPr>
        <w:t>необходимо:</w:t>
      </w:r>
    </w:p>
    <w:p w:rsidR="00BD6D7F" w:rsidRPr="00F1666C" w:rsidRDefault="00BD6D7F" w:rsidP="00EB4764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7E1260">
        <w:rPr>
          <w:rFonts w:ascii="Times New Roman" w:hAnsi="Times New Roman"/>
          <w:color w:val="000000"/>
          <w:sz w:val="28"/>
          <w:szCs w:val="28"/>
        </w:rPr>
        <w:t xml:space="preserve">осуществлять отбор </w:t>
      </w:r>
      <w:r>
        <w:rPr>
          <w:rFonts w:ascii="Times New Roman" w:hAnsi="Times New Roman"/>
          <w:color w:val="000000"/>
          <w:sz w:val="28"/>
          <w:szCs w:val="28"/>
        </w:rPr>
        <w:t xml:space="preserve">клиентов </w:t>
      </w:r>
      <w:r w:rsidRPr="007E1260">
        <w:rPr>
          <w:rFonts w:ascii="Times New Roman" w:hAnsi="Times New Roman"/>
          <w:color w:val="000000"/>
          <w:sz w:val="28"/>
          <w:szCs w:val="28"/>
        </w:rPr>
        <w:t xml:space="preserve">при помощи неформальных критериев: уровень текущей платежеспособности клиента, соблюдение платежной дисциплины, прогнозные финансовые возможности, финансовые и экономические возможности </w:t>
      </w:r>
      <w:r>
        <w:rPr>
          <w:rFonts w:ascii="Times New Roman" w:hAnsi="Times New Roman"/>
          <w:color w:val="000000"/>
          <w:sz w:val="28"/>
          <w:szCs w:val="28"/>
        </w:rPr>
        <w:t>дебиторов;</w:t>
      </w:r>
    </w:p>
    <w:p w:rsidR="00BD6D7F" w:rsidRDefault="00BD6D7F" w:rsidP="004147E1">
      <w:pPr>
        <w:pStyle w:val="1"/>
        <w:shd w:val="clear" w:color="auto" w:fill="FFFFFF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E7CA9">
        <w:rPr>
          <w:rFonts w:ascii="Times New Roman" w:hAnsi="Times New Roman"/>
          <w:color w:val="000000"/>
          <w:sz w:val="28"/>
          <w:szCs w:val="28"/>
        </w:rPr>
        <w:t xml:space="preserve">разработать условия кредитования дебиторов, среди которых могут быть: скидки покупателям в случае уплаты полученного товара в течение 10 дней с момента получения товара; в случае </w:t>
      </w:r>
      <w:r>
        <w:rPr>
          <w:rFonts w:ascii="Times New Roman" w:hAnsi="Times New Roman"/>
          <w:color w:val="000000"/>
          <w:sz w:val="28"/>
          <w:szCs w:val="28"/>
        </w:rPr>
        <w:t xml:space="preserve">несвоевременной </w:t>
      </w:r>
      <w:r w:rsidRPr="005E7CA9">
        <w:rPr>
          <w:rFonts w:ascii="Times New Roman" w:hAnsi="Times New Roman"/>
          <w:color w:val="000000"/>
          <w:sz w:val="28"/>
          <w:szCs w:val="28"/>
        </w:rPr>
        <w:t xml:space="preserve">уплаты </w:t>
      </w:r>
      <w:r>
        <w:rPr>
          <w:rFonts w:ascii="Times New Roman" w:hAnsi="Times New Roman"/>
          <w:color w:val="000000"/>
          <w:sz w:val="28"/>
          <w:szCs w:val="28"/>
        </w:rPr>
        <w:t xml:space="preserve">предусмотреть </w:t>
      </w:r>
      <w:r w:rsidRPr="005E7CA9">
        <w:rPr>
          <w:rFonts w:ascii="Times New Roman" w:hAnsi="Times New Roman"/>
          <w:color w:val="000000"/>
          <w:sz w:val="28"/>
          <w:szCs w:val="28"/>
        </w:rPr>
        <w:t xml:space="preserve">штраф, величина которого </w:t>
      </w:r>
      <w:r>
        <w:rPr>
          <w:rFonts w:ascii="Times New Roman" w:hAnsi="Times New Roman"/>
          <w:color w:val="000000"/>
          <w:sz w:val="28"/>
          <w:szCs w:val="28"/>
        </w:rPr>
        <w:t>возрастает с каждым днем просрочки;</w:t>
      </w:r>
    </w:p>
    <w:p w:rsidR="00BD6D7F" w:rsidRPr="00C338B0" w:rsidRDefault="00BD6D7F" w:rsidP="00EB4764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338B0">
        <w:rPr>
          <w:rFonts w:ascii="Times New Roman" w:hAnsi="Times New Roman"/>
          <w:color w:val="000000"/>
          <w:sz w:val="28"/>
          <w:szCs w:val="28"/>
        </w:rPr>
        <w:t>постоянно контролировать состояние расчетов с покупателями;</w:t>
      </w:r>
    </w:p>
    <w:p w:rsidR="00BD6D7F" w:rsidRPr="00EB4764" w:rsidRDefault="00BD6D7F" w:rsidP="00EB4764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7E1260">
        <w:rPr>
          <w:rFonts w:ascii="Times New Roman" w:hAnsi="Times New Roman"/>
          <w:color w:val="000000"/>
          <w:sz w:val="28"/>
          <w:szCs w:val="28"/>
        </w:rPr>
        <w:t>осуществлять регулярный анализ финансовой отчетности клиентов в сопоставлении с данными предыдущих лет;</w:t>
      </w:r>
    </w:p>
    <w:p w:rsidR="00BD6D7F" w:rsidRPr="00C338B0" w:rsidRDefault="00BD6D7F" w:rsidP="004147E1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C338B0">
        <w:rPr>
          <w:rFonts w:ascii="Times New Roman" w:hAnsi="Times New Roman"/>
          <w:color w:val="000000"/>
          <w:sz w:val="28"/>
          <w:szCs w:val="28"/>
        </w:rPr>
        <w:t>отслеживать соотношение дебиторск</w:t>
      </w:r>
      <w:r>
        <w:rPr>
          <w:rFonts w:ascii="Times New Roman" w:hAnsi="Times New Roman"/>
          <w:color w:val="000000"/>
          <w:sz w:val="28"/>
          <w:szCs w:val="28"/>
        </w:rPr>
        <w:t>ой и кредиторской задолженности.</w:t>
      </w:r>
    </w:p>
    <w:p w:rsidR="00BD6D7F" w:rsidRDefault="00BD6D7F" w:rsidP="0047307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Совершенствовать стратегии маркетинга  на основе:</w:t>
      </w:r>
    </w:p>
    <w:p w:rsidR="00BD6D7F" w:rsidRPr="004C206A" w:rsidRDefault="00BD6D7F" w:rsidP="0047307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мониторинга</w:t>
      </w:r>
      <w:r w:rsidRPr="004C206A">
        <w:rPr>
          <w:rFonts w:ascii="Times New Roman" w:hAnsi="Times New Roman"/>
          <w:sz w:val="28"/>
          <w:szCs w:val="28"/>
        </w:rPr>
        <w:t xml:space="preserve"> покупательск</w:t>
      </w:r>
      <w:r>
        <w:rPr>
          <w:rFonts w:ascii="Times New Roman" w:hAnsi="Times New Roman"/>
          <w:sz w:val="28"/>
          <w:szCs w:val="28"/>
        </w:rPr>
        <w:t>ого</w:t>
      </w:r>
      <w:r w:rsidRPr="004C206A">
        <w:rPr>
          <w:rFonts w:ascii="Times New Roman" w:hAnsi="Times New Roman"/>
          <w:sz w:val="28"/>
          <w:szCs w:val="28"/>
        </w:rPr>
        <w:t xml:space="preserve"> спрос</w:t>
      </w:r>
      <w:r>
        <w:rPr>
          <w:rFonts w:ascii="Times New Roman" w:hAnsi="Times New Roman"/>
          <w:sz w:val="28"/>
          <w:szCs w:val="28"/>
        </w:rPr>
        <w:t>а</w:t>
      </w:r>
      <w:r w:rsidRPr="004C206A">
        <w:rPr>
          <w:rFonts w:ascii="Times New Roman" w:hAnsi="Times New Roman"/>
          <w:sz w:val="28"/>
          <w:szCs w:val="28"/>
        </w:rPr>
        <w:t xml:space="preserve"> на отдельные </w:t>
      </w:r>
      <w:r>
        <w:rPr>
          <w:rFonts w:ascii="Times New Roman" w:hAnsi="Times New Roman"/>
          <w:sz w:val="28"/>
          <w:szCs w:val="28"/>
        </w:rPr>
        <w:t>виды продукции</w:t>
      </w:r>
      <w:r w:rsidRPr="004C206A">
        <w:rPr>
          <w:rFonts w:ascii="Times New Roman" w:hAnsi="Times New Roman"/>
          <w:sz w:val="28"/>
          <w:szCs w:val="28"/>
        </w:rPr>
        <w:t xml:space="preserve">; </w:t>
      </w:r>
    </w:p>
    <w:p w:rsidR="00BD6D7F" w:rsidRPr="004C206A" w:rsidRDefault="00BD6D7F" w:rsidP="0047307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C206A">
        <w:rPr>
          <w:rFonts w:ascii="Times New Roman" w:hAnsi="Times New Roman"/>
          <w:sz w:val="28"/>
          <w:szCs w:val="28"/>
        </w:rPr>
        <w:t>повыш</w:t>
      </w:r>
      <w:r>
        <w:rPr>
          <w:rFonts w:ascii="Times New Roman" w:hAnsi="Times New Roman"/>
          <w:sz w:val="28"/>
          <w:szCs w:val="28"/>
        </w:rPr>
        <w:t>ения</w:t>
      </w:r>
      <w:r w:rsidRPr="004C206A">
        <w:rPr>
          <w:rFonts w:ascii="Times New Roman" w:hAnsi="Times New Roman"/>
          <w:sz w:val="28"/>
          <w:szCs w:val="28"/>
        </w:rPr>
        <w:t xml:space="preserve"> качеств</w:t>
      </w:r>
      <w:r>
        <w:rPr>
          <w:rFonts w:ascii="Times New Roman" w:hAnsi="Times New Roman"/>
          <w:sz w:val="28"/>
          <w:szCs w:val="28"/>
        </w:rPr>
        <w:t>а, а значит</w:t>
      </w:r>
      <w:r w:rsidRPr="004C206A">
        <w:rPr>
          <w:rFonts w:ascii="Times New Roman" w:hAnsi="Times New Roman"/>
          <w:sz w:val="28"/>
          <w:szCs w:val="28"/>
        </w:rPr>
        <w:t xml:space="preserve"> и конкурентоспособност</w:t>
      </w:r>
      <w:r>
        <w:rPr>
          <w:rFonts w:ascii="Times New Roman" w:hAnsi="Times New Roman"/>
          <w:sz w:val="28"/>
          <w:szCs w:val="28"/>
        </w:rPr>
        <w:t>и;</w:t>
      </w:r>
    </w:p>
    <w:p w:rsidR="00BD6D7F" w:rsidRPr="004C206A" w:rsidRDefault="00BD6D7F" w:rsidP="00EB476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C206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роведения</w:t>
      </w:r>
      <w:r w:rsidRPr="004C206A">
        <w:rPr>
          <w:rFonts w:ascii="Times New Roman" w:hAnsi="Times New Roman"/>
          <w:sz w:val="28"/>
          <w:szCs w:val="28"/>
        </w:rPr>
        <w:t xml:space="preserve"> эффективн</w:t>
      </w:r>
      <w:r>
        <w:rPr>
          <w:rFonts w:ascii="Times New Roman" w:hAnsi="Times New Roman"/>
          <w:sz w:val="28"/>
          <w:szCs w:val="28"/>
        </w:rPr>
        <w:t>ой</w:t>
      </w:r>
      <w:r w:rsidRPr="004C206A">
        <w:rPr>
          <w:rFonts w:ascii="Times New Roman" w:hAnsi="Times New Roman"/>
          <w:sz w:val="28"/>
          <w:szCs w:val="28"/>
        </w:rPr>
        <w:t xml:space="preserve"> рекламн</w:t>
      </w:r>
      <w:r>
        <w:rPr>
          <w:rFonts w:ascii="Times New Roman" w:hAnsi="Times New Roman"/>
          <w:sz w:val="28"/>
          <w:szCs w:val="28"/>
        </w:rPr>
        <w:t>ой ка</w:t>
      </w:r>
      <w:r w:rsidRPr="004C206A">
        <w:rPr>
          <w:rFonts w:ascii="Times New Roman" w:hAnsi="Times New Roman"/>
          <w:sz w:val="28"/>
          <w:szCs w:val="28"/>
        </w:rPr>
        <w:t>мпани</w:t>
      </w:r>
      <w:r>
        <w:rPr>
          <w:rFonts w:ascii="Times New Roman" w:hAnsi="Times New Roman"/>
          <w:sz w:val="28"/>
          <w:szCs w:val="28"/>
        </w:rPr>
        <w:t>и</w:t>
      </w:r>
      <w:r w:rsidRPr="004C206A">
        <w:rPr>
          <w:rFonts w:ascii="Times New Roman" w:hAnsi="Times New Roman"/>
          <w:sz w:val="28"/>
          <w:szCs w:val="28"/>
        </w:rPr>
        <w:t xml:space="preserve">; </w:t>
      </w:r>
    </w:p>
    <w:p w:rsidR="00BD6D7F" w:rsidRPr="004C206A" w:rsidRDefault="00BD6D7F" w:rsidP="00EB476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использования</w:t>
      </w:r>
      <w:r w:rsidRPr="004C206A">
        <w:rPr>
          <w:rFonts w:ascii="Times New Roman" w:hAnsi="Times New Roman"/>
          <w:sz w:val="28"/>
          <w:szCs w:val="28"/>
        </w:rPr>
        <w:t xml:space="preserve"> гибк</w:t>
      </w:r>
      <w:r>
        <w:rPr>
          <w:rFonts w:ascii="Times New Roman" w:hAnsi="Times New Roman"/>
          <w:sz w:val="28"/>
          <w:szCs w:val="28"/>
        </w:rPr>
        <w:t>ой</w:t>
      </w:r>
      <w:r w:rsidRPr="004C206A">
        <w:rPr>
          <w:rFonts w:ascii="Times New Roman" w:hAnsi="Times New Roman"/>
          <w:sz w:val="28"/>
          <w:szCs w:val="28"/>
        </w:rPr>
        <w:t xml:space="preserve"> ценов</w:t>
      </w:r>
      <w:r>
        <w:rPr>
          <w:rFonts w:ascii="Times New Roman" w:hAnsi="Times New Roman"/>
          <w:sz w:val="28"/>
          <w:szCs w:val="28"/>
        </w:rPr>
        <w:t>ой</w:t>
      </w:r>
      <w:r w:rsidRPr="004C206A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>и.</w:t>
      </w:r>
    </w:p>
    <w:p w:rsidR="00BD6D7F" w:rsidRDefault="00BD6D7F" w:rsidP="0047307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" w:hAnsi="Times" w:cs="Times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деятельности ОАО </w:t>
      </w: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Агрообъединение</w:t>
      </w: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Кубань</w:t>
      </w:r>
      <w:r>
        <w:rPr>
          <w:rFonts w:ascii="Times" w:hAnsi="Times" w:cs="Times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всем указанным направлениям позволит генерировать денежные средства</w:t>
      </w:r>
      <w:r>
        <w:rPr>
          <w:rFonts w:ascii="Times" w:hAnsi="Times" w:cs="Times"/>
          <w:sz w:val="28"/>
          <w:szCs w:val="28"/>
        </w:rPr>
        <w:t>,</w:t>
      </w:r>
      <w:r>
        <w:rPr>
          <w:rFonts w:cs="Times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повысить платежеспособность и финансовую устойчивость, прибыльность и деловую активность.</w:t>
      </w:r>
    </w:p>
    <w:p w:rsidR="00BD6D7F" w:rsidRDefault="00BD6D7F" w:rsidP="008E1C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6D7F" w:rsidRDefault="00BD6D7F" w:rsidP="00F331ED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E1CC5">
        <w:rPr>
          <w:rFonts w:ascii="Times New Roman" w:hAnsi="Times New Roman"/>
          <w:b/>
          <w:sz w:val="24"/>
          <w:szCs w:val="24"/>
        </w:rPr>
        <w:t>Литература</w:t>
      </w:r>
    </w:p>
    <w:p w:rsidR="00BD6D7F" w:rsidRPr="00D45FDD" w:rsidRDefault="00BD6D7F" w:rsidP="00F331ED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</w:rPr>
        <w:t xml:space="preserve">Ефимова, О. В. Финансовый анализ: современный инструментарий для принятия экономических решений: учебник / О. В. Ефимова. - М.: Омега-Л, 2014. - 348 с. 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</w:rPr>
        <w:t xml:space="preserve">Затонская, И.В., Затонская С.С., Краскова А.А. </w:t>
      </w:r>
      <w:r w:rsidRPr="00D45FDD">
        <w:rPr>
          <w:rFonts w:ascii="Times New Roman" w:hAnsi="Times New Roman"/>
          <w:bCs/>
          <w:sz w:val="24"/>
          <w:szCs w:val="24"/>
        </w:rPr>
        <w:t>Оценка финансовых рисков аграрного предприятия по данным отчетности / И.В. Затонская, С.С. Затонская, А.А. Краскова</w:t>
      </w:r>
      <w:r w:rsidRPr="00D45FDD">
        <w:rPr>
          <w:rFonts w:ascii="Times New Roman" w:hAnsi="Times New Roman"/>
          <w:sz w:val="24"/>
          <w:szCs w:val="24"/>
        </w:rPr>
        <w:t>//Научный журнал КубГАУ, №112(08), 2015.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</w:rPr>
        <w:t>Колачева, Н. В.,  Быкова Н. Н. Финансовый  результат  предприятия  как объект оценки и анализа / Н. В. Колачева, Н. Н. Быкова // Вестник  НГИЭИ. - 2015. - 1(44). - С. 29–35.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</w:rPr>
        <w:t xml:space="preserve">Комплексный экономический анализ: учебно-методическое пособие / Н. К. Васильева, А. Г. Прудников, А. И. Трубилин [и др.]. – Краснодар: КубГАУ, 2011. – 121 с. 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</w:rPr>
        <w:t xml:space="preserve">Наумкина, А. Н. Актуальные проблемы учета и определения финансовых результатов деятельности предприятия / А. Н. Наумкина, В. П. Шегурова // Молодой ученый. - 2014. - № 2. - С. 514–517. 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  <w:shd w:val="clear" w:color="auto" w:fill="FFFFFF"/>
        </w:rPr>
        <w:t xml:space="preserve">Прудников, А. Г. Совершенствование методики анализа оборачиваемости материально-производственных запасов / А. Г. Прудников, И. М. Новожилов, Н. А. Лола // Экономическая наука сегодня: теория и практика : материалы V Междунар. науч.–практ. конф. (Чебоксары, 3 дек. 2016 г.) / редкол.: О. Н. Широков [и др.]. - Чебоксары: ЦНС «Интерактив плюс», 2016. - С. 298 - 301. 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</w:rPr>
        <w:t>Савицкая, Г. В. Анализ хозяйственной деятельности предприятия: учебник / Савицкая Г. В. - М.: Инфра - М, 2013. – 384с.</w:t>
      </w:r>
    </w:p>
    <w:p w:rsidR="00BD6D7F" w:rsidRPr="00D45FDD" w:rsidRDefault="00BD6D7F" w:rsidP="00F331ED">
      <w:pPr>
        <w:widowControl w:val="0"/>
        <w:numPr>
          <w:ilvl w:val="0"/>
          <w:numId w:val="16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45FDD">
        <w:rPr>
          <w:rFonts w:ascii="Times New Roman" w:hAnsi="Times New Roman"/>
          <w:sz w:val="24"/>
          <w:szCs w:val="24"/>
          <w:shd w:val="clear" w:color="auto" w:fill="FFFFFF"/>
        </w:rPr>
        <w:t>Шеремет, А.Д. Методика финансового анализа деятельности коммерческих организаций / А.Д. Шеремет, Е.В. Негашев. - 2-е изд., перераб. и доп. - М. : ИНФРА-М, 2016. - 208 с.</w:t>
      </w:r>
    </w:p>
    <w:p w:rsidR="00BD6D7F" w:rsidRDefault="00BD6D7F" w:rsidP="00F331ED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lang w:val="en-US"/>
        </w:rPr>
      </w:pPr>
    </w:p>
    <w:p w:rsidR="00BD6D7F" w:rsidRPr="00F67FA4" w:rsidRDefault="00BD6D7F" w:rsidP="00F331ED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</w:pPr>
      <w:r w:rsidRPr="00F67FA4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D6D7F" w:rsidRPr="00D45FDD" w:rsidRDefault="00BD6D7F" w:rsidP="00F331ED">
      <w:pPr>
        <w:pStyle w:val="ListParagraph"/>
        <w:shd w:val="clear" w:color="auto" w:fill="FFFFFF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1.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 xml:space="preserve">Efimova, O. V. Finansovyj analiz: sovremennyj instrumentarij dlja prinjatija jekonomicheskih reshenij: uchebnik / O. V. Efimova. - M.: Omega-L, 2014. - 348 s. 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2.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>Zatonskaja, I.V., Zatonskaja S.S., Kraskova A.A. Ocenka finansovyh riskov agrarnogo predprijatija po dannym otchetnosti / I.V. Zatonskaja, S.S. Zatonskaja, A.A. Kraskova//Nauchnyj zhurnal KubGAU, №112(08), 2015.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3.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>Kolacheva, N. V.,  Bykova N. N. Finansovyj  rezul'tat  predprijatija  kak ob#ekt ocenki i analiza / N. V. Kolacheva, N. N. Bykova // Vestnik  NGIJeI. - 2015. - 1(44). - S. 29–35.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4.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 xml:space="preserve">Kompleksnyj jekonomicheskij analiz: uchebno-metodicheskoe posobie / N. K. Vasil'eva, A. G. Prudnikov, A. I. Trubilin [i dr.]. – Krasnodar: KubGAU, 2011. – 121 s. 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5.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 xml:space="preserve">Naumkina, A. N. Aktual'nye problemy ucheta i opredelenija finansovyh rezul'tatov dejatel'nosti predprijatija / A. N. Naumkina, V. P. Shegurova // Molodoj uchenyj. - 2014. - № 2. - S. 514–517. 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6.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 xml:space="preserve">Prudnikov, A. G. Sovershenstvovanie metodiki analiza oborachivaemosti material'no-proizvodstvennyh zapasov / A. G. Prudnikov, I. M. Novozhilov, N. A. Lola // Jekonomicheskaja nauka segodnja: teorija i praktika : materialy V Mezhdunar. nauch.–prakt. konf. (Cheboksary, 3 dek. 2016 g.) / redkol.: O. N. Shirokov [i dr.]. - Cheboksary: CNS «Interaktiv pljus», 2016. - S. 298 - 301. 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7.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>Savickaja, G. V. Analiz hozjajstvennoj dejatel'nosti predprijatija: uchebnik / Savickaja G. V. - M.: Infra - M, 2013. – 384s.</w:t>
      </w:r>
    </w:p>
    <w:p w:rsidR="00BD6D7F" w:rsidRPr="002B7560" w:rsidRDefault="00BD6D7F" w:rsidP="002B7560">
      <w:pPr>
        <w:pStyle w:val="ListParagraph"/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B7560">
        <w:rPr>
          <w:rFonts w:ascii="Times New Roman" w:hAnsi="Times New Roman"/>
          <w:sz w:val="24"/>
          <w:szCs w:val="24"/>
          <w:lang w:val="en-US"/>
        </w:rPr>
        <w:t>8.</w:t>
      </w:r>
      <w:r w:rsidRPr="002B7560">
        <w:rPr>
          <w:rFonts w:ascii="Times New Roman" w:hAnsi="Times New Roman"/>
          <w:sz w:val="24"/>
          <w:szCs w:val="24"/>
          <w:lang w:val="en-US"/>
        </w:rPr>
        <w:tab/>
        <w:t>Sheremet, A.D. Metodika finansovogo analiza dejatel'nosti kommercheskih organizacij / A.D. Sheremet, E.V. Negashev. - 2-e izd., pererab. i dop. - M. : INFRA-M, 2016. - 208 s.</w:t>
      </w:r>
    </w:p>
    <w:sectPr w:rsidR="00BD6D7F" w:rsidRPr="002B7560" w:rsidSect="00DD19BF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D7F" w:rsidRDefault="00BD6D7F" w:rsidP="00EB4764">
      <w:pPr>
        <w:spacing w:after="0" w:line="240" w:lineRule="auto"/>
      </w:pPr>
      <w:r>
        <w:separator/>
      </w:r>
    </w:p>
  </w:endnote>
  <w:endnote w:type="continuationSeparator" w:id="0">
    <w:p w:rsidR="00BD6D7F" w:rsidRDefault="00BD6D7F" w:rsidP="00EB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D7F" w:rsidRDefault="00BD6D7F">
    <w:pPr>
      <w:pStyle w:val="Footer"/>
    </w:pPr>
    <w:bookmarkStart w:id="4" w:name="OLE_LINK122"/>
    <w:bookmarkStart w:id="5" w:name="OLE_LINK123"/>
    <w:bookmarkStart w:id="6" w:name="OLE_LINK124"/>
    <w:bookmarkStart w:id="7" w:name="OLE_LINK9"/>
    <w:bookmarkStart w:id="8" w:name="OLE_LINK10"/>
    <w:r w:rsidRPr="00B10E3E">
      <w:rPr>
        <w:rFonts w:ascii="Times New Roman" w:hAnsi="Times New Roman"/>
        <w:sz w:val="24"/>
        <w:szCs w:val="24"/>
        <w:lang w:val="en-US"/>
      </w:rPr>
      <w:t>http://ej.kubagro.ru/2017/04/pdf/</w:t>
    </w:r>
    <w:r>
      <w:rPr>
        <w:rFonts w:ascii="Times New Roman" w:hAnsi="Times New Roman"/>
        <w:sz w:val="24"/>
        <w:szCs w:val="24"/>
        <w:lang w:val="en-US"/>
      </w:rPr>
      <w:t>69</w:t>
    </w:r>
    <w:r w:rsidRPr="00B10E3E">
      <w:rPr>
        <w:rFonts w:ascii="Times New Roman" w:hAnsi="Times New Roman"/>
        <w:sz w:val="24"/>
        <w:szCs w:val="24"/>
        <w:lang w:val="en-US"/>
      </w:rPr>
      <w:t>.pdf</w:t>
    </w:r>
    <w:bookmarkEnd w:id="4"/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D7F" w:rsidRDefault="00BD6D7F" w:rsidP="00EB4764">
      <w:pPr>
        <w:spacing w:after="0" w:line="240" w:lineRule="auto"/>
      </w:pPr>
      <w:r>
        <w:separator/>
      </w:r>
    </w:p>
  </w:footnote>
  <w:footnote w:type="continuationSeparator" w:id="0">
    <w:p w:rsidR="00BD6D7F" w:rsidRDefault="00BD6D7F" w:rsidP="00EB4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D7F" w:rsidRDefault="00BD6D7F" w:rsidP="00C841E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6D7F" w:rsidRDefault="00BD6D7F" w:rsidP="004868A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D7F" w:rsidRPr="004868A4" w:rsidRDefault="00BD6D7F" w:rsidP="00C841E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868A4">
      <w:rPr>
        <w:rStyle w:val="PageNumber"/>
        <w:rFonts w:ascii="Times New Roman" w:hAnsi="Times New Roman"/>
        <w:sz w:val="28"/>
        <w:szCs w:val="28"/>
      </w:rPr>
      <w:fldChar w:fldCharType="begin"/>
    </w:r>
    <w:r w:rsidRPr="004868A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868A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4868A4">
      <w:rPr>
        <w:rStyle w:val="PageNumber"/>
        <w:rFonts w:ascii="Times New Roman" w:hAnsi="Times New Roman"/>
        <w:sz w:val="28"/>
        <w:szCs w:val="28"/>
      </w:rPr>
      <w:fldChar w:fldCharType="end"/>
    </w:r>
  </w:p>
  <w:p w:rsidR="00BD6D7F" w:rsidRPr="004868A4" w:rsidRDefault="00BD6D7F" w:rsidP="004868A4">
    <w:pPr>
      <w:pStyle w:val="Header"/>
      <w:ind w:right="360"/>
      <w:rPr>
        <w:rFonts w:ascii="Times New Roman" w:hAnsi="Times New Roman"/>
        <w:lang w:val="en-US"/>
      </w:rPr>
    </w:pPr>
    <w:r w:rsidRPr="00B36D60">
      <w:rPr>
        <w:rFonts w:ascii="Times New Roman" w:hAnsi="Times New Roman"/>
        <w:sz w:val="24"/>
        <w:szCs w:val="24"/>
      </w:rPr>
      <w:t>Научный журнал КубГАУ, №</w:t>
    </w:r>
    <w:r w:rsidRPr="00B36D60">
      <w:rPr>
        <w:rFonts w:ascii="Times New Roman" w:hAnsi="Times New Roman"/>
        <w:sz w:val="24"/>
        <w:szCs w:val="24"/>
        <w:lang w:val="en-US"/>
      </w:rPr>
      <w:t>128</w:t>
    </w:r>
    <w:r w:rsidRPr="00B36D60">
      <w:rPr>
        <w:rFonts w:ascii="Times New Roman" w:hAnsi="Times New Roman"/>
        <w:sz w:val="24"/>
        <w:szCs w:val="24"/>
      </w:rPr>
      <w:t>(</w:t>
    </w:r>
    <w:r w:rsidRPr="00B36D60">
      <w:rPr>
        <w:rFonts w:ascii="Times New Roman" w:hAnsi="Times New Roman"/>
        <w:sz w:val="24"/>
        <w:szCs w:val="24"/>
        <w:lang w:val="en-US"/>
      </w:rPr>
      <w:t>04</w:t>
    </w:r>
    <w:r w:rsidRPr="00B36D60">
      <w:rPr>
        <w:rFonts w:ascii="Times New Roman" w:hAnsi="Times New Roman"/>
        <w:sz w:val="24"/>
        <w:szCs w:val="24"/>
      </w:rPr>
      <w:t>), 201</w:t>
    </w:r>
    <w:r w:rsidRPr="00B36D60">
      <w:rPr>
        <w:rFonts w:ascii="Times New Roman" w:hAnsi="Times New Roman"/>
        <w:sz w:val="24"/>
        <w:szCs w:val="24"/>
        <w:lang w:val="en-US"/>
      </w:rPr>
      <w:t>7</w:t>
    </w:r>
    <w:r w:rsidRPr="00B36D60">
      <w:rPr>
        <w:rFonts w:ascii="Times New Roman" w:hAnsi="Times New Roman"/>
        <w:sz w:val="24"/>
        <w:szCs w:val="24"/>
      </w:rPr>
      <w:t xml:space="preserve"> года</w:t>
    </w:r>
  </w:p>
  <w:p w:rsidR="00BD6D7F" w:rsidRDefault="00BD6D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00002EA6"/>
    <w:lvl w:ilvl="0" w:tplc="000012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153C"/>
    <w:multiLevelType w:val="hybridMultilevel"/>
    <w:tmpl w:val="00007E87"/>
    <w:lvl w:ilvl="0" w:tplc="0000390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01EB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F90"/>
    <w:multiLevelType w:val="hybridMultilevel"/>
    <w:tmpl w:val="00001649"/>
    <w:lvl w:ilvl="0" w:tplc="00006DF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875F1A"/>
    <w:multiLevelType w:val="hybridMultilevel"/>
    <w:tmpl w:val="5C94EFE0"/>
    <w:lvl w:ilvl="0" w:tplc="B824F29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17B6852"/>
    <w:multiLevelType w:val="hybridMultilevel"/>
    <w:tmpl w:val="C82E18F6"/>
    <w:lvl w:ilvl="0" w:tplc="B49A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083115"/>
    <w:multiLevelType w:val="hybridMultilevel"/>
    <w:tmpl w:val="70C0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3C38AA"/>
    <w:multiLevelType w:val="hybridMultilevel"/>
    <w:tmpl w:val="05784C8C"/>
    <w:lvl w:ilvl="0" w:tplc="B49A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2D6371"/>
    <w:multiLevelType w:val="hybridMultilevel"/>
    <w:tmpl w:val="5DAACB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073D31"/>
    <w:multiLevelType w:val="hybridMultilevel"/>
    <w:tmpl w:val="00002EA6"/>
    <w:lvl w:ilvl="0" w:tplc="000012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34877028"/>
    <w:multiLevelType w:val="hybridMultilevel"/>
    <w:tmpl w:val="0EC29C82"/>
    <w:lvl w:ilvl="0" w:tplc="000012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376976"/>
    <w:multiLevelType w:val="hybridMultilevel"/>
    <w:tmpl w:val="3178166C"/>
    <w:lvl w:ilvl="0" w:tplc="9E68A458">
      <w:start w:val="1"/>
      <w:numFmt w:val="decimal"/>
      <w:lvlText w:val="%1."/>
      <w:lvlJc w:val="left"/>
      <w:pPr>
        <w:ind w:left="720" w:hanging="360"/>
      </w:pPr>
      <w:rPr>
        <w:rFonts w:ascii="inherit" w:eastAsia="Times New Roman" w:hAnsi="inherit" w:cs="Courier New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661D93"/>
    <w:multiLevelType w:val="hybridMultilevel"/>
    <w:tmpl w:val="6952E494"/>
    <w:lvl w:ilvl="0" w:tplc="B49A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34621F"/>
    <w:multiLevelType w:val="hybridMultilevel"/>
    <w:tmpl w:val="F154B290"/>
    <w:lvl w:ilvl="0" w:tplc="000012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655B67"/>
    <w:multiLevelType w:val="hybridMultilevel"/>
    <w:tmpl w:val="9D902F3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7ECA67E4"/>
    <w:multiLevelType w:val="hybridMultilevel"/>
    <w:tmpl w:val="CAA2653A"/>
    <w:lvl w:ilvl="0" w:tplc="000012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10"/>
  </w:num>
  <w:num w:numId="10">
    <w:abstractNumId w:val="16"/>
  </w:num>
  <w:num w:numId="11">
    <w:abstractNumId w:val="11"/>
  </w:num>
  <w:num w:numId="12">
    <w:abstractNumId w:val="13"/>
  </w:num>
  <w:num w:numId="13">
    <w:abstractNumId w:val="14"/>
  </w:num>
  <w:num w:numId="14">
    <w:abstractNumId w:val="7"/>
  </w:num>
  <w:num w:numId="15">
    <w:abstractNumId w:val="6"/>
  </w:num>
  <w:num w:numId="16">
    <w:abstractNumId w:val="1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88A"/>
    <w:rsid w:val="00003CEF"/>
    <w:rsid w:val="0001157D"/>
    <w:rsid w:val="000216AD"/>
    <w:rsid w:val="00022E96"/>
    <w:rsid w:val="00056C96"/>
    <w:rsid w:val="00092329"/>
    <w:rsid w:val="000E1B5D"/>
    <w:rsid w:val="000E6E31"/>
    <w:rsid w:val="000E7743"/>
    <w:rsid w:val="000F33B4"/>
    <w:rsid w:val="00141CB6"/>
    <w:rsid w:val="00152B41"/>
    <w:rsid w:val="0016203C"/>
    <w:rsid w:val="00173CA5"/>
    <w:rsid w:val="00196D27"/>
    <w:rsid w:val="001C7382"/>
    <w:rsid w:val="00221DF4"/>
    <w:rsid w:val="002224D4"/>
    <w:rsid w:val="002244A8"/>
    <w:rsid w:val="002333A8"/>
    <w:rsid w:val="002432AB"/>
    <w:rsid w:val="00270266"/>
    <w:rsid w:val="002709C5"/>
    <w:rsid w:val="002714FE"/>
    <w:rsid w:val="002962A4"/>
    <w:rsid w:val="002B7560"/>
    <w:rsid w:val="002B766E"/>
    <w:rsid w:val="002D7329"/>
    <w:rsid w:val="002E4B8C"/>
    <w:rsid w:val="002E606F"/>
    <w:rsid w:val="002F06A6"/>
    <w:rsid w:val="002F41C9"/>
    <w:rsid w:val="002F59A6"/>
    <w:rsid w:val="002F64DF"/>
    <w:rsid w:val="00320CB5"/>
    <w:rsid w:val="003211F4"/>
    <w:rsid w:val="00343078"/>
    <w:rsid w:val="003809AB"/>
    <w:rsid w:val="003938DD"/>
    <w:rsid w:val="003C1A69"/>
    <w:rsid w:val="003C1CAF"/>
    <w:rsid w:val="003C7024"/>
    <w:rsid w:val="003E76C6"/>
    <w:rsid w:val="003F4DB9"/>
    <w:rsid w:val="004147E1"/>
    <w:rsid w:val="00416243"/>
    <w:rsid w:val="004369F6"/>
    <w:rsid w:val="00461DD0"/>
    <w:rsid w:val="00473077"/>
    <w:rsid w:val="00475D6E"/>
    <w:rsid w:val="004868A4"/>
    <w:rsid w:val="00493625"/>
    <w:rsid w:val="00496E60"/>
    <w:rsid w:val="004B03C3"/>
    <w:rsid w:val="004C206A"/>
    <w:rsid w:val="004E59D5"/>
    <w:rsid w:val="004E79DD"/>
    <w:rsid w:val="0051304B"/>
    <w:rsid w:val="00517983"/>
    <w:rsid w:val="00520B91"/>
    <w:rsid w:val="00543BF0"/>
    <w:rsid w:val="0055486B"/>
    <w:rsid w:val="005679C8"/>
    <w:rsid w:val="00580CEF"/>
    <w:rsid w:val="00595A01"/>
    <w:rsid w:val="005A2729"/>
    <w:rsid w:val="005B1672"/>
    <w:rsid w:val="005B2C5B"/>
    <w:rsid w:val="005E7CA9"/>
    <w:rsid w:val="00621EA2"/>
    <w:rsid w:val="006621FC"/>
    <w:rsid w:val="006628BF"/>
    <w:rsid w:val="006669BA"/>
    <w:rsid w:val="006816A0"/>
    <w:rsid w:val="006B099D"/>
    <w:rsid w:val="007009A5"/>
    <w:rsid w:val="007502AD"/>
    <w:rsid w:val="00757197"/>
    <w:rsid w:val="00773CC7"/>
    <w:rsid w:val="007770E0"/>
    <w:rsid w:val="0077730D"/>
    <w:rsid w:val="007774E1"/>
    <w:rsid w:val="007E1260"/>
    <w:rsid w:val="007F0EAA"/>
    <w:rsid w:val="00823E96"/>
    <w:rsid w:val="00840687"/>
    <w:rsid w:val="00842686"/>
    <w:rsid w:val="00851AE2"/>
    <w:rsid w:val="00883B33"/>
    <w:rsid w:val="00885D35"/>
    <w:rsid w:val="008B7AEC"/>
    <w:rsid w:val="008D09D0"/>
    <w:rsid w:val="008D0AF9"/>
    <w:rsid w:val="008D66EF"/>
    <w:rsid w:val="008E1CC5"/>
    <w:rsid w:val="008E39D3"/>
    <w:rsid w:val="00910F08"/>
    <w:rsid w:val="00926315"/>
    <w:rsid w:val="00935A5B"/>
    <w:rsid w:val="00946E16"/>
    <w:rsid w:val="00957178"/>
    <w:rsid w:val="00966CF1"/>
    <w:rsid w:val="009713A4"/>
    <w:rsid w:val="00980202"/>
    <w:rsid w:val="009B2A36"/>
    <w:rsid w:val="009C41DC"/>
    <w:rsid w:val="009D196C"/>
    <w:rsid w:val="009D734F"/>
    <w:rsid w:val="00A02874"/>
    <w:rsid w:val="00A15DDF"/>
    <w:rsid w:val="00A41211"/>
    <w:rsid w:val="00A4592E"/>
    <w:rsid w:val="00A61B2D"/>
    <w:rsid w:val="00A70E9A"/>
    <w:rsid w:val="00A80774"/>
    <w:rsid w:val="00A8088A"/>
    <w:rsid w:val="00A901EA"/>
    <w:rsid w:val="00AA4BB8"/>
    <w:rsid w:val="00AA7DF0"/>
    <w:rsid w:val="00AB047A"/>
    <w:rsid w:val="00AB1662"/>
    <w:rsid w:val="00AB5891"/>
    <w:rsid w:val="00AD1E91"/>
    <w:rsid w:val="00AF0760"/>
    <w:rsid w:val="00B05008"/>
    <w:rsid w:val="00B10E3E"/>
    <w:rsid w:val="00B36D60"/>
    <w:rsid w:val="00B66AF6"/>
    <w:rsid w:val="00B6756B"/>
    <w:rsid w:val="00B70B3C"/>
    <w:rsid w:val="00BC2D7A"/>
    <w:rsid w:val="00BC3F70"/>
    <w:rsid w:val="00BD2353"/>
    <w:rsid w:val="00BD44B5"/>
    <w:rsid w:val="00BD6D7F"/>
    <w:rsid w:val="00BE01E6"/>
    <w:rsid w:val="00BE4E83"/>
    <w:rsid w:val="00BF51B2"/>
    <w:rsid w:val="00C338B0"/>
    <w:rsid w:val="00C51AA6"/>
    <w:rsid w:val="00C562F7"/>
    <w:rsid w:val="00C841EB"/>
    <w:rsid w:val="00C84F07"/>
    <w:rsid w:val="00CA186E"/>
    <w:rsid w:val="00CA433B"/>
    <w:rsid w:val="00CB6FF6"/>
    <w:rsid w:val="00CD1EF3"/>
    <w:rsid w:val="00D00B6E"/>
    <w:rsid w:val="00D01768"/>
    <w:rsid w:val="00D02E36"/>
    <w:rsid w:val="00D063F6"/>
    <w:rsid w:val="00D17213"/>
    <w:rsid w:val="00D26F99"/>
    <w:rsid w:val="00D45FDD"/>
    <w:rsid w:val="00D627EE"/>
    <w:rsid w:val="00D6486F"/>
    <w:rsid w:val="00D759A8"/>
    <w:rsid w:val="00D75DB0"/>
    <w:rsid w:val="00D911F3"/>
    <w:rsid w:val="00DB345D"/>
    <w:rsid w:val="00DD19BF"/>
    <w:rsid w:val="00DE2E28"/>
    <w:rsid w:val="00DF0816"/>
    <w:rsid w:val="00DF6254"/>
    <w:rsid w:val="00E17EF8"/>
    <w:rsid w:val="00E26B37"/>
    <w:rsid w:val="00E305FE"/>
    <w:rsid w:val="00E5125F"/>
    <w:rsid w:val="00E70418"/>
    <w:rsid w:val="00E80A81"/>
    <w:rsid w:val="00EB4764"/>
    <w:rsid w:val="00ED5D94"/>
    <w:rsid w:val="00EE08E9"/>
    <w:rsid w:val="00EE3A13"/>
    <w:rsid w:val="00F16398"/>
    <w:rsid w:val="00F1666C"/>
    <w:rsid w:val="00F26A5D"/>
    <w:rsid w:val="00F331ED"/>
    <w:rsid w:val="00F4587C"/>
    <w:rsid w:val="00F45A20"/>
    <w:rsid w:val="00F5208D"/>
    <w:rsid w:val="00F67FA4"/>
    <w:rsid w:val="00FC609D"/>
    <w:rsid w:val="00FD0D71"/>
    <w:rsid w:val="00FD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254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F26A5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6A5D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26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80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077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714FE"/>
    <w:rPr>
      <w:rFonts w:cs="Times New Roman"/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7E1260"/>
    <w:pPr>
      <w:ind w:left="720"/>
      <w:contextualSpacing/>
    </w:pPr>
  </w:style>
  <w:style w:type="paragraph" w:styleId="ListParagraph">
    <w:name w:val="List Paragraph"/>
    <w:basedOn w:val="Normal"/>
    <w:uiPriority w:val="99"/>
    <w:qFormat/>
    <w:rsid w:val="002962A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2962A4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F45A20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EB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B476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B4764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2E4B8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E4B8C"/>
    <w:rPr>
      <w:rFonts w:ascii="Consolas" w:hAnsi="Consolas" w:cs="Consolas"/>
      <w:sz w:val="20"/>
      <w:szCs w:val="20"/>
    </w:rPr>
  </w:style>
  <w:style w:type="character" w:styleId="PageNumber">
    <w:name w:val="page number"/>
    <w:basedOn w:val="DefaultParagraphFont"/>
    <w:uiPriority w:val="99"/>
    <w:rsid w:val="004868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1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1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13</Pages>
  <Words>3348</Words>
  <Characters>19090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658</dc:title>
  <dc:subject/>
  <dc:creator>Naprimer</dc:creator>
  <cp:keywords/>
  <dc:description/>
  <cp:lastModifiedBy>Sergey</cp:lastModifiedBy>
  <cp:revision>2</cp:revision>
  <dcterms:created xsi:type="dcterms:W3CDTF">2017-05-09T06:39:00Z</dcterms:created>
  <dcterms:modified xsi:type="dcterms:W3CDTF">2017-05-09T06:39:00Z</dcterms:modified>
</cp:coreProperties>
</file>