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01249A" w:rsidRPr="008D7546" w:rsidTr="00FC53C8">
        <w:tc>
          <w:tcPr>
            <w:tcW w:w="4643" w:type="dxa"/>
          </w:tcPr>
          <w:p w:rsidR="0001249A" w:rsidRPr="008447DC" w:rsidRDefault="0001249A" w:rsidP="00FC53C8">
            <w:pPr>
              <w:spacing w:after="0" w:line="240" w:lineRule="auto"/>
              <w:rPr>
                <w:rFonts w:ascii="Times New Roman" w:eastAsia="Times-Roman" w:hAnsi="Times New Roman"/>
                <w:b/>
                <w:sz w:val="20"/>
                <w:szCs w:val="20"/>
                <w:lang w:eastAsia="ru-RU"/>
              </w:rPr>
            </w:pPr>
            <w:bookmarkStart w:id="0" w:name="_GoBack"/>
            <w:bookmarkEnd w:id="0"/>
            <w:r w:rsidRPr="008447DC">
              <w:rPr>
                <w:rFonts w:ascii="Times New Roman" w:eastAsia="Times-Roman" w:hAnsi="Times New Roman"/>
                <w:sz w:val="20"/>
                <w:szCs w:val="20"/>
                <w:lang w:eastAsia="ru-RU"/>
              </w:rPr>
              <w:t>УДК 343.98</w:t>
            </w:r>
          </w:p>
        </w:tc>
        <w:tc>
          <w:tcPr>
            <w:tcW w:w="4643" w:type="dxa"/>
          </w:tcPr>
          <w:p w:rsidR="0001249A" w:rsidRPr="008447DC" w:rsidRDefault="0001249A" w:rsidP="00FC53C8">
            <w:pPr>
              <w:spacing w:after="0" w:line="240" w:lineRule="auto"/>
              <w:rPr>
                <w:rFonts w:ascii="Times New Roman" w:eastAsia="Times-Roman" w:hAnsi="Times New Roman"/>
                <w:sz w:val="20"/>
                <w:szCs w:val="20"/>
                <w:lang w:eastAsia="ru-RU"/>
              </w:rPr>
            </w:pPr>
            <w:r w:rsidRPr="008447DC">
              <w:rPr>
                <w:rFonts w:ascii="Times New Roman" w:eastAsia="Times-Roman" w:hAnsi="Times New Roman"/>
                <w:sz w:val="20"/>
                <w:szCs w:val="20"/>
                <w:lang w:val="en-US" w:eastAsia="ru-RU"/>
              </w:rPr>
              <w:t>UDC</w:t>
            </w:r>
            <w:r w:rsidRPr="008447DC">
              <w:rPr>
                <w:rFonts w:ascii="Times New Roman" w:eastAsia="Times-Roman" w:hAnsi="Times New Roman"/>
                <w:sz w:val="20"/>
                <w:szCs w:val="20"/>
                <w:lang w:eastAsia="ru-RU"/>
              </w:rPr>
              <w:t xml:space="preserve"> 343.98</w:t>
            </w:r>
          </w:p>
          <w:p w:rsidR="0001249A" w:rsidRPr="008447DC" w:rsidRDefault="0001249A" w:rsidP="00FC53C8">
            <w:pPr>
              <w:spacing w:after="0" w:line="240" w:lineRule="auto"/>
              <w:rPr>
                <w:rFonts w:ascii="Times New Roman" w:eastAsia="Times-Roman" w:hAnsi="Times New Roman"/>
                <w:sz w:val="20"/>
                <w:szCs w:val="20"/>
                <w:lang w:eastAsia="ru-RU"/>
              </w:rPr>
            </w:pPr>
          </w:p>
        </w:tc>
      </w:tr>
      <w:tr w:rsidR="0001249A" w:rsidRPr="008D7546" w:rsidTr="00FC53C8">
        <w:tc>
          <w:tcPr>
            <w:tcW w:w="4643" w:type="dxa"/>
          </w:tcPr>
          <w:p w:rsidR="0001249A" w:rsidRDefault="0001249A" w:rsidP="00FC53C8">
            <w:pPr>
              <w:spacing w:after="0" w:line="240" w:lineRule="auto"/>
              <w:rPr>
                <w:rFonts w:ascii="Times New Roman" w:eastAsia="Times-Roman" w:hAnsi="Times New Roman"/>
                <w:sz w:val="20"/>
                <w:szCs w:val="20"/>
                <w:lang w:val="en-US" w:eastAsia="ru-RU"/>
              </w:rPr>
            </w:pPr>
            <w:r w:rsidRPr="008447DC">
              <w:rPr>
                <w:rFonts w:ascii="Times New Roman" w:eastAsia="Times-Roman" w:hAnsi="Times New Roman"/>
                <w:sz w:val="20"/>
                <w:szCs w:val="20"/>
                <w:lang w:eastAsia="ru-RU"/>
              </w:rPr>
              <w:t>12.00.00 Юридический науки</w:t>
            </w:r>
          </w:p>
          <w:p w:rsidR="0001249A" w:rsidRPr="00FC53C8" w:rsidRDefault="0001249A" w:rsidP="00FC53C8">
            <w:pPr>
              <w:spacing w:after="0" w:line="240" w:lineRule="auto"/>
              <w:rPr>
                <w:rFonts w:ascii="Times New Roman" w:eastAsia="Times-Roman" w:hAnsi="Times New Roman"/>
                <w:sz w:val="20"/>
                <w:szCs w:val="20"/>
                <w:lang w:val="en-US" w:eastAsia="ru-RU"/>
              </w:rPr>
            </w:pPr>
          </w:p>
        </w:tc>
        <w:tc>
          <w:tcPr>
            <w:tcW w:w="4643" w:type="dxa"/>
          </w:tcPr>
          <w:p w:rsidR="0001249A" w:rsidRPr="008447DC" w:rsidRDefault="0001249A" w:rsidP="00FC53C8">
            <w:pPr>
              <w:spacing w:after="0" w:line="240" w:lineRule="auto"/>
              <w:rPr>
                <w:rFonts w:ascii="Times New Roman" w:eastAsia="Times-Roman" w:hAnsi="Times New Roman"/>
                <w:sz w:val="20"/>
                <w:szCs w:val="20"/>
                <w:lang w:val="en-US" w:eastAsia="ru-RU"/>
              </w:rPr>
            </w:pPr>
            <w:r w:rsidRPr="008447DC">
              <w:rPr>
                <w:rFonts w:ascii="Times New Roman" w:eastAsia="Times-Roman" w:hAnsi="Times New Roman"/>
                <w:sz w:val="20"/>
                <w:szCs w:val="20"/>
                <w:lang w:val="en-US" w:eastAsia="ru-RU"/>
              </w:rPr>
              <w:t>Legal sciences</w:t>
            </w:r>
          </w:p>
        </w:tc>
      </w:tr>
      <w:tr w:rsidR="0001249A" w:rsidRPr="00E91D48" w:rsidTr="00FC53C8">
        <w:tc>
          <w:tcPr>
            <w:tcW w:w="4643" w:type="dxa"/>
          </w:tcPr>
          <w:p w:rsidR="0001249A" w:rsidRPr="00E91D48" w:rsidRDefault="0001249A" w:rsidP="00FC53C8">
            <w:pPr>
              <w:spacing w:after="0" w:line="240" w:lineRule="auto"/>
              <w:rPr>
                <w:rFonts w:ascii="Times New Roman" w:eastAsia="Times-Roman" w:hAnsi="Times New Roman"/>
                <w:b/>
                <w:sz w:val="20"/>
                <w:szCs w:val="20"/>
                <w:lang w:eastAsia="ru-RU"/>
              </w:rPr>
            </w:pPr>
            <w:r w:rsidRPr="008447DC">
              <w:rPr>
                <w:rFonts w:ascii="Times New Roman" w:eastAsia="Times-Roman" w:hAnsi="Times New Roman"/>
                <w:b/>
                <w:sz w:val="20"/>
                <w:szCs w:val="20"/>
                <w:lang w:eastAsia="ru-RU"/>
              </w:rPr>
              <w:t>ДОПРОС СВИДЕТЕЛЕЙ ПО ДЕЛАМ О ПРЕСТУПЛЕНИЯХ ПР</w:t>
            </w:r>
            <w:r>
              <w:rPr>
                <w:rFonts w:ascii="Times New Roman" w:eastAsia="Times-Roman" w:hAnsi="Times New Roman"/>
                <w:b/>
                <w:sz w:val="20"/>
                <w:szCs w:val="20"/>
                <w:lang w:eastAsia="ru-RU"/>
              </w:rPr>
              <w:t>ОТИВ СЕМЬИ И НЕСОВЕРШЕННОЛЕТНИХ</w:t>
            </w:r>
          </w:p>
          <w:p w:rsidR="0001249A" w:rsidRPr="00E91D48" w:rsidRDefault="0001249A" w:rsidP="00FC53C8">
            <w:pPr>
              <w:spacing w:after="0" w:line="240" w:lineRule="auto"/>
              <w:rPr>
                <w:rFonts w:ascii="Times New Roman" w:eastAsia="Times-Roman" w:hAnsi="Times New Roman"/>
                <w:b/>
                <w:sz w:val="20"/>
                <w:szCs w:val="20"/>
                <w:lang w:eastAsia="ru-RU"/>
              </w:rPr>
            </w:pPr>
          </w:p>
        </w:tc>
        <w:tc>
          <w:tcPr>
            <w:tcW w:w="4643" w:type="dxa"/>
          </w:tcPr>
          <w:p w:rsidR="0001249A" w:rsidRPr="008447DC" w:rsidRDefault="0001249A" w:rsidP="00FC5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Roman" w:hAnsi="Times New Roman"/>
                <w:b/>
                <w:sz w:val="20"/>
                <w:szCs w:val="20"/>
                <w:lang w:val="en-US" w:eastAsia="ru-RU"/>
              </w:rPr>
            </w:pPr>
            <w:r w:rsidRPr="0078534D">
              <w:rPr>
                <w:rFonts w:ascii="Times New Roman" w:eastAsia="Times-Roman" w:hAnsi="Times New Roman"/>
                <w:b/>
                <w:sz w:val="20"/>
                <w:szCs w:val="20"/>
                <w:lang w:val="en-US" w:eastAsia="ru-RU"/>
              </w:rPr>
              <w:t>QUESTIONING WITNESSES IN CASES OF CRIMES AGAINST FAMILY AND MINORS</w:t>
            </w:r>
          </w:p>
        </w:tc>
      </w:tr>
      <w:tr w:rsidR="0001249A" w:rsidRPr="005E2649" w:rsidTr="00FC53C8">
        <w:tc>
          <w:tcPr>
            <w:tcW w:w="4643" w:type="dxa"/>
          </w:tcPr>
          <w:p w:rsidR="0001249A" w:rsidRPr="005E2649" w:rsidRDefault="0001249A" w:rsidP="00FC53C8">
            <w:pPr>
              <w:spacing w:after="0" w:line="240" w:lineRule="auto"/>
              <w:rPr>
                <w:rFonts w:ascii="Times New Roman" w:eastAsia="Times-Roman" w:hAnsi="Times New Roman"/>
                <w:sz w:val="20"/>
                <w:szCs w:val="20"/>
                <w:lang w:eastAsia="ru-RU"/>
              </w:rPr>
            </w:pPr>
            <w:r w:rsidRPr="005E2649">
              <w:rPr>
                <w:rFonts w:ascii="Times New Roman" w:eastAsia="Times-Roman" w:hAnsi="Times New Roman"/>
                <w:sz w:val="20"/>
                <w:szCs w:val="20"/>
                <w:lang w:eastAsia="ru-RU"/>
              </w:rPr>
              <w:t>Куемжиева Светлана Александровна</w:t>
            </w:r>
          </w:p>
          <w:p w:rsidR="0001249A" w:rsidRPr="005E2649" w:rsidRDefault="0001249A" w:rsidP="00FC53C8">
            <w:pPr>
              <w:spacing w:after="0" w:line="240" w:lineRule="auto"/>
              <w:rPr>
                <w:rFonts w:ascii="Times New Roman" w:hAnsi="Times New Roman"/>
                <w:sz w:val="20"/>
                <w:szCs w:val="20"/>
                <w:lang w:eastAsia="ru-RU"/>
              </w:rPr>
            </w:pPr>
            <w:r w:rsidRPr="005E2649">
              <w:rPr>
                <w:rFonts w:ascii="Times New Roman" w:hAnsi="Times New Roman"/>
                <w:sz w:val="20"/>
                <w:szCs w:val="20"/>
                <w:lang w:eastAsia="ru-RU"/>
              </w:rPr>
              <w:t xml:space="preserve">кандидат юридических наук, профессор, декан юридического факультета </w:t>
            </w:r>
          </w:p>
          <w:p w:rsidR="0001249A" w:rsidRPr="005E2649" w:rsidRDefault="0001249A" w:rsidP="00FC53C8">
            <w:pPr>
              <w:spacing w:after="0" w:line="240" w:lineRule="auto"/>
              <w:rPr>
                <w:rFonts w:ascii="Times New Roman" w:eastAsia="Times-Roman" w:hAnsi="Times New Roman"/>
                <w:i/>
                <w:sz w:val="20"/>
                <w:szCs w:val="20"/>
                <w:lang w:eastAsia="ru-RU"/>
              </w:rPr>
            </w:pPr>
            <w:r w:rsidRPr="005E2649">
              <w:rPr>
                <w:rFonts w:ascii="Times New Roman" w:eastAsia="Times-Roman" w:hAnsi="Times New Roman"/>
                <w:i/>
                <w:sz w:val="20"/>
                <w:szCs w:val="20"/>
                <w:lang w:eastAsia="ru-RU"/>
              </w:rPr>
              <w:t>Кубанский государственный агарный университет, Краснодар, Россия</w:t>
            </w:r>
          </w:p>
          <w:p w:rsidR="0001249A" w:rsidRPr="005E2649" w:rsidRDefault="0001249A" w:rsidP="00FC53C8">
            <w:pPr>
              <w:spacing w:after="0" w:line="240" w:lineRule="auto"/>
              <w:rPr>
                <w:rFonts w:ascii="Times New Roman" w:eastAsia="Times-Roman" w:hAnsi="Times New Roman"/>
                <w:sz w:val="20"/>
                <w:szCs w:val="20"/>
                <w:lang w:eastAsia="ru-RU"/>
              </w:rPr>
            </w:pPr>
          </w:p>
        </w:tc>
        <w:tc>
          <w:tcPr>
            <w:tcW w:w="4643" w:type="dxa"/>
          </w:tcPr>
          <w:p w:rsidR="0001249A" w:rsidRPr="005E2649" w:rsidRDefault="0001249A" w:rsidP="00FC53C8">
            <w:pPr>
              <w:spacing w:after="0" w:line="240" w:lineRule="auto"/>
              <w:rPr>
                <w:rFonts w:ascii="Times New Roman" w:eastAsia="Times-Roman" w:hAnsi="Times New Roman"/>
                <w:sz w:val="20"/>
                <w:szCs w:val="20"/>
                <w:lang w:val="en-US" w:eastAsia="ru-RU"/>
              </w:rPr>
            </w:pPr>
            <w:r w:rsidRPr="005E2649">
              <w:rPr>
                <w:rFonts w:ascii="Times New Roman" w:eastAsia="Times-Roman" w:hAnsi="Times New Roman"/>
                <w:sz w:val="20"/>
                <w:szCs w:val="20"/>
                <w:lang w:val="en-US" w:eastAsia="ru-RU"/>
              </w:rPr>
              <w:t xml:space="preserve">Kuyemzhiyeva Svetlana Aleksandrovna </w:t>
            </w:r>
          </w:p>
          <w:p w:rsidR="0001249A" w:rsidRPr="005E2649" w:rsidRDefault="0001249A" w:rsidP="00FC53C8">
            <w:pPr>
              <w:spacing w:after="0" w:line="240" w:lineRule="auto"/>
              <w:rPr>
                <w:rFonts w:ascii="Times New Roman" w:eastAsia="Times-Roman" w:hAnsi="Times New Roman"/>
                <w:sz w:val="20"/>
                <w:szCs w:val="20"/>
                <w:lang w:val="en-US" w:eastAsia="ru-RU"/>
              </w:rPr>
            </w:pPr>
            <w:r>
              <w:rPr>
                <w:rFonts w:ascii="Times New Roman" w:eastAsia="Times-Roman" w:hAnsi="Times New Roman"/>
                <w:sz w:val="20"/>
                <w:szCs w:val="20"/>
                <w:lang w:val="en-US" w:eastAsia="ru-RU"/>
              </w:rPr>
              <w:t>C</w:t>
            </w:r>
            <w:r w:rsidRPr="005E2649">
              <w:rPr>
                <w:rFonts w:ascii="Times New Roman" w:eastAsia="Times-Roman" w:hAnsi="Times New Roman"/>
                <w:sz w:val="20"/>
                <w:szCs w:val="20"/>
                <w:lang w:val="en-US" w:eastAsia="ru-RU"/>
              </w:rPr>
              <w:t xml:space="preserve">andidate of law, professor, dean of </w:t>
            </w:r>
            <w:r>
              <w:rPr>
                <w:rFonts w:ascii="Times New Roman" w:eastAsia="Times-Roman" w:hAnsi="Times New Roman"/>
                <w:sz w:val="20"/>
                <w:szCs w:val="20"/>
                <w:lang w:val="en-US" w:eastAsia="ru-RU"/>
              </w:rPr>
              <w:t>the L</w:t>
            </w:r>
            <w:r w:rsidRPr="005E2649">
              <w:rPr>
                <w:rFonts w:ascii="Times New Roman" w:eastAsia="Times-Roman" w:hAnsi="Times New Roman"/>
                <w:sz w:val="20"/>
                <w:szCs w:val="20"/>
                <w:lang w:val="en-US" w:eastAsia="ru-RU"/>
              </w:rPr>
              <w:t>aw department</w:t>
            </w:r>
          </w:p>
          <w:p w:rsidR="0001249A" w:rsidRPr="005E2649" w:rsidRDefault="0001249A" w:rsidP="00FC53C8">
            <w:pPr>
              <w:spacing w:after="0" w:line="240" w:lineRule="auto"/>
              <w:rPr>
                <w:rFonts w:ascii="Times New Roman" w:eastAsia="Times-Roman" w:hAnsi="Times New Roman"/>
                <w:sz w:val="20"/>
                <w:szCs w:val="20"/>
                <w:lang w:val="en-US" w:eastAsia="ru-RU"/>
              </w:rPr>
            </w:pPr>
            <w:r w:rsidRPr="005E2649">
              <w:rPr>
                <w:rFonts w:ascii="Times New Roman" w:eastAsia="Times-Roman" w:hAnsi="Times New Roman"/>
                <w:i/>
                <w:sz w:val="20"/>
                <w:szCs w:val="20"/>
                <w:lang w:val="en-US" w:eastAsia="ru-RU"/>
              </w:rPr>
              <w:t>Kuban state agricultural university, Krasnodar, Russia</w:t>
            </w:r>
          </w:p>
          <w:p w:rsidR="0001249A" w:rsidRPr="005E2649" w:rsidRDefault="0001249A" w:rsidP="00FC53C8">
            <w:pPr>
              <w:spacing w:after="0" w:line="240" w:lineRule="auto"/>
              <w:rPr>
                <w:rFonts w:ascii="Times New Roman" w:eastAsia="Times-Roman" w:hAnsi="Times New Roman"/>
                <w:sz w:val="20"/>
                <w:szCs w:val="20"/>
                <w:lang w:val="en-US" w:eastAsia="ru-RU"/>
              </w:rPr>
            </w:pPr>
          </w:p>
        </w:tc>
      </w:tr>
      <w:tr w:rsidR="0001249A" w:rsidRPr="00E91D48" w:rsidTr="00FC53C8">
        <w:tc>
          <w:tcPr>
            <w:tcW w:w="4643" w:type="dxa"/>
          </w:tcPr>
          <w:p w:rsidR="0001249A" w:rsidRPr="00E91D48" w:rsidRDefault="0001249A" w:rsidP="00FC53C8">
            <w:pPr>
              <w:spacing w:after="0" w:line="240" w:lineRule="auto"/>
              <w:rPr>
                <w:rFonts w:ascii="Times New Roman" w:eastAsia="Times-Roman" w:hAnsi="Times New Roman"/>
                <w:sz w:val="20"/>
                <w:szCs w:val="20"/>
                <w:lang w:eastAsia="ru-RU"/>
              </w:rPr>
            </w:pPr>
            <w:r w:rsidRPr="008447DC">
              <w:rPr>
                <w:rFonts w:ascii="Times New Roman" w:eastAsia="Times-Roman" w:hAnsi="Times New Roman"/>
                <w:sz w:val="20"/>
                <w:szCs w:val="20"/>
                <w:lang w:eastAsia="ru-RU"/>
              </w:rPr>
              <w:t>В статье изложены отдельные основные научно – практические рекомендации групповой методики расследования по допросам свидетелей по делам о преступлениях против семьи и несовершеннолетних</w:t>
            </w:r>
          </w:p>
          <w:p w:rsidR="0001249A" w:rsidRPr="00E91D48" w:rsidRDefault="0001249A" w:rsidP="00FC53C8">
            <w:pPr>
              <w:spacing w:after="0" w:line="240" w:lineRule="auto"/>
              <w:rPr>
                <w:rFonts w:ascii="Times New Roman" w:eastAsia="Times-Roman" w:hAnsi="Times New Roman"/>
                <w:sz w:val="20"/>
                <w:szCs w:val="20"/>
                <w:lang w:eastAsia="ru-RU"/>
              </w:rPr>
            </w:pPr>
          </w:p>
        </w:tc>
        <w:tc>
          <w:tcPr>
            <w:tcW w:w="4643" w:type="dxa"/>
          </w:tcPr>
          <w:p w:rsidR="0001249A" w:rsidRPr="0078534D" w:rsidRDefault="0001249A" w:rsidP="00FC53C8">
            <w:pPr>
              <w:spacing w:after="0" w:line="240" w:lineRule="auto"/>
              <w:rPr>
                <w:rFonts w:ascii="Times New Roman" w:eastAsia="Times-Roman" w:hAnsi="Times New Roman"/>
                <w:sz w:val="20"/>
                <w:szCs w:val="20"/>
                <w:lang w:val="en-US" w:eastAsia="ru-RU"/>
              </w:rPr>
            </w:pPr>
            <w:r w:rsidRPr="0078534D">
              <w:rPr>
                <w:rFonts w:ascii="Times New Roman" w:eastAsia="Times-Roman" w:hAnsi="Times New Roman"/>
                <w:sz w:val="20"/>
                <w:szCs w:val="20"/>
                <w:lang w:val="en-US" w:eastAsia="ru-RU"/>
              </w:rPr>
              <w:t xml:space="preserve">The article </w:t>
            </w:r>
            <w:r>
              <w:rPr>
                <w:rFonts w:ascii="Times New Roman" w:eastAsia="Times-Roman" w:hAnsi="Times New Roman"/>
                <w:sz w:val="20"/>
                <w:szCs w:val="20"/>
                <w:lang w:val="en-US" w:eastAsia="ru-RU"/>
              </w:rPr>
              <w:t>describes</w:t>
            </w:r>
            <w:r w:rsidRPr="0078534D">
              <w:rPr>
                <w:rFonts w:ascii="Times New Roman" w:eastAsia="Times-Roman" w:hAnsi="Times New Roman"/>
                <w:sz w:val="20"/>
                <w:szCs w:val="20"/>
                <w:lang w:val="en-US" w:eastAsia="ru-RU"/>
              </w:rPr>
              <w:t xml:space="preserve"> some main scientific and practical recommendations of the group methodology of the investigation by questioning witnesses in cases of crimes against family and minors  </w:t>
            </w:r>
          </w:p>
        </w:tc>
      </w:tr>
      <w:tr w:rsidR="0001249A" w:rsidRPr="00E91D48" w:rsidTr="00FC53C8">
        <w:tc>
          <w:tcPr>
            <w:tcW w:w="4643" w:type="dxa"/>
          </w:tcPr>
          <w:p w:rsidR="0001249A" w:rsidRDefault="0001249A" w:rsidP="00FC53C8">
            <w:pPr>
              <w:spacing w:after="0" w:line="240" w:lineRule="auto"/>
              <w:rPr>
                <w:rFonts w:ascii="Times New Roman" w:hAnsi="Times New Roman"/>
                <w:sz w:val="20"/>
                <w:szCs w:val="20"/>
                <w:lang w:eastAsia="ru-RU"/>
              </w:rPr>
            </w:pPr>
            <w:r w:rsidRPr="00E91D48">
              <w:rPr>
                <w:rFonts w:ascii="Times New Roman" w:hAnsi="Times New Roman"/>
                <w:sz w:val="20"/>
                <w:szCs w:val="20"/>
                <w:lang w:eastAsia="ru-RU"/>
              </w:rPr>
              <w:t>Ключевые слова:</w:t>
            </w:r>
            <w:r w:rsidRPr="008447DC">
              <w:rPr>
                <w:rFonts w:ascii="Times New Roman" w:hAnsi="Times New Roman"/>
                <w:sz w:val="20"/>
                <w:szCs w:val="20"/>
                <w:lang w:eastAsia="ru-RU"/>
              </w:rPr>
              <w:t xml:space="preserve"> </w:t>
            </w:r>
            <w:r>
              <w:rPr>
                <w:rFonts w:ascii="Times New Roman" w:hAnsi="Times New Roman"/>
                <w:sz w:val="20"/>
                <w:szCs w:val="20"/>
                <w:lang w:eastAsia="ru-RU"/>
              </w:rPr>
              <w:t>ДОПРОС СВИДЕТЕЛЕЙ; ГРУППЫ СВИДЕТЕЛЕЙ; ЛОЖНЫЕ ПОКАЗАНИЯ; ПСИХОЛОГИЧЕСКИЙ КОНТАКТ; НЕСОВЕРШЕННОЛЕТНИЕ СВИДЕТЕЛИ; ТАКТИКА ДОПРОСА; ДОПРОС ПОТЕРПЕВШИХ; ПРЕСТУПЛЕНИЯ ПРОТИВ СЕМЬИ И НЕСОВЕРШЕННОЛЕТНИХ</w:t>
            </w:r>
          </w:p>
          <w:p w:rsidR="0001249A" w:rsidRDefault="0001249A" w:rsidP="00FC53C8">
            <w:pPr>
              <w:spacing w:after="0" w:line="240" w:lineRule="auto"/>
              <w:rPr>
                <w:rFonts w:ascii="Times New Roman" w:hAnsi="Times New Roman"/>
                <w:sz w:val="20"/>
                <w:szCs w:val="20"/>
                <w:lang w:eastAsia="ru-RU"/>
              </w:rPr>
            </w:pPr>
          </w:p>
          <w:p w:rsidR="0001249A" w:rsidRPr="008447DC" w:rsidRDefault="0001249A" w:rsidP="00FC53C8">
            <w:pPr>
              <w:spacing w:after="0" w:line="240" w:lineRule="auto"/>
              <w:rPr>
                <w:rFonts w:ascii="Times New Roman" w:eastAsia="Times-Roman" w:hAnsi="Times New Roman"/>
                <w:sz w:val="20"/>
                <w:szCs w:val="20"/>
                <w:lang w:eastAsia="ru-RU"/>
              </w:rPr>
            </w:pPr>
            <w:r w:rsidRPr="00480E1A">
              <w:rPr>
                <w:rFonts w:ascii="Arial" w:hAnsi="Arial" w:cs="Arial"/>
                <w:b/>
                <w:sz w:val="20"/>
                <w:szCs w:val="20"/>
                <w:lang w:val="en-US"/>
              </w:rPr>
              <w:t>Doi: 10.21515/1990-4665-127-0</w:t>
            </w:r>
            <w:r>
              <w:rPr>
                <w:rFonts w:ascii="Arial" w:hAnsi="Arial" w:cs="Arial"/>
                <w:b/>
                <w:sz w:val="20"/>
                <w:szCs w:val="20"/>
              </w:rPr>
              <w:t>40</w:t>
            </w:r>
          </w:p>
        </w:tc>
        <w:tc>
          <w:tcPr>
            <w:tcW w:w="4643" w:type="dxa"/>
          </w:tcPr>
          <w:p w:rsidR="0001249A" w:rsidRPr="008447DC" w:rsidRDefault="0001249A" w:rsidP="00FC5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r>
              <w:rPr>
                <w:rFonts w:ascii="Times New Roman" w:hAnsi="Times New Roman" w:cs="Courier New"/>
                <w:sz w:val="20"/>
                <w:szCs w:val="20"/>
                <w:lang w:val="en-US" w:eastAsia="ru-RU"/>
              </w:rPr>
              <w:t>Key</w:t>
            </w:r>
            <w:r w:rsidRPr="00E91D48">
              <w:rPr>
                <w:rFonts w:ascii="Times New Roman" w:hAnsi="Times New Roman" w:cs="Courier New"/>
                <w:sz w:val="20"/>
                <w:szCs w:val="20"/>
                <w:lang w:val="en-US" w:eastAsia="ru-RU"/>
              </w:rPr>
              <w:t>words</w:t>
            </w:r>
            <w:r w:rsidRPr="008447DC">
              <w:rPr>
                <w:rFonts w:ascii="Times New Roman" w:hAnsi="Times New Roman" w:cs="Courier New"/>
                <w:i/>
                <w:sz w:val="20"/>
                <w:szCs w:val="20"/>
                <w:lang w:val="en-US" w:eastAsia="ru-RU"/>
              </w:rPr>
              <w:t xml:space="preserve">: </w:t>
            </w:r>
            <w:r w:rsidRPr="0078534D">
              <w:rPr>
                <w:rFonts w:ascii="Times New Roman" w:hAnsi="Times New Roman" w:cs="Courier New"/>
                <w:sz w:val="20"/>
                <w:szCs w:val="20"/>
                <w:lang w:val="en-US" w:eastAsia="ru-RU"/>
              </w:rPr>
              <w:t>INTERROGATION OF WITNESSES; GROUPS OF WITNESSES; FALSE TESTIMONIES; PSYCHOLOGICAL CONTACT; MINOR WITNESSES; INTERROGATION TACTICS; INTERROGATION OF VICTIMS; CRIMES AGAINST FAMILY AND MINORS</w:t>
            </w:r>
          </w:p>
          <w:p w:rsidR="0001249A" w:rsidRPr="008447DC" w:rsidRDefault="0001249A" w:rsidP="00FC53C8">
            <w:pPr>
              <w:spacing w:after="0" w:line="240" w:lineRule="auto"/>
              <w:rPr>
                <w:rFonts w:ascii="Times New Roman" w:eastAsia="Times-Roman" w:hAnsi="Times New Roman"/>
                <w:sz w:val="20"/>
                <w:szCs w:val="20"/>
                <w:lang w:val="en-US" w:eastAsia="ru-RU"/>
              </w:rPr>
            </w:pPr>
          </w:p>
        </w:tc>
      </w:tr>
    </w:tbl>
    <w:p w:rsidR="0001249A" w:rsidRPr="008447DC" w:rsidRDefault="0001249A" w:rsidP="00F123D8">
      <w:pPr>
        <w:spacing w:after="0" w:line="360" w:lineRule="auto"/>
        <w:ind w:firstLine="709"/>
        <w:jc w:val="both"/>
        <w:rPr>
          <w:rFonts w:ascii="Times New Roman" w:hAnsi="Times New Roman"/>
          <w:sz w:val="28"/>
          <w:szCs w:val="28"/>
          <w:lang w:val="en-US"/>
        </w:rPr>
      </w:pPr>
    </w:p>
    <w:p w:rsidR="0001249A" w:rsidRDefault="0001249A" w:rsidP="00F123D8">
      <w:pPr>
        <w:spacing w:after="0" w:line="360" w:lineRule="auto"/>
        <w:ind w:firstLine="709"/>
        <w:jc w:val="both"/>
        <w:rPr>
          <w:rFonts w:ascii="Times New Roman" w:hAnsi="Times New Roman"/>
          <w:sz w:val="28"/>
          <w:szCs w:val="28"/>
        </w:rPr>
      </w:pPr>
      <w:r>
        <w:rPr>
          <w:rFonts w:ascii="Times New Roman" w:hAnsi="Times New Roman"/>
          <w:sz w:val="28"/>
          <w:szCs w:val="28"/>
        </w:rPr>
        <w:t>Допрос свидетелей – следственное действие, направленное на получение от лица, участника процесса информации об обстоятельствах, сопряженных с расследуемым преступлением, и воспринятых допрашиваемым. Это процессуальный вид информационного взаимодействия, выраженного в форме непаритетной диффузии различного рода сведений, имеющих доказательственное или ориентирующее значение, происходящей между следователем и допрашиваемым.</w:t>
      </w:r>
    </w:p>
    <w:p w:rsidR="0001249A" w:rsidRDefault="0001249A" w:rsidP="00F123D8">
      <w:pPr>
        <w:spacing w:after="0" w:line="360" w:lineRule="auto"/>
        <w:ind w:firstLine="709"/>
        <w:jc w:val="both"/>
        <w:rPr>
          <w:rFonts w:ascii="Times New Roman" w:hAnsi="Times New Roman"/>
          <w:sz w:val="28"/>
          <w:szCs w:val="28"/>
        </w:rPr>
      </w:pPr>
      <w:r>
        <w:rPr>
          <w:rFonts w:ascii="Times New Roman" w:hAnsi="Times New Roman"/>
          <w:sz w:val="28"/>
          <w:szCs w:val="28"/>
        </w:rPr>
        <w:t xml:space="preserve">Организационно – тактический аспект допроса имеет особое значение, обусловленное сущностью данного следственного действия. Психологическая сущность допроса состоит в волевом воздействии следователя на допрашиваемого с целью создания у последнего побудительных мотивов к даче правдивых показаний. Эффективная организация допроса возможна при условии своевременно выработанного тактического плана его производства, который должен основываться как на имеющихся материалах дела и теоретических пространственно – временных моделях, восполняющих на базе рассматриваемых следственных версий существующие пробелы в указанных материалах, так и на предварительном анализе субъективных качеств, социально – психологических и демографических особенностей допрашиваемого лица. </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Анализ практики расследования преступлений против семьи и несовершеннолетних позволил выделить следующие группы свидетелей:</w:t>
      </w:r>
    </w:p>
    <w:p w:rsidR="0001249A" w:rsidRDefault="0001249A" w:rsidP="006A6865">
      <w:pPr>
        <w:pStyle w:val="ListParagraph"/>
        <w:numPr>
          <w:ilvl w:val="0"/>
          <w:numId w:val="3"/>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родители несовершеннолетнего (в том числе и потерпевшего);</w:t>
      </w:r>
    </w:p>
    <w:p w:rsidR="0001249A" w:rsidRDefault="0001249A" w:rsidP="006A6865">
      <w:pPr>
        <w:pStyle w:val="ListParagraph"/>
        <w:numPr>
          <w:ilvl w:val="0"/>
          <w:numId w:val="3"/>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родственники потерпевшего;</w:t>
      </w:r>
    </w:p>
    <w:p w:rsidR="0001249A" w:rsidRDefault="0001249A" w:rsidP="006A6865">
      <w:pPr>
        <w:pStyle w:val="ListParagraph"/>
        <w:numPr>
          <w:ilvl w:val="0"/>
          <w:numId w:val="3"/>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близкие, знакомые семьи несовершеннолетнего;</w:t>
      </w:r>
    </w:p>
    <w:p w:rsidR="0001249A" w:rsidRDefault="0001249A" w:rsidP="006A6865">
      <w:pPr>
        <w:pStyle w:val="ListParagraph"/>
        <w:numPr>
          <w:ilvl w:val="0"/>
          <w:numId w:val="3"/>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случайные очевидцы;</w:t>
      </w:r>
    </w:p>
    <w:p w:rsidR="0001249A" w:rsidRDefault="0001249A" w:rsidP="006A6865">
      <w:pPr>
        <w:pStyle w:val="ListParagraph"/>
        <w:numPr>
          <w:ilvl w:val="0"/>
          <w:numId w:val="3"/>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сотрудники учреждений, где воспитывался несовершеннолетний;</w:t>
      </w:r>
    </w:p>
    <w:p w:rsidR="0001249A" w:rsidRDefault="0001249A" w:rsidP="006A6865">
      <w:pPr>
        <w:pStyle w:val="ListParagraph"/>
        <w:numPr>
          <w:ilvl w:val="0"/>
          <w:numId w:val="3"/>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участники проверочных действий в организации, осуществляющей функции по обучению и воспитанию несовершеннолетнего;</w:t>
      </w:r>
    </w:p>
    <w:p w:rsidR="0001249A" w:rsidRDefault="0001249A" w:rsidP="006A6865">
      <w:pPr>
        <w:pStyle w:val="ListParagraph"/>
        <w:numPr>
          <w:ilvl w:val="0"/>
          <w:numId w:val="3"/>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родственники, близкие, друзья подозреваемого;</w:t>
      </w:r>
    </w:p>
    <w:p w:rsidR="0001249A" w:rsidRDefault="0001249A" w:rsidP="006A6865">
      <w:pPr>
        <w:pStyle w:val="ListParagraph"/>
        <w:numPr>
          <w:ilvl w:val="0"/>
          <w:numId w:val="3"/>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иные свидетели.</w:t>
      </w:r>
    </w:p>
    <w:p w:rsidR="0001249A" w:rsidRDefault="0001249A" w:rsidP="006A6865">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Организация и тактика допроса названных свидетелей осуществляется по общим правилам, разработанным следственной тактикой. В то же время существуют и определенные особенности. </w:t>
      </w:r>
    </w:p>
    <w:p w:rsidR="0001249A" w:rsidRDefault="0001249A" w:rsidP="006A6865">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Наибольшее число свидетелей по рассматриваемой категории дел – это родственники и близкие, знающие несовершеннолетнего. Они осведомлены об образе жизни несовершеннолетнего, взаимоотношениях в семье, отношении родителей к воспитанию детей и других вопросах функционирования семьи. При проведении допроса необходимо выяснить  отношение допрашиваемого к семье, взаимоотношения родственников. Оно может быть как позитивным, так и негативным. У свидетелей выясняется характеристика несовершеннолетнего, выполнение родителями обязанностей по воспитанию детей и сведения об обстоятельствах преступления.</w:t>
      </w:r>
    </w:p>
    <w:p w:rsidR="0001249A" w:rsidRDefault="0001249A" w:rsidP="006A6865">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Очевидцы преступления, а также лица, воспринимавшие подготовку к совершению преступления или его последствия, являются ценным источником доказательственной информации. Чаще это случайные свидетели, т. е. не имеющие отношения ни к семье, ни к подозреваемому, ни к организации, где совершено преступление. Показания свидетелей являются основным источником получения доказательств об обстоятельствах преступления, определения круга лиц, причастных к его совершению. </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Очевидцев допрашивают первыми. Как правило, это добросовестные свидетели, у которых отсутствует личная заинтересованность в исходе дела. Среди лиц, осведомленных об обстоятельствах преступления, могут быть сотрудники правоохранительных органов, осуществивших оперативное наблюдение, оперативный эксперимент, задержание с поличным и др. Их показания также имеют значение для установления интересующих фактов.</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Особую группу свидетелей по преступлениям против семьи и несовершеннолетних составляют лица, которые в силу выполнения своих служебных обязанностей могут располагать информацией, интересующей следствие, нередко являются очевидцами действий преступников. Вместе с тем, указанные лица нередко склонны к  сокрытию указанных сведений. Происходит это в силу достаточно распространенной причастности данных лиц к преступной деятельности, или действиям по ее сокрытию. Другой причиной подобного поведения является молчаливое попустительство из соображений различного толка. Наконец, не исключено воздействие на свидетелей данной группы должностных лиц, с которыми свидетель находится в служебной зависимости. Необходимо понимать, что указанные свидетели могут сообщить сведения, влияющие на доказанность вины определенных лиц, на квалификацию преступления. Нередко это свидетели сложно доказуемых составов: торговли несовершеннолетними, незаконного усыновления, похищения детей и других. </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В качестве свидетелей иногда допрашиваются участники различных служебных проверок. Их показания способствуют детализации событий, отраженных в материалах проверки.</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Родители (опекуны, попечители) несовершеннолетнего могут признаваться потерпевшими. Тактика их допроса существенно не отличается от допроса свидетелей. Необходимо также иметь в виду, что по ряду преступлений в ходе расследования правовой статус родителей и законных представителей несовершеннолетнего может меняться (от потерпевшего – к подозреваемому). Это обуславливает повышенное внимание следователя к выполнению роли родителей несовершеннолетнего в событии преступления. Вместе втем, надо помнить, что в большинстве случаев потерпевший прямо заинтересован в установлении истины и в изобличении и наказании виновных. Необходимо учитывать и состояние психики родителей, своеобразные психические переживания, обусловленные характером насилия над несовершеннолетним и последствия преступления. Восприятие события преступления и его последствий происходит в условиях эмоциональной напряженности, и показания свидетеля могут быть однообразно направленными</w:t>
      </w:r>
      <w:r w:rsidRPr="004E3982">
        <w:rPr>
          <w:rFonts w:ascii="Times New Roman" w:hAnsi="Times New Roman"/>
          <w:sz w:val="28"/>
          <w:szCs w:val="28"/>
        </w:rPr>
        <w:t xml:space="preserve"> </w:t>
      </w:r>
      <w:r>
        <w:rPr>
          <w:rFonts w:ascii="Times New Roman" w:hAnsi="Times New Roman"/>
          <w:sz w:val="28"/>
          <w:szCs w:val="28"/>
        </w:rPr>
        <w:t>или фрагментарными. В таких случаях необходимо помочь человеку успокоиться и учитывать при проведении допроса возможное искажение воспринятого.</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Родственники, друзья подозреваемого</w:t>
      </w:r>
      <w:r w:rsidRPr="004E3982">
        <w:rPr>
          <w:rFonts w:ascii="Times New Roman" w:hAnsi="Times New Roman"/>
          <w:sz w:val="28"/>
          <w:szCs w:val="28"/>
        </w:rPr>
        <w:t>,</w:t>
      </w:r>
      <w:r>
        <w:rPr>
          <w:rFonts w:ascii="Times New Roman" w:hAnsi="Times New Roman"/>
          <w:sz w:val="28"/>
          <w:szCs w:val="28"/>
        </w:rPr>
        <w:t xml:space="preserve"> допрашиваются в качестве свидетелей по вопросам, характеризующим личность подозреваемого. Необходим критический анализ сообщаемых этими лицами сведений об обстоятельствах преступления, так как наиболее вероятна заинтересованность этих лиц в оправдании подозреваемого (обвиняемого).    В таких ситуациях следователь использует различные тактические приемы, направленные на обнаружение лжи и получения правдивых показаний</w:t>
      </w:r>
      <w:r>
        <w:rPr>
          <w:rStyle w:val="FootnoteReference"/>
          <w:rFonts w:ascii="Times New Roman" w:hAnsi="Times New Roman"/>
          <w:sz w:val="28"/>
          <w:szCs w:val="28"/>
        </w:rPr>
        <w:footnoteReference w:id="1"/>
      </w:r>
      <w:r>
        <w:rPr>
          <w:rFonts w:ascii="Times New Roman" w:hAnsi="Times New Roman"/>
          <w:sz w:val="28"/>
          <w:szCs w:val="28"/>
        </w:rPr>
        <w:t>. Следователь должен стремиться формировать у свидетеля предположение о необходимости давать правдивые показания, создавая у допрашиваемого представление о том, что правда будет установлена. Мотивация на дачу правдивых показаний формируется и посредством заострения внимания допрашиваемого на противоречиях, на несоответствии его показаний установленным фактам, а также  общей психологической моторики допроса.</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Д</w:t>
      </w:r>
      <w:r w:rsidRPr="00EC45AD">
        <w:rPr>
          <w:rFonts w:ascii="Times New Roman" w:hAnsi="Times New Roman"/>
          <w:sz w:val="28"/>
          <w:szCs w:val="28"/>
        </w:rPr>
        <w:t>опрос несовершеннолетних свидетелей и потерпевших</w:t>
      </w:r>
      <w:r>
        <w:rPr>
          <w:rFonts w:ascii="Times New Roman" w:hAnsi="Times New Roman"/>
          <w:sz w:val="28"/>
          <w:szCs w:val="28"/>
        </w:rPr>
        <w:t xml:space="preserve"> - одно из ключевых следственных действий по делам рассматриваемой категории, так как посредством его проведения получаются основные доказательства о содержании преступного посягательства. Это прямые доказательства, полученные от очевидца. Допрос несовершеннолетнего имеет определенные особенности организации, тактики. Обусловлено это, прежде всего, спецификой психики допрашиваемого.</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Первый допрос несовершеннолетнего является первоначальным следственным действием и зачастую у следователя недостаточно информации о личности допрашиваемого, об условиях его жизни и воспитания, степени умственного развития, особенностях эмоциональной и волевой сферы, темперамента и чертах характера. Все перечисленное в зависимости от характера преступного посягательства в большей или меньшей степени необходимо устанавливать в ходе расследования. Стремиться к получению информации о личности несовершеннолетнего необходимо до проведения допроса. Но в реальности это не всегда удается, так как допрос несовершеннолетнего нередко является неотложным первоначальным следственным действием. Поэтому следователю нередко приходится выяснять данную информацию уже в ходе первого общения с несовершеннолетним. Важность указанных сведений заключается в том, что их знание позволяет правильно оценить поведение потерпевшего или свидетеля в момент совершения преступления и после его совершения, процесс формирования показаний и поведения на допросе, а значит, избрать верную тактику допроса.</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В допросе несовершеннолетнего потерпевшего, свидетеля повышенное значение имеет его начальный этап, установление психологического контакта. Начальная часть допроса должна носить характер беседы с несовершеннолетним о его жизни, увлечениях, друзьях и др., что в определенной степени уменьшает атмосферу отчуждения. Затем предлагается в форме свободного рассказа изложить содержание воспринятого. Приглашение для участия в допросе предусмотренных законом лиц (педагога, психолога, законного представителя и др.), кроме обязательных случаев, осуществляется по усмотрению следователя. Что касается педагога, то желательно выяснить отношение к нему подростка, так как в разных случаях участие педагога может дать как положительный эффект, так и не способствовать ему.</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Изложение содержания события в форме свободного рассказа оптимально предложить произвести в хронологической последовательности воспринятого. В зависимости от возраста ребенка свободный рассказ может быть затруднительным, поэтому допрос возможен в форме диалога.  Особое внимание, ввиду повышенной внушаемости допрашиваемого, надо уделить характеру и содержанию вопросов, исключив вопросы с заранее «заданными» ответами.</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В зависимости от характера преступного посягательства установление психологического контакта с несовершеннолетним потерпевшим бывает затруднительным. Чаще это встречается в расследовании изнасилования и других половых преступлений, торговли детьми, похищения детей, незаконного усыновления. Потерпевший в таких ситуациях испытывает страх перед преступниками, может вообще отказываться от дачи показаний и избегать контакта со следователем.</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Перед следователем стоит задача изменить отношение несовершеннолетнего к факту расследования. С этой целью осуществляются:</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а) меры, гарантирующие безопасность потерпевшего, его родителей; разъяснение сущности этих мер как потерпевшим, так и его родителям, законным представителям;</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б) оказание несовершеннолетнему психологической помощи и поддержки, разъяснение ребенку ее сущности; привлечение к разъяснению указанных мер авторитетного для несовершеннолетнего человека: родителей, педагога и др.;</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в) проведение с несовершеннолетним разъяснительной беседы, убеждение его в необходимости сотрудничества со следствием.</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Доброжелательность и уважительность в общении с ребенком, особенно с воспитанниками детских домов, детей из неблагополучных семей – это обязательный элемент беседы и дальнейшего допроса. Нужно демонстрировать несовершеннолетнему искреннее желание помочь ему.</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На содержание ответов ребенка оказывает влияние присутствие родителей и их реакция на вопросы следователя (мимика, жесты, слова и др.). Поэтому вышеназванная рекомендация об участии педагога в допросе распространяется и на законных представителей.</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Трудность для несовершеннолетнего связного и последовательного восприятия, повышенная внушаемость, влияние взрослого окружения, эмоционального настроя допрашиваемого – все это основные факторы, обуславливающие правдивость и достоверность его показаний. </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При проведении допроса несовершеннолетнего свидетеля (потерпевшего) следователь должен учитывать фактор возможного влияния на его показания со стороны взрослого окружения, способного вольно или невольно внушить ребенку свои мысли или оценку событий, который последний при даче показаний будет выдавать за свои. Проявление подобного воздействия, в частности, выражается в употреблении ребенком не свойственных его возрасту и развитию выражений и оценочных суждений. Выявив последствия внешнего воздействия на допрашиваемого несовершеннолетнего, следователь должен установить круг лиц, беседовавших с ним по существу дела, что позволит предположительно определить цели, преследуемые данными лицами. </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К перечисленным организационно – тактическим правилам допроса несовершеннолетнего свидетеля можно добавить соблюдение временной протяженности следственного действия. Следователь должен знать рекомендации педагогической психологии о времени внимания несовершеннолетнего в общении; дети 4-7 лет – до 15 минут; 7-10 лет – до 20 минут; 10-12 – до 25 минут и старше 12 лет – до 30 минут</w:t>
      </w:r>
      <w:r>
        <w:rPr>
          <w:rStyle w:val="FootnoteReference"/>
          <w:rFonts w:ascii="Times New Roman" w:hAnsi="Times New Roman"/>
          <w:sz w:val="28"/>
          <w:szCs w:val="28"/>
        </w:rPr>
        <w:footnoteReference w:id="2"/>
      </w:r>
      <w:r>
        <w:rPr>
          <w:rFonts w:ascii="Times New Roman" w:hAnsi="Times New Roman"/>
          <w:sz w:val="28"/>
          <w:szCs w:val="28"/>
        </w:rPr>
        <w:t>. Могут быть индивидуальные отличия, но в целом данные рекомендации подлежат применению.</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Осторожно надо подходить и к повторным допросам несовершеннолетнего. Повторные допросы должны быть по существу дополнительными, т. е. направлены на выяснение отдельных вопросов, которые либо не выяснялись на первом допросе, либо основаны на новой дополнительной информации. Полагаем, в таких случаях дополнительный допрос вполне обоснован</w:t>
      </w:r>
      <w:r>
        <w:rPr>
          <w:rStyle w:val="FootnoteReference"/>
          <w:rFonts w:ascii="Times New Roman" w:hAnsi="Times New Roman"/>
          <w:sz w:val="28"/>
          <w:szCs w:val="28"/>
        </w:rPr>
        <w:footnoteReference w:id="3"/>
      </w:r>
      <w:r>
        <w:rPr>
          <w:rFonts w:ascii="Times New Roman" w:hAnsi="Times New Roman"/>
          <w:sz w:val="28"/>
          <w:szCs w:val="28"/>
        </w:rPr>
        <w:t>; он только требует тщательной подготовки.</w:t>
      </w:r>
    </w:p>
    <w:p w:rsidR="0001249A" w:rsidRDefault="0001249A" w:rsidP="00AD5520">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Таковы общие организационно – тактические положения допроса свидетелей и потерпевших, изучаемые групповой методикой расследования. Тактические особенности имеет допрос несовершеннолетних потерпевших по отдельным видам преступлений против семьи и несовершеннолетних. Знание изложенных положений будет способствовать оптимальному выбору тактики допроса в расследовании.</w:t>
      </w:r>
    </w:p>
    <w:p w:rsidR="0001249A" w:rsidRDefault="0001249A" w:rsidP="00FC53C8">
      <w:pPr>
        <w:pStyle w:val="ListParagraph"/>
        <w:tabs>
          <w:tab w:val="left" w:pos="993"/>
        </w:tabs>
        <w:spacing w:after="0" w:line="360" w:lineRule="auto"/>
        <w:ind w:left="0" w:firstLine="709"/>
        <w:jc w:val="both"/>
        <w:rPr>
          <w:rFonts w:ascii="Times New Roman" w:hAnsi="Times New Roman"/>
          <w:sz w:val="28"/>
          <w:szCs w:val="28"/>
        </w:rPr>
      </w:pPr>
    </w:p>
    <w:p w:rsidR="0001249A" w:rsidRPr="00FC53C8" w:rsidRDefault="0001249A" w:rsidP="00FC53C8">
      <w:pPr>
        <w:pStyle w:val="ListParagraph"/>
        <w:tabs>
          <w:tab w:val="left" w:pos="993"/>
        </w:tabs>
        <w:spacing w:after="0" w:line="240" w:lineRule="auto"/>
        <w:ind w:left="0" w:firstLine="567"/>
        <w:jc w:val="both"/>
        <w:rPr>
          <w:rFonts w:ascii="Times New Roman" w:hAnsi="Times New Roman"/>
          <w:sz w:val="24"/>
          <w:szCs w:val="24"/>
        </w:rPr>
      </w:pPr>
      <w:r w:rsidRPr="00FC53C8">
        <w:rPr>
          <w:rFonts w:ascii="Times New Roman" w:hAnsi="Times New Roman"/>
          <w:b/>
          <w:sz w:val="24"/>
          <w:szCs w:val="24"/>
        </w:rPr>
        <w:t>Список использованной литературы</w:t>
      </w:r>
      <w:r w:rsidRPr="00FC53C8">
        <w:rPr>
          <w:rFonts w:ascii="Times New Roman" w:hAnsi="Times New Roman"/>
          <w:sz w:val="24"/>
          <w:szCs w:val="24"/>
        </w:rPr>
        <w:t>:</w:t>
      </w:r>
    </w:p>
    <w:p w:rsidR="0001249A" w:rsidRPr="00FC53C8" w:rsidRDefault="0001249A" w:rsidP="00FC53C8">
      <w:pPr>
        <w:pStyle w:val="FootnoteText"/>
        <w:numPr>
          <w:ilvl w:val="0"/>
          <w:numId w:val="4"/>
        </w:numPr>
        <w:tabs>
          <w:tab w:val="left" w:pos="993"/>
        </w:tabs>
        <w:ind w:left="0" w:firstLine="567"/>
        <w:jc w:val="both"/>
        <w:rPr>
          <w:rFonts w:ascii="Times New Roman" w:hAnsi="Times New Roman"/>
          <w:sz w:val="24"/>
          <w:szCs w:val="24"/>
        </w:rPr>
      </w:pPr>
      <w:r w:rsidRPr="00FC53C8">
        <w:rPr>
          <w:rFonts w:ascii="Times New Roman" w:hAnsi="Times New Roman"/>
          <w:sz w:val="24"/>
          <w:szCs w:val="24"/>
        </w:rPr>
        <w:t>Арамов А. Особенности детского возраста. М. 1953. С. 14.</w:t>
      </w:r>
    </w:p>
    <w:p w:rsidR="0001249A" w:rsidRPr="00FC53C8" w:rsidRDefault="0001249A" w:rsidP="00FC53C8">
      <w:pPr>
        <w:pStyle w:val="FootnoteText"/>
        <w:numPr>
          <w:ilvl w:val="0"/>
          <w:numId w:val="4"/>
        </w:numPr>
        <w:tabs>
          <w:tab w:val="left" w:pos="993"/>
        </w:tabs>
        <w:ind w:left="0" w:firstLine="567"/>
        <w:jc w:val="both"/>
        <w:rPr>
          <w:rFonts w:ascii="Times New Roman" w:hAnsi="Times New Roman"/>
          <w:sz w:val="24"/>
          <w:szCs w:val="24"/>
        </w:rPr>
      </w:pPr>
      <w:r w:rsidRPr="00FC53C8">
        <w:rPr>
          <w:rFonts w:ascii="Times New Roman" w:hAnsi="Times New Roman"/>
          <w:sz w:val="24"/>
          <w:szCs w:val="24"/>
        </w:rPr>
        <w:t>КартесИмре.Тактические и психологические основы допроса. М. 1985. С. 90.</w:t>
      </w:r>
    </w:p>
    <w:p w:rsidR="0001249A" w:rsidRPr="00FC53C8" w:rsidRDefault="0001249A" w:rsidP="00FC53C8">
      <w:pPr>
        <w:pStyle w:val="FootnoteText"/>
        <w:numPr>
          <w:ilvl w:val="0"/>
          <w:numId w:val="4"/>
        </w:numPr>
        <w:tabs>
          <w:tab w:val="left" w:pos="993"/>
        </w:tabs>
        <w:ind w:left="0" w:firstLine="567"/>
        <w:jc w:val="both"/>
        <w:rPr>
          <w:sz w:val="24"/>
          <w:szCs w:val="24"/>
        </w:rPr>
      </w:pPr>
      <w:r w:rsidRPr="00FC53C8">
        <w:rPr>
          <w:rFonts w:ascii="Times New Roman" w:hAnsi="Times New Roman"/>
          <w:sz w:val="24"/>
          <w:szCs w:val="24"/>
        </w:rPr>
        <w:t>Миньковский Г. М. Особенности расследования и судебного разбирательства дел о несовершеннолетних. М. 1959. С. 21.</w:t>
      </w:r>
    </w:p>
    <w:p w:rsidR="0001249A" w:rsidRPr="00FC53C8" w:rsidRDefault="0001249A" w:rsidP="00FC53C8">
      <w:pPr>
        <w:pStyle w:val="FootnoteText"/>
        <w:numPr>
          <w:ilvl w:val="0"/>
          <w:numId w:val="4"/>
        </w:numPr>
        <w:tabs>
          <w:tab w:val="left" w:pos="993"/>
        </w:tabs>
        <w:ind w:left="0" w:firstLine="567"/>
        <w:jc w:val="both"/>
        <w:rPr>
          <w:rFonts w:ascii="Times New Roman" w:hAnsi="Times New Roman"/>
          <w:sz w:val="24"/>
          <w:szCs w:val="24"/>
        </w:rPr>
      </w:pPr>
      <w:r w:rsidRPr="00FC53C8">
        <w:rPr>
          <w:rFonts w:ascii="Times New Roman" w:hAnsi="Times New Roman"/>
          <w:sz w:val="24"/>
          <w:szCs w:val="24"/>
        </w:rPr>
        <w:t>Романов В. В. Юридическая психология. М. 1998. С. 419.</w:t>
      </w:r>
    </w:p>
    <w:p w:rsidR="0001249A" w:rsidRPr="00FC53C8" w:rsidRDefault="0001249A" w:rsidP="00FC53C8">
      <w:pPr>
        <w:pStyle w:val="FootnoteText"/>
        <w:numPr>
          <w:ilvl w:val="0"/>
          <w:numId w:val="4"/>
        </w:numPr>
        <w:tabs>
          <w:tab w:val="left" w:pos="993"/>
        </w:tabs>
        <w:ind w:left="0" w:firstLine="567"/>
        <w:jc w:val="both"/>
        <w:rPr>
          <w:rFonts w:ascii="Times New Roman" w:hAnsi="Times New Roman"/>
          <w:sz w:val="24"/>
          <w:szCs w:val="24"/>
        </w:rPr>
      </w:pPr>
      <w:r w:rsidRPr="00FC53C8">
        <w:rPr>
          <w:rFonts w:ascii="Times New Roman" w:hAnsi="Times New Roman"/>
          <w:sz w:val="24"/>
          <w:szCs w:val="24"/>
        </w:rPr>
        <w:t>Экман П. Психология лжи. СПб. 2011. С. 23.</w:t>
      </w:r>
    </w:p>
    <w:p w:rsidR="0001249A" w:rsidRDefault="0001249A" w:rsidP="00FC53C8">
      <w:pPr>
        <w:pStyle w:val="ListParagraph"/>
        <w:tabs>
          <w:tab w:val="left" w:pos="993"/>
        </w:tabs>
        <w:spacing w:after="0" w:line="240" w:lineRule="auto"/>
        <w:ind w:left="0" w:firstLine="567"/>
        <w:jc w:val="both"/>
        <w:rPr>
          <w:rFonts w:ascii="Times New Roman" w:hAnsi="Times New Roman"/>
          <w:sz w:val="24"/>
          <w:szCs w:val="24"/>
          <w:lang w:val="en-US"/>
        </w:rPr>
      </w:pPr>
    </w:p>
    <w:p w:rsidR="0001249A" w:rsidRPr="00FC53C8" w:rsidRDefault="0001249A" w:rsidP="00FC53C8">
      <w:pPr>
        <w:pStyle w:val="ListParagraph"/>
        <w:tabs>
          <w:tab w:val="left" w:pos="993"/>
        </w:tabs>
        <w:spacing w:after="0" w:line="240" w:lineRule="auto"/>
        <w:ind w:left="0" w:firstLine="567"/>
        <w:jc w:val="both"/>
        <w:rPr>
          <w:rFonts w:ascii="Times New Roman" w:hAnsi="Times New Roman"/>
          <w:b/>
          <w:sz w:val="24"/>
          <w:szCs w:val="24"/>
          <w:lang w:val="en-US"/>
        </w:rPr>
      </w:pPr>
      <w:r>
        <w:rPr>
          <w:rFonts w:ascii="Times New Roman" w:hAnsi="Times New Roman"/>
          <w:b/>
          <w:sz w:val="24"/>
          <w:szCs w:val="24"/>
          <w:lang w:val="en-US"/>
        </w:rPr>
        <w:t>References</w:t>
      </w:r>
    </w:p>
    <w:p w:rsidR="0001249A" w:rsidRPr="00FC53C8" w:rsidRDefault="0001249A" w:rsidP="00FC53C8">
      <w:pPr>
        <w:pStyle w:val="ListParagraph"/>
        <w:tabs>
          <w:tab w:val="left" w:pos="993"/>
        </w:tabs>
        <w:spacing w:after="0" w:line="240" w:lineRule="auto"/>
        <w:ind w:left="0" w:firstLine="567"/>
        <w:jc w:val="both"/>
        <w:rPr>
          <w:rFonts w:ascii="Times New Roman" w:hAnsi="Times New Roman"/>
          <w:sz w:val="24"/>
          <w:szCs w:val="24"/>
          <w:lang w:val="en-US"/>
        </w:rPr>
      </w:pPr>
      <w:r w:rsidRPr="00FC53C8">
        <w:rPr>
          <w:rFonts w:ascii="Times New Roman" w:hAnsi="Times New Roman"/>
          <w:sz w:val="24"/>
          <w:szCs w:val="24"/>
          <w:lang w:val="en-US"/>
        </w:rPr>
        <w:t>1.</w:t>
      </w:r>
      <w:r w:rsidRPr="00FC53C8">
        <w:rPr>
          <w:rFonts w:ascii="Times New Roman" w:hAnsi="Times New Roman"/>
          <w:sz w:val="24"/>
          <w:szCs w:val="24"/>
          <w:lang w:val="en-US"/>
        </w:rPr>
        <w:tab/>
        <w:t>Aramov A. Osobennosti detskogo vozrasta. M. 1953. S. 14.</w:t>
      </w:r>
    </w:p>
    <w:p w:rsidR="0001249A" w:rsidRPr="00FC53C8" w:rsidRDefault="0001249A" w:rsidP="00FC53C8">
      <w:pPr>
        <w:pStyle w:val="ListParagraph"/>
        <w:tabs>
          <w:tab w:val="left" w:pos="993"/>
        </w:tabs>
        <w:spacing w:after="0" w:line="240" w:lineRule="auto"/>
        <w:ind w:left="0" w:firstLine="567"/>
        <w:jc w:val="both"/>
        <w:rPr>
          <w:rFonts w:ascii="Times New Roman" w:hAnsi="Times New Roman"/>
          <w:sz w:val="24"/>
          <w:szCs w:val="24"/>
          <w:lang w:val="en-US"/>
        </w:rPr>
      </w:pPr>
      <w:r w:rsidRPr="00FC53C8">
        <w:rPr>
          <w:rFonts w:ascii="Times New Roman" w:hAnsi="Times New Roman"/>
          <w:sz w:val="24"/>
          <w:szCs w:val="24"/>
          <w:lang w:val="en-US"/>
        </w:rPr>
        <w:t>2.</w:t>
      </w:r>
      <w:r w:rsidRPr="00FC53C8">
        <w:rPr>
          <w:rFonts w:ascii="Times New Roman" w:hAnsi="Times New Roman"/>
          <w:sz w:val="24"/>
          <w:szCs w:val="24"/>
          <w:lang w:val="en-US"/>
        </w:rPr>
        <w:tab/>
        <w:t>KartesImre.Takticheskie i psihologicheskie osnovy doprosa. M. 1985. S. 90.</w:t>
      </w:r>
    </w:p>
    <w:p w:rsidR="0001249A" w:rsidRPr="00FC53C8" w:rsidRDefault="0001249A" w:rsidP="00FC53C8">
      <w:pPr>
        <w:pStyle w:val="ListParagraph"/>
        <w:tabs>
          <w:tab w:val="left" w:pos="993"/>
        </w:tabs>
        <w:spacing w:after="0" w:line="240" w:lineRule="auto"/>
        <w:ind w:left="0" w:firstLine="567"/>
        <w:jc w:val="both"/>
        <w:rPr>
          <w:rFonts w:ascii="Times New Roman" w:hAnsi="Times New Roman"/>
          <w:sz w:val="24"/>
          <w:szCs w:val="24"/>
          <w:lang w:val="en-US"/>
        </w:rPr>
      </w:pPr>
      <w:r w:rsidRPr="00FC53C8">
        <w:rPr>
          <w:rFonts w:ascii="Times New Roman" w:hAnsi="Times New Roman"/>
          <w:sz w:val="24"/>
          <w:szCs w:val="24"/>
          <w:lang w:val="en-US"/>
        </w:rPr>
        <w:t>3.</w:t>
      </w:r>
      <w:r w:rsidRPr="00FC53C8">
        <w:rPr>
          <w:rFonts w:ascii="Times New Roman" w:hAnsi="Times New Roman"/>
          <w:sz w:val="24"/>
          <w:szCs w:val="24"/>
          <w:lang w:val="en-US"/>
        </w:rPr>
        <w:tab/>
        <w:t>Min'kovskij G. M. Osobennosti rassledovanija i sudebnogo razbiratel'stva del o nesovershennoletnih. M. 1959. S. 21.</w:t>
      </w:r>
    </w:p>
    <w:p w:rsidR="0001249A" w:rsidRPr="00FC53C8" w:rsidRDefault="0001249A" w:rsidP="00FC53C8">
      <w:pPr>
        <w:pStyle w:val="ListParagraph"/>
        <w:tabs>
          <w:tab w:val="left" w:pos="993"/>
        </w:tabs>
        <w:spacing w:after="0" w:line="240" w:lineRule="auto"/>
        <w:ind w:left="0" w:firstLine="567"/>
        <w:jc w:val="both"/>
        <w:rPr>
          <w:rFonts w:ascii="Times New Roman" w:hAnsi="Times New Roman"/>
          <w:sz w:val="24"/>
          <w:szCs w:val="24"/>
          <w:lang w:val="en-US"/>
        </w:rPr>
      </w:pPr>
      <w:r w:rsidRPr="00FC53C8">
        <w:rPr>
          <w:rFonts w:ascii="Times New Roman" w:hAnsi="Times New Roman"/>
          <w:sz w:val="24"/>
          <w:szCs w:val="24"/>
          <w:lang w:val="en-US"/>
        </w:rPr>
        <w:t>4.</w:t>
      </w:r>
      <w:r w:rsidRPr="00FC53C8">
        <w:rPr>
          <w:rFonts w:ascii="Times New Roman" w:hAnsi="Times New Roman"/>
          <w:sz w:val="24"/>
          <w:szCs w:val="24"/>
          <w:lang w:val="en-US"/>
        </w:rPr>
        <w:tab/>
        <w:t>Romanov V. V. Juridicheskaja psihologija. M. 1998. S. 419.</w:t>
      </w:r>
    </w:p>
    <w:p w:rsidR="0001249A" w:rsidRPr="00FC53C8" w:rsidRDefault="0001249A" w:rsidP="00FC53C8">
      <w:pPr>
        <w:pStyle w:val="ListParagraph"/>
        <w:tabs>
          <w:tab w:val="left" w:pos="993"/>
        </w:tabs>
        <w:spacing w:after="0" w:line="240" w:lineRule="auto"/>
        <w:ind w:left="0" w:firstLine="567"/>
        <w:jc w:val="both"/>
        <w:rPr>
          <w:rFonts w:ascii="Times New Roman" w:hAnsi="Times New Roman"/>
          <w:sz w:val="24"/>
          <w:szCs w:val="24"/>
          <w:lang w:val="en-US"/>
        </w:rPr>
      </w:pPr>
      <w:r w:rsidRPr="00FC53C8">
        <w:rPr>
          <w:rFonts w:ascii="Times New Roman" w:hAnsi="Times New Roman"/>
          <w:sz w:val="24"/>
          <w:szCs w:val="24"/>
          <w:lang w:val="en-US"/>
        </w:rPr>
        <w:t>5.</w:t>
      </w:r>
      <w:r w:rsidRPr="00FC53C8">
        <w:rPr>
          <w:rFonts w:ascii="Times New Roman" w:hAnsi="Times New Roman"/>
          <w:sz w:val="24"/>
          <w:szCs w:val="24"/>
          <w:lang w:val="en-US"/>
        </w:rPr>
        <w:tab/>
        <w:t>Jekman P. Psihologija lzhi. SPb. 2011. S. 23.</w:t>
      </w:r>
    </w:p>
    <w:p w:rsidR="0001249A" w:rsidRPr="00FC53C8" w:rsidRDefault="0001249A" w:rsidP="00FC53C8">
      <w:pPr>
        <w:pStyle w:val="ListParagraph"/>
        <w:tabs>
          <w:tab w:val="left" w:pos="993"/>
        </w:tabs>
        <w:spacing w:after="0" w:line="240" w:lineRule="auto"/>
        <w:ind w:left="0" w:firstLine="709"/>
        <w:jc w:val="both"/>
        <w:rPr>
          <w:rFonts w:ascii="Times New Roman" w:hAnsi="Times New Roman"/>
          <w:sz w:val="24"/>
          <w:szCs w:val="24"/>
          <w:lang w:val="en-US"/>
        </w:rPr>
      </w:pPr>
    </w:p>
    <w:sectPr w:rsidR="0001249A" w:rsidRPr="00FC53C8" w:rsidSect="00FC53C8">
      <w:headerReference w:type="even" r:id="rId7"/>
      <w:headerReference w:type="default" r:id="rId8"/>
      <w:footerReference w:type="default" r:id="rId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49A" w:rsidRDefault="0001249A" w:rsidP="00AD5520">
      <w:pPr>
        <w:spacing w:after="0" w:line="240" w:lineRule="auto"/>
      </w:pPr>
      <w:r>
        <w:separator/>
      </w:r>
    </w:p>
  </w:endnote>
  <w:endnote w:type="continuationSeparator" w:id="0">
    <w:p w:rsidR="0001249A" w:rsidRDefault="0001249A" w:rsidP="00AD55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49A" w:rsidRDefault="0001249A">
    <w:pPr>
      <w:pStyle w:val="Footer"/>
    </w:pPr>
    <w:r w:rsidRPr="0031414F">
      <w:rPr>
        <w:rFonts w:ascii="Times New Roman" w:hAnsi="Times New Roman"/>
        <w:sz w:val="24"/>
        <w:szCs w:val="24"/>
      </w:rPr>
      <w:t>http://ej.kubagro.ru/2017/0</w:t>
    </w:r>
    <w:r>
      <w:rPr>
        <w:rFonts w:ascii="Times New Roman" w:hAnsi="Times New Roman"/>
        <w:sz w:val="24"/>
        <w:szCs w:val="24"/>
      </w:rPr>
      <w:t>3</w:t>
    </w:r>
    <w:r w:rsidRPr="0031414F">
      <w:rPr>
        <w:rFonts w:ascii="Times New Roman" w:hAnsi="Times New Roman"/>
        <w:sz w:val="24"/>
        <w:szCs w:val="24"/>
      </w:rPr>
      <w:t>/pdf/</w:t>
    </w:r>
    <w:r>
      <w:rPr>
        <w:rFonts w:ascii="Times New Roman" w:hAnsi="Times New Roman"/>
        <w:sz w:val="24"/>
        <w:szCs w:val="24"/>
      </w:rPr>
      <w:t>40</w:t>
    </w:r>
    <w:r w:rsidRPr="0031414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49A" w:rsidRDefault="0001249A" w:rsidP="00AD5520">
      <w:pPr>
        <w:spacing w:after="0" w:line="240" w:lineRule="auto"/>
      </w:pPr>
      <w:r>
        <w:separator/>
      </w:r>
    </w:p>
  </w:footnote>
  <w:footnote w:type="continuationSeparator" w:id="0">
    <w:p w:rsidR="0001249A" w:rsidRDefault="0001249A" w:rsidP="00AD5520">
      <w:pPr>
        <w:spacing w:after="0" w:line="240" w:lineRule="auto"/>
      </w:pPr>
      <w:r>
        <w:continuationSeparator/>
      </w:r>
    </w:p>
  </w:footnote>
  <w:footnote w:id="1">
    <w:p w:rsidR="0001249A" w:rsidRDefault="0001249A" w:rsidP="00DF2359">
      <w:pPr>
        <w:pStyle w:val="FootnoteText"/>
        <w:ind w:firstLine="709"/>
        <w:jc w:val="both"/>
      </w:pPr>
      <w:r w:rsidRPr="00DF2359">
        <w:rPr>
          <w:rStyle w:val="FootnoteReference"/>
          <w:rFonts w:ascii="Times New Roman" w:hAnsi="Times New Roman"/>
          <w:sz w:val="24"/>
          <w:szCs w:val="24"/>
        </w:rPr>
        <w:footnoteRef/>
      </w:r>
      <w:r w:rsidRPr="00DF2359">
        <w:rPr>
          <w:rFonts w:ascii="Times New Roman" w:hAnsi="Times New Roman"/>
          <w:sz w:val="24"/>
          <w:szCs w:val="24"/>
        </w:rPr>
        <w:t xml:space="preserve"> Закатов А. А. Ложь и борьба с нею. Волгоград. 1984. С. 12; Соловьев А. Б. Использование доказательств при допросе. М. 1981. С. 64; Соловьев А. Б., Центров Е. Е. Допрос на предварительном следствии. М. 1986. С. 66-67; Гаврилова Н. И. Ложно – поисковая структура лжи и ошибки в свидетельских показаниях // Вопросы борьбы с преступностью. М. 1982. Вып. 37. С. 48-49 и другие работы.</w:t>
      </w:r>
    </w:p>
  </w:footnote>
  <w:footnote w:id="2">
    <w:p w:rsidR="0001249A" w:rsidRDefault="0001249A" w:rsidP="00442AB7">
      <w:pPr>
        <w:pStyle w:val="FootnoteText"/>
        <w:ind w:firstLine="709"/>
        <w:jc w:val="both"/>
      </w:pPr>
      <w:r w:rsidRPr="00442AB7">
        <w:rPr>
          <w:rStyle w:val="FootnoteReference"/>
          <w:rFonts w:ascii="Times New Roman" w:hAnsi="Times New Roman"/>
          <w:sz w:val="24"/>
          <w:szCs w:val="24"/>
        </w:rPr>
        <w:footnoteRef/>
      </w:r>
      <w:r>
        <w:rPr>
          <w:rFonts w:ascii="Times New Roman" w:hAnsi="Times New Roman"/>
          <w:sz w:val="24"/>
          <w:szCs w:val="24"/>
        </w:rPr>
        <w:t>Картес Имре</w:t>
      </w:r>
      <w:r w:rsidRPr="00442AB7">
        <w:rPr>
          <w:rFonts w:ascii="Times New Roman" w:hAnsi="Times New Roman"/>
          <w:sz w:val="24"/>
          <w:szCs w:val="24"/>
        </w:rPr>
        <w:t>.</w:t>
      </w:r>
      <w:r>
        <w:rPr>
          <w:rFonts w:ascii="Times New Roman" w:hAnsi="Times New Roman"/>
          <w:sz w:val="24"/>
          <w:szCs w:val="24"/>
        </w:rPr>
        <w:t xml:space="preserve"> </w:t>
      </w:r>
      <w:r w:rsidRPr="00442AB7">
        <w:rPr>
          <w:rFonts w:ascii="Times New Roman" w:hAnsi="Times New Roman"/>
          <w:sz w:val="24"/>
          <w:szCs w:val="24"/>
        </w:rPr>
        <w:t>Тактические и психологические основы допроса. М. 1985. С. 90; Арамов А. Особенности детского возраста. М. 1953. С. 14.</w:t>
      </w:r>
    </w:p>
  </w:footnote>
  <w:footnote w:id="3">
    <w:p w:rsidR="0001249A" w:rsidRDefault="0001249A" w:rsidP="00442AB7">
      <w:pPr>
        <w:pStyle w:val="FootnoteText"/>
        <w:ind w:firstLine="709"/>
        <w:jc w:val="both"/>
      </w:pPr>
      <w:r w:rsidRPr="00442AB7">
        <w:rPr>
          <w:rStyle w:val="FootnoteReference"/>
          <w:rFonts w:ascii="Times New Roman" w:hAnsi="Times New Roman"/>
          <w:sz w:val="24"/>
          <w:szCs w:val="24"/>
        </w:rPr>
        <w:footnoteRef/>
      </w:r>
      <w:r w:rsidRPr="00442AB7">
        <w:rPr>
          <w:rFonts w:ascii="Times New Roman" w:hAnsi="Times New Roman"/>
          <w:sz w:val="24"/>
          <w:szCs w:val="24"/>
        </w:rPr>
        <w:t>Миньковский Г. М. Особенности расследования и судебного разбирательства дел о несовершеннолетних. М. 1959. С. 21.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49A" w:rsidRDefault="0001249A" w:rsidP="000B784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1249A" w:rsidRDefault="0001249A" w:rsidP="008E1A1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49A" w:rsidRPr="008E1A10" w:rsidRDefault="0001249A" w:rsidP="000B7845">
    <w:pPr>
      <w:pStyle w:val="Header"/>
      <w:framePr w:wrap="around" w:vAnchor="text" w:hAnchor="margin" w:xAlign="right" w:y="1"/>
      <w:rPr>
        <w:rStyle w:val="PageNumber"/>
        <w:rFonts w:ascii="Times New Roman" w:hAnsi="Times New Roman"/>
        <w:sz w:val="28"/>
        <w:szCs w:val="28"/>
      </w:rPr>
    </w:pPr>
    <w:r w:rsidRPr="008E1A10">
      <w:rPr>
        <w:rStyle w:val="PageNumber"/>
        <w:rFonts w:ascii="Times New Roman" w:hAnsi="Times New Roman"/>
        <w:sz w:val="28"/>
        <w:szCs w:val="28"/>
      </w:rPr>
      <w:fldChar w:fldCharType="begin"/>
    </w:r>
    <w:r w:rsidRPr="008E1A10">
      <w:rPr>
        <w:rStyle w:val="PageNumber"/>
        <w:rFonts w:ascii="Times New Roman" w:hAnsi="Times New Roman"/>
        <w:sz w:val="28"/>
        <w:szCs w:val="28"/>
      </w:rPr>
      <w:instrText xml:space="preserve">PAGE  </w:instrText>
    </w:r>
    <w:r w:rsidRPr="008E1A10">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8E1A10">
      <w:rPr>
        <w:rStyle w:val="PageNumber"/>
        <w:rFonts w:ascii="Times New Roman" w:hAnsi="Times New Roman"/>
        <w:sz w:val="28"/>
        <w:szCs w:val="28"/>
      </w:rPr>
      <w:fldChar w:fldCharType="end"/>
    </w:r>
  </w:p>
  <w:p w:rsidR="0001249A" w:rsidRDefault="0001249A" w:rsidP="008E1A10">
    <w:pPr>
      <w:pStyle w:val="Header"/>
      <w:ind w:right="360"/>
    </w:pPr>
    <w:r w:rsidRPr="00952EE7">
      <w:rPr>
        <w:rFonts w:ascii="Times New Roman" w:hAnsi="Times New Roman"/>
        <w:sz w:val="24"/>
        <w:szCs w:val="24"/>
      </w:rPr>
      <w:t>Научный журнал КубГАУ, №127(03), 2017 года</w:t>
    </w:r>
  </w:p>
  <w:p w:rsidR="0001249A" w:rsidRDefault="0001249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02CA5"/>
    <w:multiLevelType w:val="hybridMultilevel"/>
    <w:tmpl w:val="BCF217FA"/>
    <w:lvl w:ilvl="0" w:tplc="A182A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0C3143B"/>
    <w:multiLevelType w:val="hybridMultilevel"/>
    <w:tmpl w:val="89FC0722"/>
    <w:lvl w:ilvl="0" w:tplc="A182A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57035B5"/>
    <w:multiLevelType w:val="hybridMultilevel"/>
    <w:tmpl w:val="8334D090"/>
    <w:lvl w:ilvl="0" w:tplc="BDE0F25E">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6E7F3D2A"/>
    <w:multiLevelType w:val="hybridMultilevel"/>
    <w:tmpl w:val="7046AF10"/>
    <w:lvl w:ilvl="0" w:tplc="A182A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23D8"/>
    <w:rsid w:val="00000A82"/>
    <w:rsid w:val="0001249A"/>
    <w:rsid w:val="00035A2D"/>
    <w:rsid w:val="00055180"/>
    <w:rsid w:val="000B7845"/>
    <w:rsid w:val="001501C2"/>
    <w:rsid w:val="00165237"/>
    <w:rsid w:val="00196CEA"/>
    <w:rsid w:val="001C2802"/>
    <w:rsid w:val="001F5ED8"/>
    <w:rsid w:val="00227D55"/>
    <w:rsid w:val="00276C21"/>
    <w:rsid w:val="00300AC3"/>
    <w:rsid w:val="0030799C"/>
    <w:rsid w:val="0031414F"/>
    <w:rsid w:val="004422AD"/>
    <w:rsid w:val="00442AB7"/>
    <w:rsid w:val="004718F1"/>
    <w:rsid w:val="00480E1A"/>
    <w:rsid w:val="00497A16"/>
    <w:rsid w:val="004A27A9"/>
    <w:rsid w:val="004E3982"/>
    <w:rsid w:val="00507C3F"/>
    <w:rsid w:val="0051134D"/>
    <w:rsid w:val="005817BA"/>
    <w:rsid w:val="00584CB2"/>
    <w:rsid w:val="005E2649"/>
    <w:rsid w:val="0064448C"/>
    <w:rsid w:val="0065781A"/>
    <w:rsid w:val="006A6865"/>
    <w:rsid w:val="00757A62"/>
    <w:rsid w:val="00783C0C"/>
    <w:rsid w:val="0078534D"/>
    <w:rsid w:val="008447DC"/>
    <w:rsid w:val="00886D13"/>
    <w:rsid w:val="008D7546"/>
    <w:rsid w:val="008E1A10"/>
    <w:rsid w:val="00952EE7"/>
    <w:rsid w:val="009641AC"/>
    <w:rsid w:val="00A33EBD"/>
    <w:rsid w:val="00AD5520"/>
    <w:rsid w:val="00B3275E"/>
    <w:rsid w:val="00B4374E"/>
    <w:rsid w:val="00B80C0C"/>
    <w:rsid w:val="00B871B6"/>
    <w:rsid w:val="00B96B2F"/>
    <w:rsid w:val="00BA6C97"/>
    <w:rsid w:val="00C21B72"/>
    <w:rsid w:val="00C810FB"/>
    <w:rsid w:val="00C9327B"/>
    <w:rsid w:val="00D935CC"/>
    <w:rsid w:val="00DF2359"/>
    <w:rsid w:val="00E63F2E"/>
    <w:rsid w:val="00E71AAC"/>
    <w:rsid w:val="00E91D48"/>
    <w:rsid w:val="00EB164B"/>
    <w:rsid w:val="00EC45AD"/>
    <w:rsid w:val="00F123D8"/>
    <w:rsid w:val="00F15CA2"/>
    <w:rsid w:val="00F44A30"/>
    <w:rsid w:val="00FB4988"/>
    <w:rsid w:val="00FC53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374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AD5520"/>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AD5520"/>
    <w:rPr>
      <w:rFonts w:cs="Times New Roman"/>
      <w:sz w:val="20"/>
      <w:szCs w:val="20"/>
    </w:rPr>
  </w:style>
  <w:style w:type="character" w:styleId="FootnoteReference">
    <w:name w:val="footnote reference"/>
    <w:basedOn w:val="DefaultParagraphFont"/>
    <w:uiPriority w:val="99"/>
    <w:semiHidden/>
    <w:rsid w:val="00AD5520"/>
    <w:rPr>
      <w:rFonts w:cs="Times New Roman"/>
      <w:vertAlign w:val="superscript"/>
    </w:rPr>
  </w:style>
  <w:style w:type="paragraph" w:styleId="ListParagraph">
    <w:name w:val="List Paragraph"/>
    <w:basedOn w:val="Normal"/>
    <w:uiPriority w:val="99"/>
    <w:qFormat/>
    <w:rsid w:val="00AD5520"/>
    <w:pPr>
      <w:ind w:left="720"/>
      <w:contextualSpacing/>
    </w:pPr>
  </w:style>
  <w:style w:type="paragraph" w:styleId="Header">
    <w:name w:val="header"/>
    <w:basedOn w:val="Normal"/>
    <w:link w:val="HeaderChar"/>
    <w:uiPriority w:val="99"/>
    <w:rsid w:val="00FC53C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C53C8"/>
    <w:rPr>
      <w:rFonts w:cs="Times New Roman"/>
    </w:rPr>
  </w:style>
  <w:style w:type="paragraph" w:styleId="Footer">
    <w:name w:val="footer"/>
    <w:basedOn w:val="Normal"/>
    <w:link w:val="FooterChar"/>
    <w:uiPriority w:val="99"/>
    <w:rsid w:val="00FC53C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C53C8"/>
    <w:rPr>
      <w:rFonts w:cs="Times New Roman"/>
    </w:rPr>
  </w:style>
  <w:style w:type="character" w:styleId="PageNumber">
    <w:name w:val="page number"/>
    <w:basedOn w:val="DefaultParagraphFont"/>
    <w:uiPriority w:val="99"/>
    <w:rsid w:val="008E1A10"/>
    <w:rPr>
      <w:rFonts w:cs="Times New Roman"/>
    </w:rPr>
  </w:style>
</w:styles>
</file>

<file path=word/webSettings.xml><?xml version="1.0" encoding="utf-8"?>
<w:webSettings xmlns:r="http://schemas.openxmlformats.org/officeDocument/2006/relationships" xmlns:w="http://schemas.openxmlformats.org/wordprocessingml/2006/main">
  <w:divs>
    <w:div w:id="15003449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84</TotalTime>
  <Pages>9</Pages>
  <Words>2241</Words>
  <Characters>12776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Ачмиз Асиет Юсуфовна</dc:creator>
  <cp:keywords/>
  <dc:description/>
  <cp:lastModifiedBy>ACER</cp:lastModifiedBy>
  <cp:revision>17</cp:revision>
  <cp:lastPrinted>2017-02-20T13:48:00Z</cp:lastPrinted>
  <dcterms:created xsi:type="dcterms:W3CDTF">2017-02-20T13:27:00Z</dcterms:created>
  <dcterms:modified xsi:type="dcterms:W3CDTF">2017-03-16T20:22:00Z</dcterms:modified>
</cp:coreProperties>
</file>