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5116"/>
        <w:gridCol w:w="4504"/>
      </w:tblGrid>
      <w:tr w:rsidR="008873AC" w:rsidRPr="000543FB" w:rsidTr="00991516">
        <w:tc>
          <w:tcPr>
            <w:tcW w:w="2659" w:type="pct"/>
          </w:tcPr>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eastAsia="en-US"/>
              </w:rPr>
            </w:pPr>
            <w:bookmarkStart w:id="0" w:name="_GoBack"/>
            <w:bookmarkEnd w:id="0"/>
            <w:r w:rsidRPr="00991516">
              <w:rPr>
                <w:rFonts w:eastAsia="Times New Roman" w:cs="Times New Roman"/>
                <w:bCs/>
                <w:sz w:val="20"/>
                <w:szCs w:val="20"/>
                <w:lang w:eastAsia="en-US"/>
              </w:rPr>
              <w:t>УДК 657.3</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tabs>
                <w:tab w:val="left" w:pos="1453"/>
              </w:tabs>
              <w:rPr>
                <w:rFonts w:eastAsia="Times New Roman" w:cs="Times New Roman"/>
                <w:bCs/>
                <w:sz w:val="20"/>
                <w:szCs w:val="20"/>
                <w:lang w:eastAsia="en-US"/>
              </w:rPr>
            </w:pP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tabs>
                <w:tab w:val="left" w:pos="1453"/>
              </w:tabs>
              <w:rPr>
                <w:rFonts w:eastAsia="Times New Roman" w:cs="Times New Roman"/>
                <w:bCs/>
                <w:sz w:val="20"/>
                <w:szCs w:val="20"/>
                <w:lang w:eastAsia="en-US"/>
              </w:rPr>
            </w:pPr>
            <w:r>
              <w:rPr>
                <w:rFonts w:eastAsia="Times New Roman" w:cs="Times New Roman"/>
                <w:bCs/>
                <w:sz w:val="20"/>
                <w:szCs w:val="20"/>
                <w:lang w:eastAsia="en-US"/>
              </w:rPr>
              <w:t xml:space="preserve">08.00.00 </w:t>
            </w:r>
            <w:r w:rsidRPr="00991516">
              <w:rPr>
                <w:rFonts w:eastAsia="Times New Roman" w:cs="Times New Roman"/>
                <w:bCs/>
                <w:sz w:val="20"/>
                <w:szCs w:val="20"/>
                <w:lang w:eastAsia="en-US"/>
              </w:rPr>
              <w:t xml:space="preserve">Экономические науки     </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tabs>
                <w:tab w:val="left" w:pos="1453"/>
              </w:tabs>
              <w:rPr>
                <w:rFonts w:eastAsia="Times New Roman" w:cs="Times New Roman"/>
                <w:bCs/>
                <w:sz w:val="20"/>
                <w:szCs w:val="20"/>
                <w:lang w:eastAsia="en-US"/>
              </w:rPr>
            </w:pPr>
            <w:r w:rsidRPr="00991516">
              <w:rPr>
                <w:rFonts w:eastAsia="Times New Roman" w:cs="Times New Roman"/>
                <w:bCs/>
                <w:sz w:val="20"/>
                <w:szCs w:val="20"/>
                <w:lang w:eastAsia="en-US"/>
              </w:rPr>
              <w:t xml:space="preserve">   </w:t>
            </w:r>
          </w:p>
          <w:p w:rsidR="008873AC" w:rsidRPr="00991516" w:rsidRDefault="008873AC" w:rsidP="00991516">
            <w:pPr>
              <w:pStyle w:val="1"/>
              <w:widowControl w:val="0"/>
              <w:spacing w:line="240" w:lineRule="auto"/>
              <w:ind w:left="0" w:right="0"/>
              <w:jc w:val="left"/>
              <w:rPr>
                <w:b/>
                <w:color w:val="000000"/>
                <w:sz w:val="20"/>
                <w:szCs w:val="20"/>
              </w:rPr>
            </w:pPr>
            <w:r w:rsidRPr="00991516">
              <w:rPr>
                <w:b/>
                <w:color w:val="000000"/>
                <w:sz w:val="20"/>
                <w:szCs w:val="20"/>
              </w:rPr>
              <w:t>ОЦЕНКА ВЫРУЧКИ КАК ЭЛЕМЕНТА БУХГА</w:t>
            </w:r>
            <w:r w:rsidRPr="00991516">
              <w:rPr>
                <w:b/>
                <w:color w:val="000000"/>
                <w:sz w:val="20"/>
                <w:szCs w:val="20"/>
              </w:rPr>
              <w:t>Л</w:t>
            </w:r>
            <w:r w:rsidRPr="00991516">
              <w:rPr>
                <w:b/>
                <w:color w:val="000000"/>
                <w:sz w:val="20"/>
                <w:szCs w:val="20"/>
              </w:rPr>
              <w:t>ТЕРСКОЙ ФИНАНСОВОЙ ОТЧЕТНОСТИ В С</w:t>
            </w:r>
            <w:r w:rsidRPr="00991516">
              <w:rPr>
                <w:b/>
                <w:color w:val="000000"/>
                <w:sz w:val="20"/>
                <w:szCs w:val="20"/>
              </w:rPr>
              <w:t>О</w:t>
            </w:r>
            <w:r w:rsidRPr="00991516">
              <w:rPr>
                <w:b/>
                <w:color w:val="000000"/>
                <w:sz w:val="20"/>
                <w:szCs w:val="20"/>
              </w:rPr>
              <w:t>ОТВЕТСТВИИ С МЕЖДУНАРОДНЫМИ СТА</w:t>
            </w:r>
            <w:r w:rsidRPr="00991516">
              <w:rPr>
                <w:b/>
                <w:color w:val="000000"/>
                <w:sz w:val="20"/>
                <w:szCs w:val="20"/>
              </w:rPr>
              <w:t>Н</w:t>
            </w:r>
            <w:r w:rsidRPr="00991516">
              <w:rPr>
                <w:b/>
                <w:color w:val="000000"/>
                <w:sz w:val="20"/>
                <w:szCs w:val="20"/>
              </w:rPr>
              <w:t xml:space="preserve">ДАРТАМИ ФИНАНСОВОЙ ОТЧЕТНОСТИ </w:t>
            </w:r>
          </w:p>
          <w:p w:rsidR="008873AC" w:rsidRPr="000543FB" w:rsidRDefault="008873AC" w:rsidP="00991516">
            <w:pPr>
              <w:pBdr>
                <w:top w:val="none" w:sz="0" w:space="0" w:color="auto"/>
                <w:left w:val="none" w:sz="0" w:space="0" w:color="auto"/>
                <w:bottom w:val="none" w:sz="0" w:space="0" w:color="auto"/>
                <w:right w:val="none" w:sz="0" w:space="0" w:color="auto"/>
                <w:bar w:val="none" w:sz="0" w:color="auto"/>
              </w:pBdr>
              <w:contextualSpacing/>
              <w:rPr>
                <w:rFonts w:eastAsia="Times New Roman" w:cs="Times New Roman"/>
                <w:b/>
                <w:sz w:val="20"/>
                <w:szCs w:val="20"/>
                <w:lang w:eastAsia="en-US"/>
              </w:rPr>
            </w:pPr>
          </w:p>
          <w:p w:rsidR="008873AC" w:rsidRPr="000543FB" w:rsidRDefault="008873AC" w:rsidP="00991516">
            <w:pPr>
              <w:pBdr>
                <w:top w:val="none" w:sz="0" w:space="0" w:color="auto"/>
                <w:left w:val="none" w:sz="0" w:space="0" w:color="auto"/>
                <w:bottom w:val="none" w:sz="0" w:space="0" w:color="auto"/>
                <w:right w:val="none" w:sz="0" w:space="0" w:color="auto"/>
                <w:bar w:val="none" w:sz="0" w:color="auto"/>
              </w:pBdr>
              <w:contextualSpacing/>
              <w:rPr>
                <w:rFonts w:eastAsia="Times New Roman" w:cs="Times New Roman"/>
                <w:b/>
                <w:sz w:val="20"/>
                <w:szCs w:val="20"/>
                <w:lang w:eastAsia="en-US"/>
              </w:rPr>
            </w:pP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eastAsia="en-US"/>
              </w:rPr>
            </w:pPr>
            <w:r w:rsidRPr="00991516">
              <w:rPr>
                <w:rFonts w:eastAsia="Times New Roman" w:cs="Times New Roman"/>
                <w:bCs/>
                <w:sz w:val="20"/>
                <w:szCs w:val="20"/>
                <w:lang w:eastAsia="en-US"/>
              </w:rPr>
              <w:t>Еремина Наталья Владимировна</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eastAsia="en-US"/>
              </w:rPr>
            </w:pPr>
            <w:r w:rsidRPr="00991516">
              <w:rPr>
                <w:rFonts w:eastAsia="Times New Roman" w:cs="Times New Roman"/>
                <w:bCs/>
                <w:sz w:val="20"/>
                <w:szCs w:val="20"/>
                <w:lang w:eastAsia="en-US"/>
              </w:rPr>
              <w:t xml:space="preserve">Ст. преподаватель кафедры теории бухгалтерского учета  </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eastAsia="en-US"/>
              </w:rPr>
              <w:t>РИНЦ</w:t>
            </w:r>
            <w:r w:rsidRPr="00991516">
              <w:rPr>
                <w:rFonts w:eastAsia="Times New Roman" w:cs="Times New Roman"/>
                <w:bCs/>
                <w:sz w:val="20"/>
                <w:szCs w:val="20"/>
                <w:lang w:val="en-US" w:eastAsia="en-US"/>
              </w:rPr>
              <w:t xml:space="preserve"> SPIN-</w:t>
            </w:r>
            <w:r w:rsidRPr="00991516">
              <w:rPr>
                <w:rFonts w:eastAsia="Times New Roman" w:cs="Times New Roman"/>
                <w:bCs/>
                <w:sz w:val="20"/>
                <w:szCs w:val="20"/>
                <w:lang w:eastAsia="en-US"/>
              </w:rPr>
              <w:t>код</w:t>
            </w:r>
            <w:r w:rsidRPr="00991516">
              <w:rPr>
                <w:rFonts w:eastAsia="Times New Roman" w:cs="Times New Roman"/>
                <w:bCs/>
                <w:sz w:val="20"/>
                <w:szCs w:val="20"/>
                <w:lang w:val="en-US" w:eastAsia="en-US"/>
              </w:rPr>
              <w:t xml:space="preserve"> = 9608-1285</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eastAsia="en-US"/>
              </w:rPr>
              <w:t>РИНЦ</w:t>
            </w:r>
            <w:r w:rsidRPr="00991516">
              <w:rPr>
                <w:rFonts w:eastAsia="Times New Roman" w:cs="Times New Roman"/>
                <w:bCs/>
                <w:sz w:val="20"/>
                <w:szCs w:val="20"/>
                <w:lang w:val="en-US" w:eastAsia="en-US"/>
              </w:rPr>
              <w:t xml:space="preserve"> Author ID = 670335</w:t>
            </w:r>
          </w:p>
          <w:p w:rsidR="008873AC" w:rsidRPr="000543FB"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i/>
                <w:sz w:val="20"/>
                <w:szCs w:val="20"/>
                <w:lang w:eastAsia="en-US"/>
              </w:rPr>
            </w:pP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eastAsia="en-US"/>
              </w:rPr>
            </w:pPr>
            <w:r w:rsidRPr="00991516">
              <w:rPr>
                <w:rFonts w:eastAsia="Times New Roman" w:cs="Times New Roman"/>
                <w:bCs/>
                <w:sz w:val="20"/>
                <w:szCs w:val="20"/>
                <w:lang w:eastAsia="en-US"/>
              </w:rPr>
              <w:t>Кесян Светлана Ваграмовна</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eastAsia="en-US"/>
              </w:rPr>
            </w:pPr>
            <w:r w:rsidRPr="00991516">
              <w:rPr>
                <w:rFonts w:eastAsia="Times New Roman" w:cs="Times New Roman"/>
                <w:bCs/>
                <w:sz w:val="20"/>
                <w:szCs w:val="20"/>
                <w:lang w:eastAsia="en-US"/>
              </w:rPr>
              <w:t>Доцент, кандидат экономических наук  кафедры бухга</w:t>
            </w:r>
            <w:r w:rsidRPr="00991516">
              <w:rPr>
                <w:rFonts w:eastAsia="Times New Roman" w:cs="Times New Roman"/>
                <w:bCs/>
                <w:sz w:val="20"/>
                <w:szCs w:val="20"/>
                <w:lang w:eastAsia="en-US"/>
              </w:rPr>
              <w:t>л</w:t>
            </w:r>
            <w:r w:rsidRPr="00991516">
              <w:rPr>
                <w:rFonts w:eastAsia="Times New Roman" w:cs="Times New Roman"/>
                <w:bCs/>
                <w:sz w:val="20"/>
                <w:szCs w:val="20"/>
                <w:lang w:eastAsia="en-US"/>
              </w:rPr>
              <w:t xml:space="preserve">терского учета  </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eastAsia="en-US"/>
              </w:rPr>
              <w:t>РИНЦ</w:t>
            </w:r>
            <w:r w:rsidRPr="00991516">
              <w:rPr>
                <w:rFonts w:eastAsia="Times New Roman" w:cs="Times New Roman"/>
                <w:bCs/>
                <w:sz w:val="20"/>
                <w:szCs w:val="20"/>
                <w:lang w:val="en-US" w:eastAsia="en-US"/>
              </w:rPr>
              <w:t xml:space="preserve"> SPIN-</w:t>
            </w:r>
            <w:r w:rsidRPr="00991516">
              <w:rPr>
                <w:rFonts w:eastAsia="Times New Roman" w:cs="Times New Roman"/>
                <w:bCs/>
                <w:sz w:val="20"/>
                <w:szCs w:val="20"/>
                <w:lang w:eastAsia="en-US"/>
              </w:rPr>
              <w:t>код</w:t>
            </w:r>
            <w:r w:rsidRPr="00991516">
              <w:rPr>
                <w:rFonts w:eastAsia="Times New Roman" w:cs="Times New Roman"/>
                <w:bCs/>
                <w:sz w:val="20"/>
                <w:szCs w:val="20"/>
                <w:lang w:val="en-US" w:eastAsia="en-US"/>
              </w:rPr>
              <w:t xml:space="preserve"> = 5670-0596 </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eastAsia="en-US"/>
              </w:rPr>
              <w:t>РИНЦ</w:t>
            </w:r>
            <w:r w:rsidRPr="00991516">
              <w:rPr>
                <w:rFonts w:eastAsia="Times New Roman" w:cs="Times New Roman"/>
                <w:bCs/>
                <w:sz w:val="20"/>
                <w:szCs w:val="20"/>
                <w:lang w:val="en-US" w:eastAsia="en-US"/>
              </w:rPr>
              <w:t xml:space="preserve"> Author ID = 670709</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i/>
                <w:sz w:val="20"/>
                <w:szCs w:val="20"/>
                <w:lang w:eastAsia="en-US"/>
              </w:rPr>
            </w:pPr>
            <w:r w:rsidRPr="00991516">
              <w:rPr>
                <w:rFonts w:eastAsia="Times New Roman" w:cs="Times New Roman"/>
                <w:bCs/>
                <w:i/>
                <w:sz w:val="20"/>
                <w:szCs w:val="20"/>
                <w:lang w:eastAsia="en-US"/>
              </w:rPr>
              <w:t>Кубанский государственный аграрный университет имени И. Т. Трубилина, Краснодар, Россия</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tabs>
                <w:tab w:val="left" w:pos="1453"/>
              </w:tabs>
              <w:rPr>
                <w:rFonts w:eastAsia="Times New Roman" w:cs="Times New Roman"/>
                <w:bCs/>
                <w:sz w:val="20"/>
                <w:szCs w:val="20"/>
                <w:lang w:eastAsia="en-US"/>
              </w:rPr>
            </w:pPr>
          </w:p>
          <w:p w:rsidR="008873AC" w:rsidRPr="00991516" w:rsidRDefault="008873AC" w:rsidP="00991516">
            <w:pPr>
              <w:pStyle w:val="NormalWeb"/>
              <w:shd w:val="clear" w:color="auto" w:fill="FFFFFF"/>
              <w:spacing w:before="0" w:beforeAutospacing="0" w:after="0" w:afterAutospacing="0" w:line="240" w:lineRule="auto"/>
              <w:rPr>
                <w:color w:val="000000"/>
                <w:sz w:val="20"/>
                <w:szCs w:val="20"/>
                <w:lang w:eastAsia="en-US"/>
              </w:rPr>
            </w:pPr>
            <w:r w:rsidRPr="00991516">
              <w:rPr>
                <w:color w:val="000000"/>
                <w:sz w:val="20"/>
                <w:szCs w:val="20"/>
                <w:lang w:eastAsia="en-US"/>
              </w:rPr>
              <w:t>Международные стандарты отчетности устанавливают различие между понятиями выручки и дохода в целом. Так, согласно Концепции Совета по МСФО, доход – это рост экономических выгод в течение отчетного периода в форме притока или преумножения активов или сниж</w:t>
            </w:r>
            <w:r w:rsidRPr="00991516">
              <w:rPr>
                <w:color w:val="000000"/>
                <w:sz w:val="20"/>
                <w:szCs w:val="20"/>
                <w:lang w:eastAsia="en-US"/>
              </w:rPr>
              <w:t>е</w:t>
            </w:r>
            <w:r w:rsidRPr="00991516">
              <w:rPr>
                <w:color w:val="000000"/>
                <w:sz w:val="20"/>
                <w:szCs w:val="20"/>
                <w:lang w:eastAsia="en-US"/>
              </w:rPr>
              <w:t>ния обязательств, которые приводят к увеличению со</w:t>
            </w:r>
            <w:r w:rsidRPr="00991516">
              <w:rPr>
                <w:color w:val="000000"/>
                <w:sz w:val="20"/>
                <w:szCs w:val="20"/>
                <w:lang w:eastAsia="en-US"/>
              </w:rPr>
              <w:t>б</w:t>
            </w:r>
            <w:r w:rsidRPr="00991516">
              <w:rPr>
                <w:color w:val="000000"/>
                <w:sz w:val="20"/>
                <w:szCs w:val="20"/>
                <w:lang w:eastAsia="en-US"/>
              </w:rPr>
              <w:t>ственного капитала, и последнее не связано с вкладами участников в собственном капитале. В документе также уточняется, что это определение дохода касается как «выручки», так и «прочих доходов». Первая возникает в ходе обычной хозяйственной деятельности предприятия и может  включать: выручку от реализации товаров, р</w:t>
            </w:r>
            <w:r w:rsidRPr="00991516">
              <w:rPr>
                <w:color w:val="000000"/>
                <w:sz w:val="20"/>
                <w:szCs w:val="20"/>
                <w:lang w:eastAsia="en-US"/>
              </w:rPr>
              <w:t>а</w:t>
            </w:r>
            <w:r w:rsidRPr="00991516">
              <w:rPr>
                <w:color w:val="000000"/>
                <w:sz w:val="20"/>
                <w:szCs w:val="20"/>
                <w:lang w:eastAsia="en-US"/>
              </w:rPr>
              <w:t>бот, услуг; вознаграждение; проценты; дивиденды;   р</w:t>
            </w:r>
            <w:r w:rsidRPr="00991516">
              <w:rPr>
                <w:color w:val="000000"/>
                <w:sz w:val="20"/>
                <w:szCs w:val="20"/>
                <w:lang w:eastAsia="en-US"/>
              </w:rPr>
              <w:t>о</w:t>
            </w:r>
            <w:r w:rsidRPr="00991516">
              <w:rPr>
                <w:color w:val="000000"/>
                <w:sz w:val="20"/>
                <w:szCs w:val="20"/>
                <w:lang w:eastAsia="en-US"/>
              </w:rPr>
              <w:t>ялти</w:t>
            </w:r>
            <w:r>
              <w:rPr>
                <w:color w:val="000000"/>
                <w:sz w:val="20"/>
                <w:szCs w:val="20"/>
                <w:lang w:eastAsia="en-US"/>
              </w:rPr>
              <w:t xml:space="preserve">; арендную плату. </w:t>
            </w:r>
            <w:r w:rsidRPr="00991516">
              <w:rPr>
                <w:color w:val="000000"/>
                <w:sz w:val="20"/>
                <w:szCs w:val="20"/>
                <w:lang w:eastAsia="en-US"/>
              </w:rPr>
              <w:t>Прочие доходы представляют собой другие соответствующие определению дохода статьи и могут появиться в ходе обычной хозяйственной деятельности организации. В рамках МСФО такие п</w:t>
            </w:r>
            <w:r w:rsidRPr="00991516">
              <w:rPr>
                <w:color w:val="000000"/>
                <w:sz w:val="20"/>
                <w:szCs w:val="20"/>
                <w:lang w:eastAsia="en-US"/>
              </w:rPr>
              <w:t>о</w:t>
            </w:r>
            <w:r w:rsidRPr="00991516">
              <w:rPr>
                <w:color w:val="000000"/>
                <w:sz w:val="20"/>
                <w:szCs w:val="20"/>
                <w:lang w:eastAsia="en-US"/>
              </w:rPr>
              <w:t>ступления – это результат прочих сделок, которые не приносят выручки, но являются вспомогательными по отношению к основной, доходной, деятельности. В о</w:t>
            </w:r>
            <w:r w:rsidRPr="00991516">
              <w:rPr>
                <w:color w:val="000000"/>
                <w:sz w:val="20"/>
                <w:szCs w:val="20"/>
                <w:lang w:eastAsia="en-US"/>
              </w:rPr>
              <w:t>т</w:t>
            </w:r>
            <w:r w:rsidRPr="00991516">
              <w:rPr>
                <w:color w:val="000000"/>
                <w:sz w:val="20"/>
                <w:szCs w:val="20"/>
                <w:lang w:eastAsia="en-US"/>
              </w:rPr>
              <w:t>четности указывается разница между доходом и расх</w:t>
            </w:r>
            <w:r w:rsidRPr="00991516">
              <w:rPr>
                <w:color w:val="000000"/>
                <w:sz w:val="20"/>
                <w:szCs w:val="20"/>
                <w:lang w:eastAsia="en-US"/>
              </w:rPr>
              <w:t>о</w:t>
            </w:r>
            <w:r>
              <w:rPr>
                <w:color w:val="000000"/>
                <w:sz w:val="20"/>
                <w:szCs w:val="20"/>
                <w:lang w:eastAsia="en-US"/>
              </w:rPr>
              <w:t xml:space="preserve">дами по таким сделкам. </w:t>
            </w:r>
            <w:r w:rsidRPr="00991516">
              <w:rPr>
                <w:color w:val="000000"/>
                <w:sz w:val="20"/>
                <w:szCs w:val="20"/>
                <w:lang w:eastAsia="en-US"/>
              </w:rPr>
              <w:t>Например, при выбытии вн</w:t>
            </w:r>
            <w:r w:rsidRPr="00991516">
              <w:rPr>
                <w:color w:val="000000"/>
                <w:sz w:val="20"/>
                <w:szCs w:val="20"/>
                <w:lang w:eastAsia="en-US"/>
              </w:rPr>
              <w:t>е</w:t>
            </w:r>
            <w:r w:rsidRPr="00991516">
              <w:rPr>
                <w:color w:val="000000"/>
                <w:sz w:val="20"/>
                <w:szCs w:val="20"/>
                <w:lang w:eastAsia="en-US"/>
              </w:rPr>
              <w:t>оборотных активов, включая инвестиции и операцио</w:t>
            </w:r>
            <w:r w:rsidRPr="00991516">
              <w:rPr>
                <w:color w:val="000000"/>
                <w:sz w:val="20"/>
                <w:szCs w:val="20"/>
                <w:lang w:eastAsia="en-US"/>
              </w:rPr>
              <w:t>н</w:t>
            </w:r>
            <w:r w:rsidRPr="00991516">
              <w:rPr>
                <w:color w:val="000000"/>
                <w:sz w:val="20"/>
                <w:szCs w:val="20"/>
                <w:lang w:eastAsia="en-US"/>
              </w:rPr>
              <w:t>ные активы, отражается сумма поступлений от данной операции за вычетом соответ</w:t>
            </w:r>
            <w:r>
              <w:rPr>
                <w:color w:val="000000"/>
                <w:sz w:val="20"/>
                <w:szCs w:val="20"/>
                <w:lang w:eastAsia="en-US"/>
              </w:rPr>
              <w:t xml:space="preserve">ствующих издержек на продажу. </w:t>
            </w:r>
            <w:r w:rsidRPr="00991516">
              <w:rPr>
                <w:color w:val="000000"/>
                <w:sz w:val="20"/>
                <w:szCs w:val="20"/>
                <w:lang w:eastAsia="en-US"/>
              </w:rPr>
              <w:t xml:space="preserve">Согласно МСФО сумма выручки оценивается по справедливой стоимости компенсации, которую фирма получила или только ожидает получить. При этом учитываются суммы торговых и оптовых скидок, </w:t>
            </w:r>
            <w:r>
              <w:rPr>
                <w:color w:val="000000"/>
                <w:sz w:val="20"/>
                <w:szCs w:val="20"/>
                <w:lang w:eastAsia="en-US"/>
              </w:rPr>
              <w:t xml:space="preserve">предоставленных предприятием. </w:t>
            </w:r>
            <w:r w:rsidRPr="00991516">
              <w:rPr>
                <w:color w:val="000000"/>
                <w:sz w:val="20"/>
                <w:szCs w:val="20"/>
                <w:lang w:eastAsia="en-US"/>
              </w:rPr>
              <w:t>Отметим, что росси</w:t>
            </w:r>
            <w:r w:rsidRPr="00991516">
              <w:rPr>
                <w:color w:val="000000"/>
                <w:sz w:val="20"/>
                <w:szCs w:val="20"/>
                <w:lang w:eastAsia="en-US"/>
              </w:rPr>
              <w:t>й</w:t>
            </w:r>
            <w:r w:rsidRPr="00991516">
              <w:rPr>
                <w:color w:val="000000"/>
                <w:sz w:val="20"/>
                <w:szCs w:val="20"/>
                <w:lang w:eastAsia="en-US"/>
              </w:rPr>
              <w:t>ские принципы бухучета дисконтирование не допуск</w:t>
            </w:r>
            <w:r w:rsidRPr="00991516">
              <w:rPr>
                <w:color w:val="000000"/>
                <w:sz w:val="20"/>
                <w:szCs w:val="20"/>
                <w:lang w:eastAsia="en-US"/>
              </w:rPr>
              <w:t>а</w:t>
            </w:r>
            <w:r w:rsidRPr="00991516">
              <w:rPr>
                <w:color w:val="000000"/>
                <w:sz w:val="20"/>
                <w:szCs w:val="20"/>
                <w:lang w:eastAsia="en-US"/>
              </w:rPr>
              <w:t>ют. Поэтому компаниям, торгующим в рассрочку, пр</w:t>
            </w:r>
            <w:r w:rsidRPr="00991516">
              <w:rPr>
                <w:color w:val="000000"/>
                <w:sz w:val="20"/>
                <w:szCs w:val="20"/>
                <w:lang w:eastAsia="en-US"/>
              </w:rPr>
              <w:t>и</w:t>
            </w:r>
            <w:r w:rsidRPr="00991516">
              <w:rPr>
                <w:color w:val="000000"/>
                <w:sz w:val="20"/>
                <w:szCs w:val="20"/>
                <w:lang w:eastAsia="en-US"/>
              </w:rPr>
              <w:t>дется сделать корректировки при трансформации ф</w:t>
            </w:r>
            <w:r w:rsidRPr="00991516">
              <w:rPr>
                <w:color w:val="000000"/>
                <w:sz w:val="20"/>
                <w:szCs w:val="20"/>
                <w:lang w:eastAsia="en-US"/>
              </w:rPr>
              <w:t>и</w:t>
            </w:r>
            <w:r w:rsidRPr="00991516">
              <w:rPr>
                <w:color w:val="000000"/>
                <w:sz w:val="20"/>
                <w:szCs w:val="20"/>
                <w:lang w:eastAsia="en-US"/>
              </w:rPr>
              <w:t>нансовой отчетности в соответствии</w:t>
            </w:r>
            <w:r>
              <w:rPr>
                <w:color w:val="000000"/>
                <w:sz w:val="20"/>
                <w:szCs w:val="20"/>
                <w:lang w:eastAsia="en-US"/>
              </w:rPr>
              <w:t xml:space="preserve"> с международными стандартами</w:t>
            </w:r>
          </w:p>
          <w:p w:rsidR="008873AC" w:rsidRPr="000543FB" w:rsidRDefault="008873AC" w:rsidP="00991516">
            <w:pPr>
              <w:pStyle w:val="style68"/>
              <w:spacing w:after="0"/>
              <w:rPr>
                <w:color w:val="000000"/>
                <w:sz w:val="20"/>
                <w:szCs w:val="20"/>
                <w:lang w:eastAsia="en-US"/>
              </w:rPr>
            </w:pPr>
          </w:p>
          <w:p w:rsidR="008873AC" w:rsidRPr="000543FB" w:rsidRDefault="008873AC" w:rsidP="00991516">
            <w:pPr>
              <w:pStyle w:val="style68"/>
              <w:spacing w:after="0"/>
              <w:rPr>
                <w:color w:val="000000"/>
                <w:sz w:val="20"/>
                <w:szCs w:val="20"/>
                <w:lang w:eastAsia="en-US"/>
              </w:rPr>
            </w:pP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contextualSpacing/>
              <w:rPr>
                <w:rFonts w:eastAsia="Times New Roman" w:cs="Times New Roman"/>
                <w:sz w:val="20"/>
                <w:szCs w:val="20"/>
                <w:lang w:eastAsia="en-US"/>
              </w:rPr>
            </w:pPr>
            <w:r w:rsidRPr="00991516">
              <w:rPr>
                <w:rFonts w:eastAsia="Times New Roman" w:cs="Times New Roman"/>
                <w:iCs/>
                <w:sz w:val="20"/>
                <w:szCs w:val="20"/>
                <w:lang w:eastAsia="en-US"/>
              </w:rPr>
              <w:t>Ключевые слова:</w:t>
            </w:r>
            <w:r w:rsidRPr="00991516">
              <w:rPr>
                <w:rFonts w:eastAsia="Times New Roman" w:cs="Times New Roman"/>
                <w:sz w:val="20"/>
                <w:szCs w:val="20"/>
                <w:lang w:eastAsia="en-US"/>
              </w:rPr>
              <w:t xml:space="preserve"> ВЫРУЧКА, МЕЖДУНАРОДНЫЕ СТАНДАРТЫ, ПРИЗНАНИЕ, ОЦЕНКА, ФИНАНС</w:t>
            </w:r>
            <w:r w:rsidRPr="00991516">
              <w:rPr>
                <w:rFonts w:eastAsia="Times New Roman" w:cs="Times New Roman"/>
                <w:sz w:val="20"/>
                <w:szCs w:val="20"/>
                <w:lang w:eastAsia="en-US"/>
              </w:rPr>
              <w:t>О</w:t>
            </w:r>
            <w:r w:rsidRPr="00991516">
              <w:rPr>
                <w:rFonts w:eastAsia="Times New Roman" w:cs="Times New Roman"/>
                <w:sz w:val="20"/>
                <w:szCs w:val="20"/>
                <w:lang w:eastAsia="en-US"/>
              </w:rPr>
              <w:t>ВАЯ ОТЧЕТНОСТЬ</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contextualSpacing/>
              <w:rPr>
                <w:rFonts w:eastAsia="Times New Roman" w:cs="Times New Roman"/>
                <w:bCs/>
                <w:sz w:val="20"/>
                <w:szCs w:val="20"/>
                <w:lang w:eastAsia="en-US"/>
              </w:rPr>
            </w:pPr>
          </w:p>
          <w:p w:rsidR="008873AC" w:rsidRPr="002C53E9" w:rsidRDefault="008873AC" w:rsidP="00991516">
            <w:pPr>
              <w:pBdr>
                <w:top w:val="none" w:sz="0" w:space="0" w:color="auto"/>
                <w:left w:val="none" w:sz="0" w:space="0" w:color="auto"/>
                <w:bottom w:val="none" w:sz="0" w:space="0" w:color="auto"/>
                <w:right w:val="none" w:sz="0" w:space="0" w:color="auto"/>
                <w:bar w:val="none" w:sz="0" w:color="auto"/>
              </w:pBdr>
              <w:contextualSpacing/>
              <w:rPr>
                <w:rFonts w:ascii="Arial" w:hAnsi="Arial" w:cs="Arial"/>
                <w:b/>
                <w:sz w:val="20"/>
                <w:szCs w:val="20"/>
                <w:lang w:eastAsia="en-US"/>
              </w:rPr>
            </w:pPr>
            <w:r w:rsidRPr="00991516">
              <w:rPr>
                <w:rFonts w:ascii="Arial" w:eastAsia="Times New Roman" w:hAnsi="Arial" w:cs="Arial"/>
                <w:b/>
                <w:bCs/>
                <w:sz w:val="20"/>
                <w:szCs w:val="20"/>
                <w:lang w:val="en-US" w:eastAsia="en-US"/>
              </w:rPr>
              <w:t xml:space="preserve">Doi: </w:t>
            </w:r>
            <w:r w:rsidRPr="00991516">
              <w:rPr>
                <w:rFonts w:ascii="Arial" w:hAnsi="Arial" w:cs="Arial"/>
                <w:b/>
                <w:sz w:val="20"/>
                <w:szCs w:val="20"/>
                <w:lang w:eastAsia="en-US"/>
              </w:rPr>
              <w:t>10.21515/1990-4665-125-046</w:t>
            </w:r>
          </w:p>
        </w:tc>
        <w:tc>
          <w:tcPr>
            <w:tcW w:w="2341" w:type="pct"/>
          </w:tcPr>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UDC 657.3</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 xml:space="preserve">Economic sciences </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p>
          <w:p w:rsidR="008873AC" w:rsidRPr="00991516" w:rsidRDefault="008873AC" w:rsidP="00991516">
            <w:pPr>
              <w:pStyle w:val="Default"/>
              <w:pBdr>
                <w:top w:val="none" w:sz="0" w:space="0" w:color="auto"/>
                <w:left w:val="none" w:sz="0" w:space="0" w:color="auto"/>
                <w:bottom w:val="none" w:sz="0" w:space="0" w:color="auto"/>
                <w:right w:val="none" w:sz="0" w:space="0" w:color="auto"/>
                <w:bar w:val="none" w:sz="0" w:color="auto"/>
              </w:pBdr>
              <w:rPr>
                <w:rFonts w:ascii="Times New Roman" w:eastAsia="Times New Roman" w:hAnsi="Times New Roman" w:cs="Times New Roman"/>
                <w:b/>
                <w:bCs/>
                <w:sz w:val="20"/>
                <w:szCs w:val="20"/>
                <w:shd w:val="clear" w:color="auto" w:fill="FFFFFF"/>
                <w:lang w:eastAsia="en-US"/>
              </w:rPr>
            </w:pPr>
            <w:r w:rsidRPr="00991516">
              <w:rPr>
                <w:rFonts w:ascii="Times New Roman" w:eastAsia="Times New Roman" w:hAnsi="Times New Roman" w:cs="Times New Roman"/>
                <w:b/>
                <w:bCs/>
                <w:sz w:val="20"/>
                <w:szCs w:val="20"/>
                <w:shd w:val="clear" w:color="auto" w:fill="FFFFFF"/>
                <w:lang w:eastAsia="en-US"/>
              </w:rPr>
              <w:t>ASSESSMENT OF REVENUE AS A COMP</w:t>
            </w:r>
            <w:r w:rsidRPr="00991516">
              <w:rPr>
                <w:rFonts w:ascii="Times New Roman" w:eastAsia="Times New Roman" w:hAnsi="Times New Roman" w:cs="Times New Roman"/>
                <w:b/>
                <w:bCs/>
                <w:sz w:val="20"/>
                <w:szCs w:val="20"/>
                <w:shd w:val="clear" w:color="auto" w:fill="FFFFFF"/>
                <w:lang w:eastAsia="en-US"/>
              </w:rPr>
              <w:t>O</w:t>
            </w:r>
            <w:r w:rsidRPr="00991516">
              <w:rPr>
                <w:rFonts w:ascii="Times New Roman" w:eastAsia="Times New Roman" w:hAnsi="Times New Roman" w:cs="Times New Roman"/>
                <w:b/>
                <w:bCs/>
                <w:sz w:val="20"/>
                <w:szCs w:val="20"/>
                <w:shd w:val="clear" w:color="auto" w:fill="FFFFFF"/>
                <w:lang w:eastAsia="en-US"/>
              </w:rPr>
              <w:t>NENT OF ACCOUNTING FINANCIAL STATEMENTS IN ACCORDANCE WITH I</w:t>
            </w:r>
            <w:r w:rsidRPr="00991516">
              <w:rPr>
                <w:rFonts w:ascii="Times New Roman" w:eastAsia="Times New Roman" w:hAnsi="Times New Roman" w:cs="Times New Roman"/>
                <w:b/>
                <w:bCs/>
                <w:sz w:val="20"/>
                <w:szCs w:val="20"/>
                <w:shd w:val="clear" w:color="auto" w:fill="FFFFFF"/>
                <w:lang w:eastAsia="en-US"/>
              </w:rPr>
              <w:t>N</w:t>
            </w:r>
            <w:r w:rsidRPr="00991516">
              <w:rPr>
                <w:rFonts w:ascii="Times New Roman" w:eastAsia="Times New Roman" w:hAnsi="Times New Roman" w:cs="Times New Roman"/>
                <w:b/>
                <w:bCs/>
                <w:sz w:val="20"/>
                <w:szCs w:val="20"/>
                <w:shd w:val="clear" w:color="auto" w:fill="FFFFFF"/>
                <w:lang w:eastAsia="en-US"/>
              </w:rPr>
              <w:t xml:space="preserve">TERNATIONAL FINANCIAL REPORTING STANDARDS   </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contextualSpacing/>
              <w:rPr>
                <w:rFonts w:eastAsia="Times New Roman" w:cs="Times New Roman"/>
                <w:b/>
                <w:sz w:val="20"/>
                <w:szCs w:val="20"/>
                <w:lang w:val="en-US" w:eastAsia="en-US"/>
              </w:rPr>
            </w:pP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Eremina Natalya Vladimirovna</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 xml:space="preserve">Senior lecturer of chair of the theory of accounting      </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RINTs SPIN code = 9608-1285</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Author ID RINTS = 670335</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i/>
                <w:sz w:val="20"/>
                <w:szCs w:val="20"/>
                <w:lang w:val="en-US" w:eastAsia="en-US"/>
              </w:rPr>
            </w:pP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 xml:space="preserve">Kesyan Svetlana Vagramovna </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Associate professor, Candidate of Economic Sc</w:t>
            </w:r>
            <w:r w:rsidRPr="00991516">
              <w:rPr>
                <w:rFonts w:eastAsia="Times New Roman" w:cs="Times New Roman"/>
                <w:bCs/>
                <w:sz w:val="20"/>
                <w:szCs w:val="20"/>
                <w:lang w:val="en-US" w:eastAsia="en-US"/>
              </w:rPr>
              <w:t>i</w:t>
            </w:r>
            <w:r w:rsidRPr="00991516">
              <w:rPr>
                <w:rFonts w:eastAsia="Times New Roman" w:cs="Times New Roman"/>
                <w:bCs/>
                <w:sz w:val="20"/>
                <w:szCs w:val="20"/>
                <w:lang w:val="en-US" w:eastAsia="en-US"/>
              </w:rPr>
              <w:t>ences of department of financial accounting</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RINTs SPIN code = 5670-0596</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sz w:val="20"/>
                <w:szCs w:val="20"/>
                <w:lang w:val="en-US" w:eastAsia="en-US"/>
              </w:rPr>
            </w:pPr>
            <w:r w:rsidRPr="00991516">
              <w:rPr>
                <w:rFonts w:eastAsia="Times New Roman" w:cs="Times New Roman"/>
                <w:bCs/>
                <w:sz w:val="20"/>
                <w:szCs w:val="20"/>
                <w:lang w:val="en-US" w:eastAsia="en-US"/>
              </w:rPr>
              <w:t>Author ID RINTS = 670709</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i/>
                <w:sz w:val="20"/>
                <w:szCs w:val="20"/>
                <w:lang w:val="en-US" w:eastAsia="en-US"/>
              </w:rPr>
            </w:pPr>
            <w:r w:rsidRPr="00991516">
              <w:rPr>
                <w:rFonts w:eastAsia="Times New Roman" w:cs="Times New Roman"/>
                <w:bCs/>
                <w:i/>
                <w:sz w:val="20"/>
                <w:szCs w:val="20"/>
                <w:lang w:val="en-US" w:eastAsia="en-US"/>
              </w:rPr>
              <w:t>Kuban state agricultural university name</w:t>
            </w:r>
            <w:r>
              <w:rPr>
                <w:rFonts w:eastAsia="Times New Roman" w:cs="Times New Roman"/>
                <w:bCs/>
                <w:i/>
                <w:sz w:val="20"/>
                <w:szCs w:val="20"/>
                <w:lang w:eastAsia="en-US"/>
              </w:rPr>
              <w:t>в</w:t>
            </w:r>
            <w:r w:rsidRPr="00211CC8">
              <w:rPr>
                <w:rFonts w:eastAsia="Times New Roman" w:cs="Times New Roman"/>
                <w:bCs/>
                <w:i/>
                <w:sz w:val="20"/>
                <w:szCs w:val="20"/>
                <w:lang w:val="en-US" w:eastAsia="en-US"/>
              </w:rPr>
              <w:t xml:space="preserve"> </w:t>
            </w:r>
            <w:r>
              <w:rPr>
                <w:rFonts w:eastAsia="Times New Roman" w:cs="Times New Roman"/>
                <w:bCs/>
                <w:i/>
                <w:sz w:val="20"/>
                <w:szCs w:val="20"/>
                <w:lang w:val="en-US" w:eastAsia="en-US"/>
              </w:rPr>
              <w:t>after</w:t>
            </w:r>
            <w:r w:rsidRPr="00991516">
              <w:rPr>
                <w:rFonts w:eastAsia="Times New Roman" w:cs="Times New Roman"/>
                <w:bCs/>
                <w:i/>
                <w:sz w:val="20"/>
                <w:szCs w:val="20"/>
                <w:lang w:val="en-US" w:eastAsia="en-US"/>
              </w:rPr>
              <w:t xml:space="preserve"> I. T. Trub</w:t>
            </w:r>
            <w:r w:rsidRPr="00991516">
              <w:rPr>
                <w:rFonts w:eastAsia="Times New Roman" w:cs="Times New Roman"/>
                <w:bCs/>
                <w:i/>
                <w:sz w:val="20"/>
                <w:szCs w:val="20"/>
                <w:lang w:val="en-US" w:eastAsia="en-US"/>
              </w:rPr>
              <w:t>i</w:t>
            </w:r>
            <w:r w:rsidRPr="00991516">
              <w:rPr>
                <w:rFonts w:eastAsia="Times New Roman" w:cs="Times New Roman"/>
                <w:bCs/>
                <w:i/>
                <w:sz w:val="20"/>
                <w:szCs w:val="20"/>
                <w:lang w:val="en-US" w:eastAsia="en-US"/>
              </w:rPr>
              <w:t xml:space="preserve">lin, Krasnodar, </w:t>
            </w:r>
            <w:smartTag w:uri="urn:schemas-microsoft-com:office:smarttags" w:element="country-region">
              <w:smartTag w:uri="urn:schemas-microsoft-com:office:smarttags" w:element="place">
                <w:r w:rsidRPr="00991516">
                  <w:rPr>
                    <w:rFonts w:eastAsia="Times New Roman" w:cs="Times New Roman"/>
                    <w:bCs/>
                    <w:i/>
                    <w:sz w:val="20"/>
                    <w:szCs w:val="20"/>
                    <w:lang w:val="en-US" w:eastAsia="en-US"/>
                  </w:rPr>
                  <w:t>Russia</w:t>
                </w:r>
              </w:smartTag>
            </w:smartTag>
            <w:r w:rsidRPr="00991516">
              <w:rPr>
                <w:rFonts w:eastAsia="Times New Roman" w:cs="Times New Roman"/>
                <w:bCs/>
                <w:i/>
                <w:sz w:val="20"/>
                <w:szCs w:val="20"/>
                <w:lang w:val="en-US" w:eastAsia="en-US"/>
              </w:rPr>
              <w:t xml:space="preserve"> </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i/>
                <w:sz w:val="20"/>
                <w:szCs w:val="20"/>
                <w:lang w:val="en-US" w:eastAsia="en-US"/>
              </w:rPr>
            </w:pPr>
          </w:p>
          <w:p w:rsidR="008873AC" w:rsidRPr="002C53E9" w:rsidRDefault="008873AC" w:rsidP="00991516">
            <w:pPr>
              <w:pBdr>
                <w:top w:val="none" w:sz="0" w:space="0" w:color="auto"/>
                <w:left w:val="none" w:sz="0" w:space="0" w:color="auto"/>
                <w:bottom w:val="none" w:sz="0" w:space="0" w:color="auto"/>
                <w:right w:val="none" w:sz="0" w:space="0" w:color="auto"/>
                <w:bar w:val="none" w:sz="0" w:color="auto"/>
              </w:pBdr>
              <w:contextualSpacing/>
              <w:rPr>
                <w:rFonts w:eastAsia="Times New Roman" w:cs="Times New Roman"/>
                <w:sz w:val="20"/>
                <w:szCs w:val="20"/>
                <w:lang w:val="en-US" w:eastAsia="en-US"/>
              </w:rPr>
            </w:pPr>
            <w:r w:rsidRPr="00991516">
              <w:rPr>
                <w:rFonts w:eastAsia="Times New Roman" w:cs="Times New Roman"/>
                <w:sz w:val="20"/>
                <w:szCs w:val="20"/>
                <w:lang w:val="en-US" w:eastAsia="en-US"/>
              </w:rPr>
              <w:t>International standards of the reporting establish di</w:t>
            </w:r>
            <w:r w:rsidRPr="00991516">
              <w:rPr>
                <w:rFonts w:eastAsia="Times New Roman" w:cs="Times New Roman"/>
                <w:sz w:val="20"/>
                <w:szCs w:val="20"/>
                <w:lang w:val="en-US" w:eastAsia="en-US"/>
              </w:rPr>
              <w:t>s</w:t>
            </w:r>
            <w:r w:rsidRPr="00991516">
              <w:rPr>
                <w:rFonts w:eastAsia="Times New Roman" w:cs="Times New Roman"/>
                <w:sz w:val="20"/>
                <w:szCs w:val="20"/>
                <w:lang w:val="en-US" w:eastAsia="en-US"/>
              </w:rPr>
              <w:t>tinction between concepts of revenue and the income in general. So, according to the Concept of Council for IFRS, the income is the growth of economic benefits during the accounting period in the form of inflow or enhancement of assets or decrease in l</w:t>
            </w:r>
            <w:r w:rsidRPr="00991516">
              <w:rPr>
                <w:rFonts w:eastAsia="Times New Roman" w:cs="Times New Roman"/>
                <w:sz w:val="20"/>
                <w:szCs w:val="20"/>
                <w:lang w:val="en-US" w:eastAsia="en-US"/>
              </w:rPr>
              <w:t>i</w:t>
            </w:r>
            <w:r w:rsidRPr="00991516">
              <w:rPr>
                <w:rFonts w:eastAsia="Times New Roman" w:cs="Times New Roman"/>
                <w:sz w:val="20"/>
                <w:szCs w:val="20"/>
                <w:lang w:val="en-US" w:eastAsia="en-US"/>
              </w:rPr>
              <w:t>abilities which lead to increase in equity, and the last isn't connected with deposits of participants in e</w:t>
            </w:r>
            <w:r w:rsidRPr="00991516">
              <w:rPr>
                <w:rFonts w:eastAsia="Times New Roman" w:cs="Times New Roman"/>
                <w:sz w:val="20"/>
                <w:szCs w:val="20"/>
                <w:lang w:val="en-US" w:eastAsia="en-US"/>
              </w:rPr>
              <w:t>q</w:t>
            </w:r>
            <w:r w:rsidRPr="00991516">
              <w:rPr>
                <w:rFonts w:eastAsia="Times New Roman" w:cs="Times New Roman"/>
                <w:sz w:val="20"/>
                <w:szCs w:val="20"/>
                <w:lang w:val="en-US" w:eastAsia="en-US"/>
              </w:rPr>
              <w:t>uity. In the document it is also specified that this determination of the income concerns both "rev</w:t>
            </w:r>
            <w:r w:rsidRPr="00991516">
              <w:rPr>
                <w:rFonts w:eastAsia="Times New Roman" w:cs="Times New Roman"/>
                <w:sz w:val="20"/>
                <w:szCs w:val="20"/>
                <w:lang w:val="en-US" w:eastAsia="en-US"/>
              </w:rPr>
              <w:t>e</w:t>
            </w:r>
            <w:r w:rsidRPr="00991516">
              <w:rPr>
                <w:rFonts w:eastAsia="Times New Roman" w:cs="Times New Roman"/>
                <w:sz w:val="20"/>
                <w:szCs w:val="20"/>
                <w:lang w:val="en-US" w:eastAsia="en-US"/>
              </w:rPr>
              <w:t>nue", and "other incomes". The first arises during regular economic activity of the entity and can i</w:t>
            </w:r>
            <w:r w:rsidRPr="00991516">
              <w:rPr>
                <w:rFonts w:eastAsia="Times New Roman" w:cs="Times New Roman"/>
                <w:sz w:val="20"/>
                <w:szCs w:val="20"/>
                <w:lang w:val="en-US" w:eastAsia="en-US"/>
              </w:rPr>
              <w:t>n</w:t>
            </w:r>
            <w:r w:rsidRPr="00991516">
              <w:rPr>
                <w:rFonts w:eastAsia="Times New Roman" w:cs="Times New Roman"/>
                <w:sz w:val="20"/>
                <w:szCs w:val="20"/>
                <w:lang w:val="en-US" w:eastAsia="en-US"/>
              </w:rPr>
              <w:t>clude: proceeds from sales of goods, works, services; remuneration; percent; dividends;   royalty; rent.   Other incomes represent other articles corresponding to determination of the income and can appear during regular economic activity of the organization. Within IFRS such receipts are a result of other transactions which don't generate revenue, but are auxiliary in relation to the main, profitable, activities. In the r</w:t>
            </w:r>
            <w:r w:rsidRPr="00991516">
              <w:rPr>
                <w:rFonts w:eastAsia="Times New Roman" w:cs="Times New Roman"/>
                <w:sz w:val="20"/>
                <w:szCs w:val="20"/>
                <w:lang w:val="en-US" w:eastAsia="en-US"/>
              </w:rPr>
              <w:t>e</w:t>
            </w:r>
            <w:r w:rsidRPr="00991516">
              <w:rPr>
                <w:rFonts w:eastAsia="Times New Roman" w:cs="Times New Roman"/>
                <w:sz w:val="20"/>
                <w:szCs w:val="20"/>
                <w:lang w:val="en-US" w:eastAsia="en-US"/>
              </w:rPr>
              <w:t>porting the difference between the income and e</w:t>
            </w:r>
            <w:r w:rsidRPr="00991516">
              <w:rPr>
                <w:rFonts w:eastAsia="Times New Roman" w:cs="Times New Roman"/>
                <w:sz w:val="20"/>
                <w:szCs w:val="20"/>
                <w:lang w:val="en-US" w:eastAsia="en-US"/>
              </w:rPr>
              <w:t>x</w:t>
            </w:r>
            <w:r w:rsidRPr="00991516">
              <w:rPr>
                <w:rFonts w:eastAsia="Times New Roman" w:cs="Times New Roman"/>
                <w:sz w:val="20"/>
                <w:szCs w:val="20"/>
                <w:lang w:val="en-US" w:eastAsia="en-US"/>
              </w:rPr>
              <w:t>penses according to such transactions is specified.   For example, in case of disposal of non-current a</w:t>
            </w:r>
            <w:r w:rsidRPr="00991516">
              <w:rPr>
                <w:rFonts w:eastAsia="Times New Roman" w:cs="Times New Roman"/>
                <w:sz w:val="20"/>
                <w:szCs w:val="20"/>
                <w:lang w:val="en-US" w:eastAsia="en-US"/>
              </w:rPr>
              <w:t>s</w:t>
            </w:r>
            <w:r w:rsidRPr="00991516">
              <w:rPr>
                <w:rFonts w:eastAsia="Times New Roman" w:cs="Times New Roman"/>
                <w:sz w:val="20"/>
                <w:szCs w:val="20"/>
                <w:lang w:val="en-US" w:eastAsia="en-US"/>
              </w:rPr>
              <w:t>sets, including investments and operational assets, the amount of receipts from this transaction less the corresponding</w:t>
            </w:r>
            <w:r>
              <w:rPr>
                <w:rFonts w:eastAsia="Times New Roman" w:cs="Times New Roman"/>
                <w:sz w:val="20"/>
                <w:szCs w:val="20"/>
                <w:lang w:val="en-US" w:eastAsia="en-US"/>
              </w:rPr>
              <w:t xml:space="preserve"> costs for sale is reflected. </w:t>
            </w:r>
            <w:r w:rsidRPr="00991516">
              <w:rPr>
                <w:rFonts w:eastAsia="Times New Roman" w:cs="Times New Roman"/>
                <w:sz w:val="20"/>
                <w:szCs w:val="20"/>
                <w:lang w:val="en-US" w:eastAsia="en-US"/>
              </w:rPr>
              <w:t>According to IFRS the amount of revenue is estimated at fair value compensation which the firm received or only expects to receive. At the same time the amounts of the trade and wholesale discounts provided</w:t>
            </w:r>
            <w:r>
              <w:rPr>
                <w:rFonts w:eastAsia="Times New Roman" w:cs="Times New Roman"/>
                <w:sz w:val="20"/>
                <w:szCs w:val="20"/>
                <w:lang w:val="en-US" w:eastAsia="en-US"/>
              </w:rPr>
              <w:t xml:space="preserve"> by the entity are considered.</w:t>
            </w:r>
            <w:r w:rsidRPr="00991516">
              <w:rPr>
                <w:rFonts w:eastAsia="Times New Roman" w:cs="Times New Roman"/>
                <w:sz w:val="20"/>
                <w:szCs w:val="20"/>
                <w:lang w:val="en-US" w:eastAsia="en-US"/>
              </w:rPr>
              <w:t xml:space="preserve"> Let's note that the Russian principles of accounting don't allow discounting. Therefore the companies trading by installments should make adjustments in case of transformation of the financial reporting accor</w:t>
            </w:r>
            <w:r>
              <w:rPr>
                <w:rFonts w:eastAsia="Times New Roman" w:cs="Times New Roman"/>
                <w:sz w:val="20"/>
                <w:szCs w:val="20"/>
                <w:lang w:val="en-US" w:eastAsia="en-US"/>
              </w:rPr>
              <w:t>ding to international standards</w:t>
            </w:r>
          </w:p>
          <w:p w:rsidR="008873AC" w:rsidRPr="00991516" w:rsidRDefault="008873AC" w:rsidP="00991516">
            <w:pPr>
              <w:pBdr>
                <w:top w:val="none" w:sz="0" w:space="0" w:color="auto"/>
                <w:left w:val="none" w:sz="0" w:space="0" w:color="auto"/>
                <w:bottom w:val="none" w:sz="0" w:space="0" w:color="auto"/>
                <w:right w:val="none" w:sz="0" w:space="0" w:color="auto"/>
                <w:bar w:val="none" w:sz="0" w:color="auto"/>
              </w:pBdr>
              <w:rPr>
                <w:rFonts w:eastAsia="Times New Roman" w:cs="Times New Roman"/>
                <w:bCs/>
                <w:i/>
                <w:sz w:val="20"/>
                <w:szCs w:val="20"/>
                <w:lang w:val="en-US" w:eastAsia="en-US"/>
              </w:rPr>
            </w:pPr>
          </w:p>
          <w:p w:rsidR="008873AC" w:rsidRPr="002C53E9" w:rsidRDefault="008873AC" w:rsidP="00991516">
            <w:pPr>
              <w:pBdr>
                <w:top w:val="none" w:sz="0" w:space="0" w:color="auto"/>
                <w:left w:val="none" w:sz="0" w:space="0" w:color="auto"/>
                <w:bottom w:val="none" w:sz="0" w:space="0" w:color="auto"/>
                <w:right w:val="none" w:sz="0" w:space="0" w:color="auto"/>
                <w:bar w:val="none" w:sz="0" w:color="auto"/>
              </w:pBdr>
              <w:contextualSpacing/>
              <w:rPr>
                <w:rFonts w:eastAsia="Times New Roman" w:cs="Times New Roman"/>
                <w:bCs/>
                <w:sz w:val="20"/>
                <w:szCs w:val="20"/>
                <w:lang w:val="en-US" w:eastAsia="en-US"/>
              </w:rPr>
            </w:pPr>
            <w:r w:rsidRPr="00991516">
              <w:rPr>
                <w:rFonts w:eastAsia="Times New Roman" w:cs="Times New Roman"/>
                <w:sz w:val="20"/>
                <w:szCs w:val="20"/>
                <w:lang w:val="en-US" w:eastAsia="en-US"/>
              </w:rPr>
              <w:t>Keywords</w:t>
            </w:r>
            <w:r w:rsidRPr="002C53E9">
              <w:rPr>
                <w:rFonts w:eastAsia="Times New Roman" w:cs="Times New Roman"/>
                <w:sz w:val="20"/>
                <w:szCs w:val="20"/>
                <w:lang w:val="en-US" w:eastAsia="en-US"/>
              </w:rPr>
              <w:t>:</w:t>
            </w:r>
            <w:r w:rsidRPr="00991516">
              <w:rPr>
                <w:rFonts w:eastAsia="Times New Roman" w:cs="Times New Roman"/>
                <w:sz w:val="20"/>
                <w:szCs w:val="20"/>
                <w:lang w:val="en-US" w:eastAsia="en-US"/>
              </w:rPr>
              <w:t xml:space="preserve"> REVENUE, INTERNATIONAL STANDARDS, RECOGNITION, ASSESSMENT, FINANCIAL REPORTING</w:t>
            </w:r>
          </w:p>
        </w:tc>
      </w:tr>
    </w:tbl>
    <w:p w:rsidR="008873AC" w:rsidRPr="007758FE" w:rsidRDefault="008873AC">
      <w:pPr>
        <w:pStyle w:val="Default"/>
        <w:pBdr>
          <w:top w:val="none" w:sz="0" w:space="0" w:color="auto"/>
          <w:left w:val="none" w:sz="0" w:space="0" w:color="auto"/>
          <w:bottom w:val="none" w:sz="0" w:space="0" w:color="auto"/>
          <w:right w:val="none" w:sz="0" w:space="0" w:color="auto"/>
          <w:bar w:val="none" w:sz="0" w:color="auto"/>
        </w:pBdr>
        <w:jc w:val="center"/>
        <w:rPr>
          <w:rFonts w:ascii="Times New Roman" w:hAnsi="Times New Roman"/>
          <w:b/>
          <w:bCs/>
          <w:sz w:val="28"/>
          <w:szCs w:val="28"/>
          <w:shd w:val="clear" w:color="auto" w:fill="FFFFFF"/>
        </w:rPr>
      </w:pPr>
    </w:p>
    <w:p w:rsidR="008873AC" w:rsidRPr="004D22D8" w:rsidRDefault="008873AC">
      <w:pPr>
        <w:pStyle w:val="Default"/>
        <w:pBdr>
          <w:top w:val="none" w:sz="0" w:space="0" w:color="auto"/>
          <w:left w:val="none" w:sz="0" w:space="0" w:color="auto"/>
          <w:bottom w:val="none" w:sz="0" w:space="0" w:color="auto"/>
          <w:right w:val="none" w:sz="0" w:space="0" w:color="auto"/>
          <w:bar w:val="none" w:sz="0" w:color="auto"/>
        </w:pBdr>
        <w:jc w:val="center"/>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Assessment of revenue as a component of accounting</w:t>
      </w:r>
      <w:r>
        <w:rPr>
          <w:rFonts w:ascii="Times New Roman" w:hAnsi="Times New Roman"/>
          <w:b/>
          <w:bCs/>
          <w:sz w:val="28"/>
          <w:szCs w:val="28"/>
          <w:shd w:val="clear" w:color="auto" w:fill="FFFFFF"/>
        </w:rPr>
        <w:t xml:space="preserve"> </w:t>
      </w:r>
      <w:r w:rsidRPr="004D22D8">
        <w:rPr>
          <w:rFonts w:ascii="Times New Roman" w:hAnsi="Times New Roman"/>
          <w:b/>
          <w:bCs/>
          <w:sz w:val="28"/>
          <w:szCs w:val="28"/>
          <w:shd w:val="clear" w:color="auto" w:fill="FFFFFF"/>
        </w:rPr>
        <w:t>financial statements in accordance with international financial reporting standards</w:t>
      </w:r>
    </w:p>
    <w:p w:rsidR="008873AC" w:rsidRPr="004D22D8" w:rsidRDefault="008873AC">
      <w:pPr>
        <w:pStyle w:val="Default"/>
        <w:pBdr>
          <w:top w:val="none" w:sz="0" w:space="0" w:color="auto"/>
          <w:left w:val="none" w:sz="0" w:space="0" w:color="auto"/>
          <w:bottom w:val="none" w:sz="0" w:space="0" w:color="auto"/>
          <w:right w:val="none" w:sz="0" w:space="0" w:color="auto"/>
          <w:bar w:val="none" w:sz="0" w:color="auto"/>
        </w:pBdr>
        <w:rPr>
          <w:rFonts w:ascii="Times New Roman" w:hAnsi="Times New Roman" w:cs="Times New Roman"/>
          <w:sz w:val="24"/>
          <w:szCs w:val="24"/>
          <w:shd w:val="clear" w:color="auto" w:fill="FFFFFF"/>
        </w:rPr>
      </w:pP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Preparation of financial statements in accordance with today’s international standards is relevant and useful trend. Accordingly, the process of rapprochement of the Russian system of accounting and international accounting standards require the transformation of the individual articles of the reporting, inter alia, review methods and methods for assessing the elements of financial statements in acco</w:t>
      </w:r>
      <w:r w:rsidRPr="004D22D8">
        <w:rPr>
          <w:rFonts w:ascii="Times New Roman" w:hAnsi="Times New Roman"/>
          <w:sz w:val="28"/>
          <w:szCs w:val="28"/>
          <w:shd w:val="clear" w:color="auto" w:fill="FFFFFF"/>
        </w:rPr>
        <w:t>r</w:t>
      </w:r>
      <w:r w:rsidRPr="004D22D8">
        <w:rPr>
          <w:rFonts w:ascii="Times New Roman" w:hAnsi="Times New Roman"/>
          <w:sz w:val="28"/>
          <w:szCs w:val="28"/>
          <w:shd w:val="clear" w:color="auto" w:fill="FFFFFF"/>
        </w:rPr>
        <w:t>dance with IFRS.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For the practical implementation of key aspects of IFRS in the Russian o</w:t>
      </w:r>
      <w:r w:rsidRPr="004D22D8">
        <w:rPr>
          <w:rFonts w:ascii="Times New Roman" w:hAnsi="Times New Roman"/>
          <w:sz w:val="28"/>
          <w:szCs w:val="28"/>
          <w:shd w:val="clear" w:color="auto" w:fill="FFFFFF"/>
        </w:rPr>
        <w:t>r</w:t>
      </w:r>
      <w:r w:rsidRPr="004D22D8">
        <w:rPr>
          <w:rFonts w:ascii="Times New Roman" w:hAnsi="Times New Roman"/>
          <w:sz w:val="28"/>
          <w:szCs w:val="28"/>
          <w:shd w:val="clear" w:color="auto" w:fill="FFFFFF"/>
        </w:rPr>
        <w:t>ganizations the first thing that is needed to pay attention is the involvement of e</w:t>
      </w:r>
      <w:r w:rsidRPr="004D22D8">
        <w:rPr>
          <w:rFonts w:ascii="Times New Roman" w:hAnsi="Times New Roman"/>
          <w:sz w:val="28"/>
          <w:szCs w:val="28"/>
          <w:shd w:val="clear" w:color="auto" w:fill="FFFFFF"/>
        </w:rPr>
        <w:t>x</w:t>
      </w:r>
      <w:r w:rsidRPr="004D22D8">
        <w:rPr>
          <w:rFonts w:ascii="Times New Roman" w:hAnsi="Times New Roman"/>
          <w:sz w:val="28"/>
          <w:szCs w:val="28"/>
          <w:shd w:val="clear" w:color="auto" w:fill="FFFFFF"/>
        </w:rPr>
        <w:t>perts who can make the transformation of the Russian financial reporting stat</w:t>
      </w:r>
      <w:r w:rsidRPr="004D22D8">
        <w:rPr>
          <w:rFonts w:ascii="Times New Roman" w:hAnsi="Times New Roman"/>
          <w:sz w:val="28"/>
          <w:szCs w:val="28"/>
          <w:shd w:val="clear" w:color="auto" w:fill="FFFFFF"/>
        </w:rPr>
        <w:t>e</w:t>
      </w:r>
      <w:r w:rsidRPr="004D22D8">
        <w:rPr>
          <w:rFonts w:ascii="Times New Roman" w:hAnsi="Times New Roman"/>
          <w:sz w:val="28"/>
          <w:szCs w:val="28"/>
          <w:shd w:val="clear" w:color="auto" w:fill="FFFFFF"/>
        </w:rPr>
        <w:t>ments in accordance with IFRS.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Organizations engaged in the preparation of financial statements in acco</w:t>
      </w:r>
      <w:r w:rsidRPr="004D22D8">
        <w:rPr>
          <w:rFonts w:ascii="Times New Roman" w:hAnsi="Times New Roman"/>
          <w:sz w:val="28"/>
          <w:szCs w:val="28"/>
          <w:shd w:val="clear" w:color="auto" w:fill="FFFFFF"/>
        </w:rPr>
        <w:t>r</w:t>
      </w:r>
      <w:r w:rsidRPr="004D22D8">
        <w:rPr>
          <w:rFonts w:ascii="Times New Roman" w:hAnsi="Times New Roman"/>
          <w:sz w:val="28"/>
          <w:szCs w:val="28"/>
          <w:shd w:val="clear" w:color="auto" w:fill="FFFFFF"/>
        </w:rPr>
        <w:t>dance with IFRS, can choose one of the following options: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Maintaining parallel accounting in accordance with IFRS with Russian a</w:t>
      </w:r>
      <w:r w:rsidRPr="004D22D8">
        <w:rPr>
          <w:rFonts w:ascii="Times New Roman" w:hAnsi="Times New Roman"/>
          <w:sz w:val="28"/>
          <w:szCs w:val="28"/>
          <w:shd w:val="clear" w:color="auto" w:fill="FFFFFF"/>
        </w:rPr>
        <w:t>c</w:t>
      </w:r>
      <w:r w:rsidRPr="004D22D8">
        <w:rPr>
          <w:rFonts w:ascii="Times New Roman" w:hAnsi="Times New Roman"/>
          <w:sz w:val="28"/>
          <w:szCs w:val="28"/>
          <w:shd w:val="clear" w:color="auto" w:fill="FFFFFF"/>
        </w:rPr>
        <w:t>counting;</w:t>
      </w:r>
    </w:p>
    <w:p w:rsidR="008873AC" w:rsidRPr="001F1A8E"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Transformation of Russian accounting statements to IFRS reporting sta</w:t>
      </w:r>
      <w:r w:rsidRPr="004D22D8">
        <w:rPr>
          <w:rFonts w:ascii="Times New Roman" w:hAnsi="Times New Roman"/>
          <w:sz w:val="28"/>
          <w:szCs w:val="28"/>
          <w:shd w:val="clear" w:color="auto" w:fill="FFFFFF"/>
        </w:rPr>
        <w:t>n</w:t>
      </w:r>
      <w:r w:rsidRPr="004D22D8">
        <w:rPr>
          <w:rFonts w:ascii="Times New Roman" w:hAnsi="Times New Roman"/>
          <w:sz w:val="28"/>
          <w:szCs w:val="28"/>
          <w:shd w:val="clear" w:color="auto" w:fill="FFFFFF"/>
        </w:rPr>
        <w:t>dards</w:t>
      </w:r>
      <w:r w:rsidRPr="001F1A8E">
        <w:rPr>
          <w:rFonts w:ascii="Times New Roman" w:hAnsi="Times New Roman"/>
          <w:sz w:val="28"/>
          <w:szCs w:val="28"/>
          <w:shd w:val="clear" w:color="auto" w:fill="FFFFFF"/>
        </w:rPr>
        <w: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Imagine particular assess the entity's revenue in accordance with IFRS - in our opinion, it is very important for each organization</w:t>
      </w:r>
      <w:r w:rsidRPr="007758F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[1]</w:t>
      </w:r>
      <w:r w:rsidRPr="004D22D8">
        <w:rPr>
          <w:rFonts w:ascii="Times New Roman" w:hAnsi="Times New Roman"/>
          <w:sz w:val="28"/>
          <w:szCs w:val="28"/>
          <w:shd w:val="clear" w:color="auto" w:fill="FFFFFF"/>
        </w:rPr>
        <w: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assessing the financial condition of the company's revenue, in add</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tion to net income is the most important item of financial statements. Inve</w:t>
      </w:r>
      <w:r w:rsidRPr="004D22D8">
        <w:rPr>
          <w:rFonts w:ascii="Times New Roman" w:hAnsi="Times New Roman"/>
          <w:sz w:val="28"/>
          <w:szCs w:val="28"/>
          <w:shd w:val="clear" w:color="auto" w:fill="FFFFFF"/>
        </w:rPr>
        <w:t>s</w:t>
      </w:r>
      <w:r w:rsidRPr="004D22D8">
        <w:rPr>
          <w:rFonts w:ascii="Times New Roman" w:hAnsi="Times New Roman"/>
          <w:sz w:val="28"/>
          <w:szCs w:val="28"/>
          <w:shd w:val="clear" w:color="auto" w:fill="FFFFFF"/>
        </w:rPr>
        <w:t>tors and other users of financial statements in the analysis of the financial condition of the organization in the first place assess the magnitude and composition of revenue recognized in the current reporting period, including in comparison with the prev</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ous reporting period, as well as with the proceeds of other comparable organiz</w:t>
      </w:r>
      <w:r w:rsidRPr="004D22D8">
        <w:rPr>
          <w:rFonts w:ascii="Times New Roman" w:hAnsi="Times New Roman"/>
          <w:sz w:val="28"/>
          <w:szCs w:val="28"/>
          <w:shd w:val="clear" w:color="auto" w:fill="FFFFFF"/>
        </w:rPr>
        <w:t>a</w:t>
      </w:r>
      <w:r w:rsidRPr="004D22D8">
        <w:rPr>
          <w:rFonts w:ascii="Times New Roman" w:hAnsi="Times New Roman"/>
          <w:sz w:val="28"/>
          <w:szCs w:val="28"/>
          <w:shd w:val="clear" w:color="auto" w:fill="FFFFFF"/>
        </w:rPr>
        <w:t>tions.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Thus, in accordance with IFRS the amount of revenue is measured at the fair value of the consideration received or receivable, less the amount of any trade di</w:t>
      </w:r>
      <w:r w:rsidRPr="004D22D8">
        <w:rPr>
          <w:rFonts w:ascii="Times New Roman" w:hAnsi="Times New Roman"/>
          <w:sz w:val="28"/>
          <w:szCs w:val="28"/>
          <w:shd w:val="clear" w:color="auto" w:fill="FFFFFF"/>
        </w:rPr>
        <w:t>s</w:t>
      </w:r>
      <w:r w:rsidRPr="004D22D8">
        <w:rPr>
          <w:rFonts w:ascii="Times New Roman" w:hAnsi="Times New Roman"/>
          <w:sz w:val="28"/>
          <w:szCs w:val="28"/>
          <w:shd w:val="clear" w:color="auto" w:fill="FFFFFF"/>
        </w:rPr>
        <w:t>counts and volume rebates, provided by the organization</w:t>
      </w:r>
      <w:r>
        <w:rPr>
          <w:rFonts w:ascii="Times New Roman" w:hAnsi="Times New Roman"/>
          <w:sz w:val="28"/>
          <w:szCs w:val="28"/>
          <w:shd w:val="clear" w:color="auto" w:fill="FFFFFF"/>
        </w:rPr>
        <w:t xml:space="preserve"> [2</w:t>
      </w:r>
      <w:r w:rsidRPr="007758FE">
        <w:rPr>
          <w:rFonts w:ascii="Times New Roman" w:hAnsi="Times New Roman"/>
          <w:sz w:val="28"/>
          <w:szCs w:val="28"/>
          <w:shd w:val="clear" w:color="auto" w:fill="FFFFFF"/>
        </w:rPr>
        <w:t>,</w:t>
      </w:r>
      <w:r w:rsidRPr="00734D9C">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3]</w:t>
      </w:r>
      <w:r w:rsidRPr="004D22D8">
        <w:rPr>
          <w:rFonts w:ascii="Times New Roman" w:hAnsi="Times New Roman"/>
          <w:sz w:val="28"/>
          <w:szCs w:val="28"/>
          <w:shd w:val="clear" w:color="auto" w:fill="FFFFFF"/>
        </w:rPr>
        <w: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amount of revenue arising from the transaction is usually determined by the organization on the basis of its agreement with the buyer or user of the asset.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most cases, compensation is provided in the form of cash or cash equiv</w:t>
      </w:r>
      <w:r w:rsidRPr="004D22D8">
        <w:rPr>
          <w:rFonts w:ascii="Times New Roman" w:hAnsi="Times New Roman"/>
          <w:sz w:val="28"/>
          <w:szCs w:val="28"/>
          <w:shd w:val="clear" w:color="auto" w:fill="FFFFFF"/>
        </w:rPr>
        <w:t>a</w:t>
      </w:r>
      <w:r w:rsidRPr="004D22D8">
        <w:rPr>
          <w:rFonts w:ascii="Times New Roman" w:hAnsi="Times New Roman"/>
          <w:sz w:val="28"/>
          <w:szCs w:val="28"/>
          <w:shd w:val="clear" w:color="auto" w:fill="FFFFFF"/>
        </w:rPr>
        <w:t>lents.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If an inflow of cash or cash equivalents is deferred, the fair value of the co</w:t>
      </w:r>
      <w:r w:rsidRPr="004D22D8">
        <w:rPr>
          <w:rFonts w:ascii="Times New Roman" w:hAnsi="Times New Roman"/>
          <w:sz w:val="28"/>
          <w:szCs w:val="28"/>
          <w:shd w:val="clear" w:color="auto" w:fill="FFFFFF"/>
        </w:rPr>
        <w:t>n</w:t>
      </w:r>
      <w:r w:rsidRPr="004D22D8">
        <w:rPr>
          <w:rFonts w:ascii="Times New Roman" w:hAnsi="Times New Roman"/>
          <w:sz w:val="28"/>
          <w:szCs w:val="28"/>
          <w:shd w:val="clear" w:color="auto" w:fill="FFFFFF"/>
        </w:rPr>
        <w:t>sideration may be less than the received or receivable nominal amount of cash.</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Example 1.</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January 1, 2016 the organization A sells its manufactured equipment with deferred payment for 2 years. Buyer shall issue a promissory note with the oblig</w:t>
      </w:r>
      <w:r w:rsidRPr="004D22D8">
        <w:rPr>
          <w:rFonts w:ascii="Times New Roman" w:hAnsi="Times New Roman"/>
          <w:sz w:val="28"/>
          <w:szCs w:val="28"/>
          <w:shd w:val="clear" w:color="auto" w:fill="FFFFFF"/>
        </w:rPr>
        <w:t>a</w:t>
      </w:r>
      <w:r w:rsidRPr="004D22D8">
        <w:rPr>
          <w:rFonts w:ascii="Times New Roman" w:hAnsi="Times New Roman"/>
          <w:sz w:val="28"/>
          <w:szCs w:val="28"/>
          <w:shd w:val="clear" w:color="auto" w:fill="FFFFFF"/>
        </w:rPr>
        <w:t>tion to transfer 250,000 rubles organization on December 31, 2017</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This contract combines two transactions: the sale and financing.</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fair value of the consideration is determined by discounting all future r</w:t>
      </w:r>
      <w:r w:rsidRPr="004D22D8">
        <w:rPr>
          <w:rFonts w:ascii="Times New Roman" w:hAnsi="Times New Roman"/>
          <w:sz w:val="28"/>
          <w:szCs w:val="28"/>
          <w:shd w:val="clear" w:color="auto" w:fill="FFFFFF"/>
        </w:rPr>
        <w:t>e</w:t>
      </w:r>
      <w:r w:rsidRPr="004D22D8">
        <w:rPr>
          <w:rFonts w:ascii="Times New Roman" w:hAnsi="Times New Roman"/>
          <w:sz w:val="28"/>
          <w:szCs w:val="28"/>
          <w:shd w:val="clear" w:color="auto" w:fill="FFFFFF"/>
        </w:rPr>
        <w:t>ceipts.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difference between the fair value and the nominal amount of the consi</w:t>
      </w:r>
      <w:r w:rsidRPr="004D22D8">
        <w:rPr>
          <w:rFonts w:ascii="Times New Roman" w:hAnsi="Times New Roman"/>
          <w:sz w:val="28"/>
          <w:szCs w:val="28"/>
          <w:shd w:val="clear" w:color="auto" w:fill="FFFFFF"/>
        </w:rPr>
        <w:t>d</w:t>
      </w:r>
      <w:r w:rsidRPr="004D22D8">
        <w:rPr>
          <w:rFonts w:ascii="Times New Roman" w:hAnsi="Times New Roman"/>
          <w:sz w:val="28"/>
          <w:szCs w:val="28"/>
          <w:shd w:val="clear" w:color="auto" w:fill="FFFFFF"/>
        </w:rPr>
        <w:t>eration is recognized as interest income over the term of the contract.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At the time of the transaction notional interest rate is assumed to be 10%.</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Then it is necessary to calculate the present value of the promissory notes as of January 1, 2016 which is the fair value at the time of revenue recogn</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tion:</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center"/>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250 000 * (1/1,1)</w:t>
      </w:r>
      <w:r w:rsidRPr="004D22D8">
        <w:rPr>
          <w:rFonts w:ascii="Times New Roman" w:hAnsi="Times New Roman"/>
          <w:sz w:val="28"/>
          <w:szCs w:val="28"/>
          <w:shd w:val="clear" w:color="auto" w:fill="FFFFFF"/>
          <w:vertAlign w:val="superscript"/>
        </w:rPr>
        <w:t>2</w:t>
      </w:r>
      <w:r w:rsidRPr="004D22D8">
        <w:rPr>
          <w:rFonts w:ascii="Times New Roman" w:hAnsi="Times New Roman"/>
          <w:sz w:val="28"/>
          <w:szCs w:val="28"/>
          <w:shd w:val="clear" w:color="auto" w:fill="FFFFFF"/>
        </w:rPr>
        <w:t xml:space="preserve"> = 206 611 rub</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January 1, 2016:</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Recognition of revenue reflected the following entry:</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Debit indebtedness on the bill 206 611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Credit revenues 206 611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Income on the bill for the year ended December 31, 2016:</w:t>
      </w:r>
    </w:p>
    <w:p w:rsidR="008873AC" w:rsidRPr="004D22D8" w:rsidRDefault="008873AC" w:rsidP="001F1A8E">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firstLine="720"/>
        <w:jc w:val="both"/>
        <w:rPr>
          <w:rFonts w:eastAsia="Times New Roman" w:cs="Times New Roman"/>
          <w:sz w:val="28"/>
          <w:szCs w:val="28"/>
          <w:lang w:val="en-US"/>
        </w:rPr>
      </w:pPr>
      <w:r w:rsidRPr="004D22D8">
        <w:rPr>
          <w:sz w:val="28"/>
          <w:szCs w:val="28"/>
          <w:lang w:val="en-US"/>
        </w:rPr>
        <w:t>206 611 * 10 % = 20 661 rub</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Excerpt from the statement of financial position at December 31, 2016:</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F</w:t>
      </w:r>
      <w:r w:rsidRPr="004D22D8">
        <w:rPr>
          <w:rFonts w:ascii="Times New Roman" w:hAnsi="Times New Roman"/>
          <w:sz w:val="28"/>
          <w:szCs w:val="28"/>
          <w:shd w:val="clear" w:color="auto" w:fill="FFFFFF"/>
          <w:lang w:val="pt-PT"/>
        </w:rPr>
        <w:t>inancial assets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Debt on bills 227 272 rubles. (206 611 + 20 661).</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Excerpt from the statement of income for the year ended December 31, 2016:</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lang w:val="it-IT"/>
        </w:rPr>
        <w:t>Revenue 206 611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Income on the bill 20 661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Income on the bill for the year ended December 31, 2017:</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227 272 * 10% = 22 727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Excerpt from the statement of financial position on December 31, 2017:</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F</w:t>
      </w:r>
      <w:r w:rsidRPr="004D22D8">
        <w:rPr>
          <w:rFonts w:ascii="Times New Roman" w:hAnsi="Times New Roman"/>
          <w:sz w:val="28"/>
          <w:szCs w:val="28"/>
          <w:shd w:val="clear" w:color="auto" w:fill="FFFFFF"/>
          <w:lang w:val="pt-PT"/>
        </w:rPr>
        <w:t>inancial assets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Debt on bills 249 990 rubles. (227 272 + 22 727).</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Excerpt from the statement of income for the year ended December 31, 2017:</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Income on the bill 22 727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Sharing the same nature and value of goods or services is not regarded as a transaction which creates revenue. It often happens with these types of pro</w:t>
      </w:r>
      <w:r w:rsidRPr="004D22D8">
        <w:rPr>
          <w:rFonts w:ascii="Times New Roman" w:hAnsi="Times New Roman"/>
          <w:sz w:val="28"/>
          <w:szCs w:val="28"/>
          <w:shd w:val="clear" w:color="auto" w:fill="FFFFFF"/>
        </w:rPr>
        <w:t>d</w:t>
      </w:r>
      <w:r w:rsidRPr="004D22D8">
        <w:rPr>
          <w:rFonts w:ascii="Times New Roman" w:hAnsi="Times New Roman"/>
          <w:sz w:val="28"/>
          <w:szCs w:val="28"/>
          <w:shd w:val="clear" w:color="auto" w:fill="FFFFFF"/>
        </w:rPr>
        <w:t>ucts, such as milk or oil reserves are exchanged when suppliers in different loc</w:t>
      </w:r>
      <w:r w:rsidRPr="004D22D8">
        <w:rPr>
          <w:rFonts w:ascii="Times New Roman" w:hAnsi="Times New Roman"/>
          <w:sz w:val="28"/>
          <w:szCs w:val="28"/>
          <w:shd w:val="clear" w:color="auto" w:fill="FFFFFF"/>
        </w:rPr>
        <w:t>a</w:t>
      </w:r>
      <w:r w:rsidRPr="004D22D8">
        <w:rPr>
          <w:rFonts w:ascii="Times New Roman" w:hAnsi="Times New Roman"/>
          <w:sz w:val="28"/>
          <w:szCs w:val="28"/>
          <w:shd w:val="clear" w:color="auto" w:fill="FFFFFF"/>
        </w:rPr>
        <w:t>tions meet the demand on a temporary basis in a particular place (for exa</w:t>
      </w:r>
      <w:r w:rsidRPr="004D22D8">
        <w:rPr>
          <w:rFonts w:ascii="Times New Roman" w:hAnsi="Times New Roman"/>
          <w:sz w:val="28"/>
          <w:szCs w:val="28"/>
          <w:shd w:val="clear" w:color="auto" w:fill="FFFFFF"/>
        </w:rPr>
        <w:t>m</w:t>
      </w:r>
      <w:r w:rsidRPr="004D22D8">
        <w:rPr>
          <w:rFonts w:ascii="Times New Roman" w:hAnsi="Times New Roman"/>
          <w:sz w:val="28"/>
          <w:szCs w:val="28"/>
          <w:shd w:val="clear" w:color="auto" w:fill="FFFFFF"/>
        </w:rPr>
        <w:t>ple, to expand the range).</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For example, store exchanges a batch of Italian wine on the same batch of Spanish wine in a nearby store. If it is a fair exchange, we can conclude that the p</w:t>
      </w:r>
      <w:r w:rsidRPr="004D22D8">
        <w:rPr>
          <w:rFonts w:ascii="Times New Roman" w:hAnsi="Times New Roman"/>
          <w:sz w:val="28"/>
          <w:szCs w:val="28"/>
          <w:shd w:val="clear" w:color="auto" w:fill="FFFFFF"/>
        </w:rPr>
        <w:t>o</w:t>
      </w:r>
      <w:r w:rsidRPr="004D22D8">
        <w:rPr>
          <w:rFonts w:ascii="Times New Roman" w:hAnsi="Times New Roman"/>
          <w:sz w:val="28"/>
          <w:szCs w:val="28"/>
          <w:shd w:val="clear" w:color="auto" w:fill="FFFFFF"/>
        </w:rPr>
        <w:t>sition of the store after the exchange is no different from the original: it still bears the risks associated with ownership of the goods, and its benefits are expected to come, when the batch of wine will be sold to the buyer. The operating cycle is not over, as there was no sale, and therefore, revenue in this case, cannot be recognized</w:t>
      </w:r>
      <w:r w:rsidRPr="007758F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[4</w:t>
      </w:r>
      <w:r w:rsidRPr="007758FE">
        <w:rPr>
          <w:rFonts w:ascii="Times New Roman" w:hAnsi="Times New Roman"/>
          <w:sz w:val="28"/>
          <w:szCs w:val="28"/>
          <w:shd w:val="clear" w:color="auto" w:fill="FFFFFF"/>
        </w:rPr>
        <w:t>,</w:t>
      </w:r>
      <w:r>
        <w:rPr>
          <w:rFonts w:ascii="Times New Roman" w:hAnsi="Times New Roman"/>
          <w:sz w:val="28"/>
          <w:szCs w:val="28"/>
          <w:shd w:val="clear" w:color="auto" w:fill="FFFFFF"/>
        </w:rPr>
        <w:t>5]</w:t>
      </w:r>
      <w:r w:rsidRPr="004D22D8">
        <w:rPr>
          <w:rFonts w:ascii="Times New Roman" w:hAnsi="Times New Roman"/>
          <w:sz w:val="28"/>
          <w:szCs w:val="28"/>
          <w:shd w:val="clear" w:color="auto" w:fill="FFFFFF"/>
        </w:rPr>
        <w: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Sharing the same dissimilar goods or services is regarded as a transaction which generates revenue.</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this case, the revenue is measured either:</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fair value of goods or services received, adjusted by the amount of cash or cash equivalents;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fair value of the goods or services, adjusted by the amount of cash or cash equivalents transferred.</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Revenues and expenses relating to the same transaction or an event are re</w:t>
      </w:r>
      <w:r w:rsidRPr="004D22D8">
        <w:rPr>
          <w:rFonts w:ascii="Times New Roman" w:hAnsi="Times New Roman"/>
          <w:sz w:val="28"/>
          <w:szCs w:val="28"/>
          <w:shd w:val="clear" w:color="auto" w:fill="FFFFFF"/>
        </w:rPr>
        <w:t>c</w:t>
      </w:r>
      <w:r w:rsidRPr="004D22D8">
        <w:rPr>
          <w:rFonts w:ascii="Times New Roman" w:hAnsi="Times New Roman"/>
          <w:sz w:val="28"/>
          <w:szCs w:val="28"/>
          <w:shd w:val="clear" w:color="auto" w:fill="FFFFFF"/>
        </w:rPr>
        <w:t>ognized simultaneously: this process is called the correlation of income and expe</w:t>
      </w:r>
      <w:r w:rsidRPr="004D22D8">
        <w:rPr>
          <w:rFonts w:ascii="Times New Roman" w:hAnsi="Times New Roman"/>
          <w:sz w:val="28"/>
          <w:szCs w:val="28"/>
          <w:shd w:val="clear" w:color="auto" w:fill="FFFFFF"/>
        </w:rPr>
        <w:t>n</w:t>
      </w:r>
      <w:r w:rsidRPr="004D22D8">
        <w:rPr>
          <w:rFonts w:ascii="Times New Roman" w:hAnsi="Times New Roman"/>
          <w:sz w:val="28"/>
          <w:szCs w:val="28"/>
          <w:shd w:val="clear" w:color="auto" w:fill="FFFFFF"/>
        </w:rPr>
        <w:t>diture and corresponds to an accrual basis, the applicable IFRS for the re</w:t>
      </w:r>
      <w:r w:rsidRPr="004D22D8">
        <w:rPr>
          <w:rFonts w:ascii="Times New Roman" w:hAnsi="Times New Roman"/>
          <w:sz w:val="28"/>
          <w:szCs w:val="28"/>
          <w:shd w:val="clear" w:color="auto" w:fill="FFFFFF"/>
        </w:rPr>
        <w:t>c</w:t>
      </w:r>
      <w:r w:rsidRPr="004D22D8">
        <w:rPr>
          <w:rFonts w:ascii="Times New Roman" w:hAnsi="Times New Roman"/>
          <w:sz w:val="28"/>
          <w:szCs w:val="28"/>
          <w:shd w:val="clear" w:color="auto" w:fill="FFFFFF"/>
        </w:rPr>
        <w:t>ognition of income and expenses</w:t>
      </w:r>
      <w:r w:rsidRPr="007758F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[6]</w:t>
      </w:r>
      <w:r w:rsidRPr="004D22D8">
        <w:rPr>
          <w:rFonts w:ascii="Times New Roman" w:hAnsi="Times New Roman"/>
          <w:sz w:val="28"/>
          <w:szCs w:val="28"/>
          <w:shd w:val="clear" w:color="auto" w:fill="FFFFFF"/>
        </w:rPr>
        <w: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Costs and expenses incurred after the shipment of the goods can normally be measured reliably when the other conditions required the recognition of revenue. However, revenue cannot be recognized if the costs cannot be estimated reliably: in such circumstances, any goods already received for the sale are recognized as r</w:t>
      </w:r>
      <w:r w:rsidRPr="004D22D8">
        <w:rPr>
          <w:rFonts w:ascii="Times New Roman" w:hAnsi="Times New Roman"/>
          <w:sz w:val="28"/>
          <w:szCs w:val="28"/>
          <w:shd w:val="clear" w:color="auto" w:fill="FFFFFF"/>
        </w:rPr>
        <w:t>e</w:t>
      </w:r>
      <w:r w:rsidRPr="004D22D8">
        <w:rPr>
          <w:rFonts w:ascii="Times New Roman" w:hAnsi="Times New Roman"/>
          <w:sz w:val="28"/>
          <w:szCs w:val="28"/>
          <w:shd w:val="clear" w:color="auto" w:fill="FFFFFF"/>
        </w:rPr>
        <w:t>muneration obligations.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 xml:space="preserve">Determination of the moment of transfer by the seller to the buyer </w:t>
      </w:r>
      <w:r>
        <w:rPr>
          <w:rFonts w:ascii="Times New Roman" w:hAnsi="Times New Roman"/>
          <w:sz w:val="28"/>
          <w:szCs w:val="28"/>
          <w:shd w:val="clear" w:color="auto" w:fill="FFFFFF"/>
        </w:rPr>
        <w:t xml:space="preserve">has </w:t>
      </w:r>
      <w:r w:rsidRPr="004D22D8">
        <w:rPr>
          <w:rFonts w:ascii="Times New Roman" w:hAnsi="Times New Roman"/>
          <w:sz w:val="28"/>
          <w:szCs w:val="28"/>
          <w:shd w:val="clear" w:color="auto" w:fill="FFFFFF"/>
        </w:rPr>
        <w:t>significant risks and rewards of ownership, the transaction requires the study cond</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tions. In most cases, the transfer of risks and benefits of ownership c</w:t>
      </w:r>
      <w:r w:rsidRPr="004D22D8">
        <w:rPr>
          <w:rFonts w:ascii="Times New Roman" w:hAnsi="Times New Roman"/>
          <w:sz w:val="28"/>
          <w:szCs w:val="28"/>
          <w:shd w:val="clear" w:color="auto" w:fill="FFFFFF"/>
        </w:rPr>
        <w:t>o</w:t>
      </w:r>
      <w:r w:rsidRPr="004D22D8">
        <w:rPr>
          <w:rFonts w:ascii="Times New Roman" w:hAnsi="Times New Roman"/>
          <w:sz w:val="28"/>
          <w:szCs w:val="28"/>
          <w:shd w:val="clear" w:color="auto" w:fill="FFFFFF"/>
        </w:rPr>
        <w:t>incides with the transfer to the buyer of legal property rights.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some cases, an organization may retain a significant risk of ownership, even when transferring legal ownership. This may occur in the following cases: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cs="Times New Roman"/>
          <w:sz w:val="28"/>
          <w:szCs w:val="28"/>
          <w:shd w:val="clear" w:color="auto" w:fill="FFFFFF"/>
        </w:rPr>
        <w:t>-T</w:t>
      </w:r>
      <w:r w:rsidRPr="004D22D8">
        <w:rPr>
          <w:rFonts w:ascii="Times New Roman" w:hAnsi="Times New Roman"/>
          <w:sz w:val="28"/>
          <w:szCs w:val="28"/>
          <w:shd w:val="clear" w:color="auto" w:fill="FFFFFF"/>
        </w:rPr>
        <w:t>he seller retains the responsibility for the unsatisfactory functioning of the goods, not covered by the standard warranty;</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cs="Times New Roman"/>
          <w:sz w:val="28"/>
          <w:szCs w:val="28"/>
          <w:shd w:val="clear" w:color="auto" w:fill="FFFFFF"/>
        </w:rPr>
        <w:t xml:space="preserve">- </w:t>
      </w:r>
      <w:r w:rsidRPr="004D22D8">
        <w:rPr>
          <w:rFonts w:ascii="Times New Roman" w:hAnsi="Times New Roman"/>
          <w:sz w:val="28"/>
          <w:szCs w:val="28"/>
          <w:shd w:val="clear" w:color="auto" w:fill="FFFFFF"/>
        </w:rPr>
        <w:t>Receipt of revenue by the seller depends on the receipt of revenue by the buyer from the sale of its products;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cs="Times New Roman"/>
          <w:sz w:val="28"/>
          <w:szCs w:val="28"/>
          <w:shd w:val="clear" w:color="auto" w:fill="FFFFFF"/>
        </w:rPr>
        <w:t xml:space="preserve">- </w:t>
      </w:r>
      <w:r w:rsidRPr="004D22D8">
        <w:rPr>
          <w:rFonts w:ascii="Times New Roman" w:hAnsi="Times New Roman"/>
          <w:sz w:val="28"/>
          <w:szCs w:val="28"/>
          <w:shd w:val="clear" w:color="auto" w:fill="FFFFFF"/>
        </w:rPr>
        <w:t>Sent goods are subject to installation and the installation is a significant part of the contract which has not yet been made by the organization;</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cs="Times New Roman"/>
          <w:sz w:val="28"/>
          <w:szCs w:val="28"/>
          <w:shd w:val="clear" w:color="auto" w:fill="FFFFFF"/>
        </w:rPr>
        <w:t xml:space="preserve">- </w:t>
      </w:r>
      <w:r w:rsidRPr="004D22D8">
        <w:rPr>
          <w:rFonts w:ascii="Times New Roman" w:hAnsi="Times New Roman"/>
          <w:sz w:val="28"/>
          <w:szCs w:val="28"/>
          <w:shd w:val="clear" w:color="auto" w:fill="FFFFFF"/>
        </w:rPr>
        <w:t>The buyer is entitled to terminate the sales transaction for a reason spec</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fied in the sales contract, and the organization has no confidence in obtaining i</w:t>
      </w:r>
      <w:r w:rsidRPr="004D22D8">
        <w:rPr>
          <w:rFonts w:ascii="Times New Roman" w:hAnsi="Times New Roman"/>
          <w:sz w:val="28"/>
          <w:szCs w:val="28"/>
          <w:shd w:val="clear" w:color="auto" w:fill="FFFFFF"/>
        </w:rPr>
        <w:t>n</w:t>
      </w:r>
      <w:r w:rsidRPr="004D22D8">
        <w:rPr>
          <w:rFonts w:ascii="Times New Roman" w:hAnsi="Times New Roman"/>
          <w:sz w:val="28"/>
          <w:szCs w:val="28"/>
          <w:shd w:val="clear" w:color="auto" w:fill="FFFFFF"/>
        </w:rPr>
        <w:t>come.</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such cases, the transaction is not a sale, and revenue is not reco</w:t>
      </w:r>
      <w:r w:rsidRPr="004D22D8">
        <w:rPr>
          <w:rFonts w:ascii="Times New Roman" w:hAnsi="Times New Roman"/>
          <w:sz w:val="28"/>
          <w:szCs w:val="28"/>
          <w:shd w:val="clear" w:color="auto" w:fill="FFFFFF"/>
        </w:rPr>
        <w:t>g</w:t>
      </w:r>
      <w:r w:rsidRPr="004D22D8">
        <w:rPr>
          <w:rFonts w:ascii="Times New Roman" w:hAnsi="Times New Roman"/>
          <w:sz w:val="28"/>
          <w:szCs w:val="28"/>
          <w:shd w:val="clear" w:color="auto" w:fill="FFFFFF"/>
        </w:rPr>
        <w:t>nized. But if the organization retains only an insignificant risk of owne</w:t>
      </w:r>
      <w:r w:rsidRPr="004D22D8">
        <w:rPr>
          <w:rFonts w:ascii="Times New Roman" w:hAnsi="Times New Roman"/>
          <w:sz w:val="28"/>
          <w:szCs w:val="28"/>
          <w:shd w:val="clear" w:color="auto" w:fill="FFFFFF"/>
        </w:rPr>
        <w:t>r</w:t>
      </w:r>
      <w:r w:rsidRPr="004D22D8">
        <w:rPr>
          <w:rFonts w:ascii="Times New Roman" w:hAnsi="Times New Roman"/>
          <w:sz w:val="28"/>
          <w:szCs w:val="28"/>
          <w:shd w:val="clear" w:color="auto" w:fill="FFFFFF"/>
        </w:rPr>
        <w:t>ship, the transaction is a sale, and revenue is recognized</w:t>
      </w:r>
      <w:r>
        <w:rPr>
          <w:rFonts w:ascii="Times New Roman" w:hAnsi="Times New Roman"/>
          <w:sz w:val="28"/>
          <w:szCs w:val="28"/>
          <w:shd w:val="clear" w:color="auto" w:fill="FFFFFF"/>
        </w:rPr>
        <w:t xml:space="preserve"> [7]</w:t>
      </w:r>
      <w:r w:rsidRPr="004D22D8">
        <w:rPr>
          <w:rFonts w:ascii="Times New Roman" w:hAnsi="Times New Roman"/>
          <w:sz w:val="28"/>
          <w:szCs w:val="28"/>
          <w:shd w:val="clear" w:color="auto" w:fill="FFFFFF"/>
        </w:rPr>
        <w: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Example 2.</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Organization A has sold the equipment on credit to Organization B on the following conditions: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 An advance payment of 70</w:t>
      </w:r>
      <w:r w:rsidRPr="00734D9C">
        <w:rPr>
          <w:rFonts w:ascii="Times New Roman" w:hAnsi="Times New Roman"/>
          <w:sz w:val="28"/>
          <w:szCs w:val="28"/>
          <w:shd w:val="clear" w:color="auto" w:fill="FFFFFF"/>
        </w:rPr>
        <w:t xml:space="preserve"> </w:t>
      </w:r>
      <w:r w:rsidRPr="004D22D8">
        <w:rPr>
          <w:rFonts w:ascii="Times New Roman" w:hAnsi="Times New Roman"/>
          <w:sz w:val="28"/>
          <w:szCs w:val="28"/>
          <w:shd w:val="clear" w:color="auto" w:fill="FFFFFF"/>
        </w:rPr>
        <w: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 Ownership will pass to the buyer after full payment of the remuneration.</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question arises: when an organization A (the seller) should reco</w:t>
      </w:r>
      <w:r w:rsidRPr="004D22D8">
        <w:rPr>
          <w:rFonts w:ascii="Times New Roman" w:hAnsi="Times New Roman"/>
          <w:sz w:val="28"/>
          <w:szCs w:val="28"/>
          <w:shd w:val="clear" w:color="auto" w:fill="FFFFFF"/>
        </w:rPr>
        <w:t>g</w:t>
      </w:r>
      <w:r w:rsidRPr="004D22D8">
        <w:rPr>
          <w:rFonts w:ascii="Times New Roman" w:hAnsi="Times New Roman"/>
          <w:sz w:val="28"/>
          <w:szCs w:val="28"/>
          <w:shd w:val="clear" w:color="auto" w:fill="FFFFFF"/>
        </w:rPr>
        <w:t>nize revenue?</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this case, the seller has reserved the legal right to the property in order to ensure receipt of the sum due to his action. In this case, if the entity has transferred the significant risks and rewards of ownership, the transaction is a sale, and revenue is recognized.</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Example 3.</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cs="Times New Roman"/>
          <w:sz w:val="28"/>
          <w:szCs w:val="28"/>
          <w:shd w:val="clear" w:color="auto" w:fill="FFFFFF"/>
        </w:rPr>
        <w:t>R</w:t>
      </w:r>
      <w:r w:rsidRPr="004D22D8">
        <w:rPr>
          <w:rFonts w:ascii="Times New Roman" w:hAnsi="Times New Roman"/>
          <w:sz w:val="28"/>
          <w:szCs w:val="28"/>
          <w:shd w:val="clear" w:color="auto" w:fill="FFFFFF"/>
        </w:rPr>
        <w:t>etail shop guarantees a refund if the customer is not satisfied with the pu</w:t>
      </w:r>
      <w:r w:rsidRPr="004D22D8">
        <w:rPr>
          <w:rFonts w:ascii="Times New Roman" w:hAnsi="Times New Roman"/>
          <w:sz w:val="28"/>
          <w:szCs w:val="28"/>
          <w:shd w:val="clear" w:color="auto" w:fill="FFFFFF"/>
        </w:rPr>
        <w:t>r</w:t>
      </w:r>
      <w:r w:rsidRPr="004D22D8">
        <w:rPr>
          <w:rFonts w:ascii="Times New Roman" w:hAnsi="Times New Roman"/>
          <w:sz w:val="28"/>
          <w:szCs w:val="28"/>
          <w:shd w:val="clear" w:color="auto" w:fill="FFFFFF"/>
        </w:rPr>
        <w:t>chase. How to determine the time of revenue recognition?</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such case, revenue is recognized at the time of the sale transaction, if the seller can reliably estimate future returns and assumes the obligation to return, based on previous experience and other relevant factors.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Example 4.</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organization sells the goods out of the country, but the company has  no confidence that a foreign government will allow transfer of an amount received in the sale of compensation abroad. How to determine the time of revenue recogn</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tion?</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When permission is received, the uncertainty is removed and rev</w:t>
      </w:r>
      <w:r w:rsidRPr="004D22D8">
        <w:rPr>
          <w:rFonts w:ascii="Times New Roman" w:hAnsi="Times New Roman"/>
          <w:sz w:val="28"/>
          <w:szCs w:val="28"/>
          <w:shd w:val="clear" w:color="auto" w:fill="FFFFFF"/>
        </w:rPr>
        <w:t>e</w:t>
      </w:r>
      <w:r w:rsidRPr="004D22D8">
        <w:rPr>
          <w:rFonts w:ascii="Times New Roman" w:hAnsi="Times New Roman"/>
          <w:sz w:val="28"/>
          <w:szCs w:val="28"/>
          <w:shd w:val="clear" w:color="auto" w:fill="FFFFFF"/>
        </w:rPr>
        <w:t>nue can be recognized.</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But if there is uncertainty with respect to receipt of an amount already i</w:t>
      </w:r>
      <w:r w:rsidRPr="004D22D8">
        <w:rPr>
          <w:rFonts w:ascii="Times New Roman" w:hAnsi="Times New Roman"/>
          <w:sz w:val="28"/>
          <w:szCs w:val="28"/>
          <w:shd w:val="clear" w:color="auto" w:fill="FFFFFF"/>
        </w:rPr>
        <w:t>n</w:t>
      </w:r>
      <w:r w:rsidRPr="004D22D8">
        <w:rPr>
          <w:rFonts w:ascii="Times New Roman" w:hAnsi="Times New Roman"/>
          <w:sz w:val="28"/>
          <w:szCs w:val="28"/>
          <w:shd w:val="clear" w:color="auto" w:fill="FFFFFF"/>
        </w:rPr>
        <w:t>cluded in revenue, the uncollectible amount, or the amount, the probability of ge</w:t>
      </w:r>
      <w:r w:rsidRPr="004D22D8">
        <w:rPr>
          <w:rFonts w:ascii="Times New Roman" w:hAnsi="Times New Roman"/>
          <w:sz w:val="28"/>
          <w:szCs w:val="28"/>
          <w:shd w:val="clear" w:color="auto" w:fill="FFFFFF"/>
        </w:rPr>
        <w:t>t</w:t>
      </w:r>
      <w:r w:rsidRPr="004D22D8">
        <w:rPr>
          <w:rFonts w:ascii="Times New Roman" w:hAnsi="Times New Roman"/>
          <w:sz w:val="28"/>
          <w:szCs w:val="28"/>
          <w:shd w:val="clear" w:color="auto" w:fill="FFFFFF"/>
        </w:rPr>
        <w:t>ting a zero, it is recognized as an expense rather than as an adjustment to the amount of revenue originally recognized.</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cs="Times New Roman"/>
          <w:sz w:val="28"/>
          <w:szCs w:val="28"/>
          <w:shd w:val="clear" w:color="auto" w:fill="FFFFFF"/>
        </w:rPr>
        <w:t>I</w:t>
      </w:r>
      <w:r w:rsidRPr="004D22D8">
        <w:rPr>
          <w:rFonts w:ascii="Times New Roman" w:hAnsi="Times New Roman"/>
          <w:sz w:val="28"/>
          <w:szCs w:val="28"/>
          <w:shd w:val="clear" w:color="auto" w:fill="FFFFFF"/>
        </w:rPr>
        <w:t>n the case of services revenue recognition is complicated by the fact that it is often difficult to reliably estimate all costs, since the period of service may be longer before a certain period or longer than one fiscal year.</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When the outcome of a transaction involving the rendering of services can be estimated reliably, revenue from this transaction should be reco</w:t>
      </w:r>
      <w:r w:rsidRPr="004D22D8">
        <w:rPr>
          <w:rFonts w:ascii="Times New Roman" w:hAnsi="Times New Roman"/>
          <w:sz w:val="28"/>
          <w:szCs w:val="28"/>
          <w:shd w:val="clear" w:color="auto" w:fill="FFFFFF"/>
        </w:rPr>
        <w:t>g</w:t>
      </w:r>
      <w:r w:rsidRPr="004D22D8">
        <w:rPr>
          <w:rFonts w:ascii="Times New Roman" w:hAnsi="Times New Roman"/>
          <w:sz w:val="28"/>
          <w:szCs w:val="28"/>
          <w:shd w:val="clear" w:color="auto" w:fill="FFFFFF"/>
        </w:rPr>
        <w:t>nized not once, but depending on the degree of completion of the transaction at the reporting date</w:t>
      </w:r>
      <w:r>
        <w:rPr>
          <w:rFonts w:ascii="Times New Roman" w:hAnsi="Times New Roman"/>
          <w:sz w:val="28"/>
          <w:szCs w:val="28"/>
          <w:shd w:val="clear" w:color="auto" w:fill="FFFFFF"/>
        </w:rPr>
        <w:t xml:space="preserve"> [8</w:t>
      </w:r>
      <w:r w:rsidRPr="007758F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9]</w:t>
      </w:r>
      <w:r w:rsidRPr="004D22D8">
        <w:rPr>
          <w:rFonts w:ascii="Times New Roman" w:hAnsi="Times New Roman"/>
          <w:sz w:val="28"/>
          <w:szCs w:val="28"/>
          <w:shd w:val="clear" w:color="auto" w:fill="FFFFFF"/>
        </w:rPr>
        <w: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result of the transaction can be estimated reliably when all the fo</w:t>
      </w:r>
      <w:r w:rsidRPr="004D22D8">
        <w:rPr>
          <w:rFonts w:ascii="Times New Roman" w:hAnsi="Times New Roman"/>
          <w:sz w:val="28"/>
          <w:szCs w:val="28"/>
          <w:shd w:val="clear" w:color="auto" w:fill="FFFFFF"/>
        </w:rPr>
        <w:t>l</w:t>
      </w:r>
      <w:r w:rsidRPr="004D22D8">
        <w:rPr>
          <w:rFonts w:ascii="Times New Roman" w:hAnsi="Times New Roman"/>
          <w:sz w:val="28"/>
          <w:szCs w:val="28"/>
          <w:shd w:val="clear" w:color="auto" w:fill="FFFFFF"/>
        </w:rPr>
        <w:t>lowing conditions are kept: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 The amount of revenue can be measured reliably;</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 It is probable that the economic benefits associated with the transaction will flow to the entity;</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 The degree of completion of the transaction at the balance sheet date can be measured reliably;</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 Costs incurred in the implementation of the transaction and the costs to complete the transaction can be measured reliably.</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At the same time, the recognition of revenue on the transaction completion degree occurs in the same period in which the services are provided.</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Example 5.</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Buyer regularly performs purchase of goods, contact the seller of the goods with a request to keep the goods in storage, until the buyer finds a suitable storage area on conditions that provided space is the r</w:t>
      </w:r>
      <w:r w:rsidRPr="004D22D8">
        <w:rPr>
          <w:rFonts w:ascii="Times New Roman" w:hAnsi="Times New Roman"/>
          <w:sz w:val="28"/>
          <w:szCs w:val="28"/>
          <w:shd w:val="clear" w:color="auto" w:fill="FFFFFF"/>
        </w:rPr>
        <w:t>e</w:t>
      </w:r>
      <w:r w:rsidRPr="004D22D8">
        <w:rPr>
          <w:rFonts w:ascii="Times New Roman" w:hAnsi="Times New Roman"/>
          <w:sz w:val="28"/>
          <w:szCs w:val="28"/>
          <w:shd w:val="clear" w:color="auto" w:fill="FFFFFF"/>
        </w:rPr>
        <w:t>sponsibility for risk lies with the buyer.</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lang w:val="fr-FR"/>
        </w:rPr>
        <w:t>Revenue</w:t>
      </w:r>
      <w:r w:rsidRPr="004D22D8">
        <w:rPr>
          <w:rFonts w:ascii="Times New Roman" w:hAnsi="Times New Roman"/>
          <w:sz w:val="28"/>
          <w:szCs w:val="28"/>
          <w:shd w:val="clear" w:color="auto" w:fill="FFFFFF"/>
        </w:rPr>
        <w:t>, in this case, can be recognized immediately.</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the case where there is uncertainty about the probability of return of goods, revenue is recognized when the shipment has been formally accepted by the buyer or when the goods have been delivered, and the elapsed time period possible return.</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Example 6.</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publishing house sells a book retail stores. The agreement stip</w:t>
      </w:r>
      <w:r w:rsidRPr="004D22D8">
        <w:rPr>
          <w:rFonts w:ascii="Times New Roman" w:hAnsi="Times New Roman"/>
          <w:sz w:val="28"/>
          <w:szCs w:val="28"/>
          <w:shd w:val="clear" w:color="auto" w:fill="FFFFFF"/>
        </w:rPr>
        <w:t>u</w:t>
      </w:r>
      <w:r w:rsidRPr="004D22D8">
        <w:rPr>
          <w:rFonts w:ascii="Times New Roman" w:hAnsi="Times New Roman"/>
          <w:sz w:val="28"/>
          <w:szCs w:val="28"/>
          <w:shd w:val="clear" w:color="auto" w:fill="FFFFFF"/>
        </w:rPr>
        <w:t>lates the right to return unsold copies within 50 days.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this case, the next possible option reflection revenue in circumstances where the seller is subject to the risks of return: if it is not possible to estimate the amount of returns, and if the amount can be significant, revenue is deferred until the expiry of the right to a refund, that is, revenue may be recognized at the end of 50 days.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important point is the order of evaluation and recognition of provision for impairment of trade accounts receivable.</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Example 7.</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2014, the organization A recognized a provision for impairment of trade accounts receivable company, is in financial difficulties. In 2016 the contractor went out of the difficulty, and fully repaid the debt before the organization. Prov</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sion for impairment of receivables was recognized in the income stat</w:t>
      </w:r>
      <w:r w:rsidRPr="004D22D8">
        <w:rPr>
          <w:rFonts w:ascii="Times New Roman" w:hAnsi="Times New Roman"/>
          <w:sz w:val="28"/>
          <w:szCs w:val="28"/>
          <w:shd w:val="clear" w:color="auto" w:fill="FFFFFF"/>
        </w:rPr>
        <w:t>e</w:t>
      </w:r>
      <w:r w:rsidRPr="004D22D8">
        <w:rPr>
          <w:rFonts w:ascii="Times New Roman" w:hAnsi="Times New Roman"/>
          <w:sz w:val="28"/>
          <w:szCs w:val="28"/>
          <w:shd w:val="clear" w:color="auto" w:fill="FFFFFF"/>
        </w:rPr>
        <w:t>ment for 2014 under business expenses.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question then arises: how is it necessary to reflect the reversal of prov</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sion for impairment of receivables?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Reversal of provision should occur on the same article of the profit and loss account for 2016 and that the calculation of the reserve in 2014 commercial e</w:t>
      </w:r>
      <w:r w:rsidRPr="004D22D8">
        <w:rPr>
          <w:rFonts w:ascii="Times New Roman" w:hAnsi="Times New Roman"/>
          <w:sz w:val="28"/>
          <w:szCs w:val="28"/>
          <w:shd w:val="clear" w:color="auto" w:fill="FFFFFF"/>
        </w:rPr>
        <w:t>x</w:t>
      </w:r>
      <w:r w:rsidRPr="004D22D8">
        <w:rPr>
          <w:rFonts w:ascii="Times New Roman" w:hAnsi="Times New Roman"/>
          <w:sz w:val="28"/>
          <w:szCs w:val="28"/>
          <w:shd w:val="clear" w:color="auto" w:fill="FFFFFF"/>
        </w:rPr>
        <w:t>penses.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If changes in accounting estimates have a significant effect, it is necessary to disclose the amount of change separately, or in the profit and loss account or in the notes to the financial statements.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According to the sold goods and rendered services organization, the seller is responsible for their quality, which means that it should give a guarantee quality of products sold. In this case, we are talking about the presence of such an organiz</w:t>
      </w:r>
      <w:r w:rsidRPr="004D22D8">
        <w:rPr>
          <w:rFonts w:ascii="Times New Roman" w:hAnsi="Times New Roman"/>
          <w:sz w:val="28"/>
          <w:szCs w:val="28"/>
          <w:shd w:val="clear" w:color="auto" w:fill="FFFFFF"/>
        </w:rPr>
        <w:t>a</w:t>
      </w:r>
      <w:r w:rsidRPr="004D22D8">
        <w:rPr>
          <w:rFonts w:ascii="Times New Roman" w:hAnsi="Times New Roman"/>
          <w:sz w:val="28"/>
          <w:szCs w:val="28"/>
          <w:shd w:val="clear" w:color="auto" w:fill="FFFFFF"/>
        </w:rPr>
        <w:t>tion the likelihood of an outflow of resources needs to fulfill its responsibil</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ties to the purchaser.</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Example 8.</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organization sells goods with a warranty for which purchasers are co</w:t>
      </w:r>
      <w:r w:rsidRPr="004D22D8">
        <w:rPr>
          <w:rFonts w:ascii="Times New Roman" w:hAnsi="Times New Roman"/>
          <w:sz w:val="28"/>
          <w:szCs w:val="28"/>
          <w:shd w:val="clear" w:color="auto" w:fill="FFFFFF"/>
        </w:rPr>
        <w:t>v</w:t>
      </w:r>
      <w:r w:rsidRPr="004D22D8">
        <w:rPr>
          <w:rFonts w:ascii="Times New Roman" w:hAnsi="Times New Roman"/>
          <w:sz w:val="28"/>
          <w:szCs w:val="28"/>
          <w:shd w:val="clear" w:color="auto" w:fill="FFFFFF"/>
        </w:rPr>
        <w:t>ered by the cost of repairs of any manufacturing defects, detected during the 6 months after purchase. If minor defects were detected in all sold products, repair costs would amount to 1 million rubles. Upon detection of major defects in each sold products repair costs would have amounted to 3 million rubles. Past e</w:t>
      </w:r>
      <w:r w:rsidRPr="004D22D8">
        <w:rPr>
          <w:rFonts w:ascii="Times New Roman" w:hAnsi="Times New Roman"/>
          <w:sz w:val="28"/>
          <w:szCs w:val="28"/>
          <w:shd w:val="clear" w:color="auto" w:fill="FFFFFF"/>
        </w:rPr>
        <w:t>x</w:t>
      </w:r>
      <w:r w:rsidRPr="004D22D8">
        <w:rPr>
          <w:rFonts w:ascii="Times New Roman" w:hAnsi="Times New Roman"/>
          <w:sz w:val="28"/>
          <w:szCs w:val="28"/>
          <w:shd w:val="clear" w:color="auto" w:fill="FFFFFF"/>
        </w:rPr>
        <w:t>perience and expectations for the future indicate that 70% of products in the co</w:t>
      </w:r>
      <w:r w:rsidRPr="004D22D8">
        <w:rPr>
          <w:rFonts w:ascii="Times New Roman" w:hAnsi="Times New Roman"/>
          <w:sz w:val="28"/>
          <w:szCs w:val="28"/>
          <w:shd w:val="clear" w:color="auto" w:fill="FFFFFF"/>
        </w:rPr>
        <w:t>m</w:t>
      </w:r>
      <w:r w:rsidRPr="004D22D8">
        <w:rPr>
          <w:rFonts w:ascii="Times New Roman" w:hAnsi="Times New Roman"/>
          <w:sz w:val="28"/>
          <w:szCs w:val="28"/>
          <w:shd w:val="clear" w:color="auto" w:fill="FFFFFF"/>
        </w:rPr>
        <w:t>ing year will have no defects, 25</w:t>
      </w:r>
      <w:r w:rsidRPr="001F1A8E">
        <w:rPr>
          <w:rFonts w:ascii="Times New Roman" w:hAnsi="Times New Roman"/>
          <w:sz w:val="28"/>
          <w:szCs w:val="28"/>
          <w:shd w:val="clear" w:color="auto" w:fill="FFFFFF"/>
        </w:rPr>
        <w:t xml:space="preserve"> </w:t>
      </w:r>
      <w:r w:rsidRPr="004D22D8">
        <w:rPr>
          <w:rFonts w:ascii="Times New Roman" w:hAnsi="Times New Roman"/>
          <w:sz w:val="28"/>
          <w:szCs w:val="28"/>
          <w:shd w:val="clear" w:color="auto" w:fill="FFFFFF"/>
        </w:rPr>
        <w:t>% will have minor defects and 5</w:t>
      </w:r>
      <w:r w:rsidRPr="001F1A8E">
        <w:rPr>
          <w:rFonts w:ascii="Times New Roman" w:hAnsi="Times New Roman"/>
          <w:sz w:val="28"/>
          <w:szCs w:val="28"/>
          <w:shd w:val="clear" w:color="auto" w:fill="FFFFFF"/>
        </w:rPr>
        <w:t xml:space="preserve"> </w:t>
      </w:r>
      <w:r w:rsidRPr="004D22D8">
        <w:rPr>
          <w:rFonts w:ascii="Times New Roman" w:hAnsi="Times New Roman"/>
          <w:sz w:val="28"/>
          <w:szCs w:val="28"/>
          <w:shd w:val="clear" w:color="auto" w:fill="FFFFFF"/>
        </w:rPr>
        <w:t>% will have m</w:t>
      </w:r>
      <w:r w:rsidRPr="004D22D8">
        <w:rPr>
          <w:rFonts w:ascii="Times New Roman" w:hAnsi="Times New Roman"/>
          <w:sz w:val="28"/>
          <w:szCs w:val="28"/>
          <w:shd w:val="clear" w:color="auto" w:fill="FFFFFF"/>
        </w:rPr>
        <w:t>a</w:t>
      </w:r>
      <w:r w:rsidRPr="004D22D8">
        <w:rPr>
          <w:rFonts w:ascii="Times New Roman" w:hAnsi="Times New Roman"/>
          <w:sz w:val="28"/>
          <w:szCs w:val="28"/>
          <w:shd w:val="clear" w:color="auto" w:fill="FFFFFF"/>
        </w:rPr>
        <w:t>jor defects. The organization assesses the probability of an outflow for the warranty obligations as a whole.</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How to calculate the amount of the guarantee reserve to repair the goods?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amount of the warranty provision would be:</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(From zero to 70%) + (25% from 1 million) + (5% of 3 million) = 400 tho</w:t>
      </w:r>
      <w:r w:rsidRPr="004D22D8">
        <w:rPr>
          <w:rFonts w:ascii="Times New Roman" w:hAnsi="Times New Roman"/>
          <w:sz w:val="28"/>
          <w:szCs w:val="28"/>
          <w:shd w:val="clear" w:color="auto" w:fill="FFFFFF"/>
        </w:rPr>
        <w:t>u</w:t>
      </w:r>
      <w:r w:rsidRPr="004D22D8">
        <w:rPr>
          <w:rFonts w:ascii="Times New Roman" w:hAnsi="Times New Roman"/>
          <w:sz w:val="28"/>
          <w:szCs w:val="28"/>
          <w:shd w:val="clear" w:color="auto" w:fill="FFFFFF"/>
        </w:rPr>
        <w:t>sand rub.</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As the incomes of the organization in addition to the proceeds may make other cash flows.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b/>
          <w:bCs/>
          <w:sz w:val="28"/>
          <w:szCs w:val="28"/>
          <w:shd w:val="clear" w:color="auto" w:fill="FFFFFF"/>
        </w:rPr>
      </w:pPr>
      <w:r w:rsidRPr="004D22D8">
        <w:rPr>
          <w:rFonts w:ascii="Times New Roman" w:hAnsi="Times New Roman"/>
          <w:b/>
          <w:bCs/>
          <w:sz w:val="28"/>
          <w:szCs w:val="28"/>
          <w:shd w:val="clear" w:color="auto" w:fill="FFFFFF"/>
        </w:rPr>
        <w:t>Example 9.</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organization has received a state subsidy for the purchase of the equi</w:t>
      </w:r>
      <w:r w:rsidRPr="004D22D8">
        <w:rPr>
          <w:rFonts w:ascii="Times New Roman" w:hAnsi="Times New Roman"/>
          <w:sz w:val="28"/>
          <w:szCs w:val="28"/>
          <w:shd w:val="clear" w:color="auto" w:fill="FFFFFF"/>
        </w:rPr>
        <w:t>p</w:t>
      </w:r>
      <w:r w:rsidRPr="004D22D8">
        <w:rPr>
          <w:rFonts w:ascii="Times New Roman" w:hAnsi="Times New Roman"/>
          <w:sz w:val="28"/>
          <w:szCs w:val="28"/>
          <w:shd w:val="clear" w:color="auto" w:fill="FFFFFF"/>
        </w:rPr>
        <w:t>ment cost of 700 000 rubles in the amount of 2000 000 rubles. The service life of the equipment is 8 years. Reflection subsidies arguably one of the two alternatives: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 The grant is recognized as income in future periods: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 Subsidies received as a reduction of the asset value.</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Let us consider in more detail 1st option.</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this case, the following entries will be made in the account of the organ</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zation:</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Debit Cash 2 000 000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Credit Deferred revenue 2 000 000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this case, the initial cost of the equipment is formed on the full cost of:</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Debit, plant and equipment 700 000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Credit Accounts payable 700 000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At the end of each year, the equipment simultaneously with the calc</w:t>
      </w:r>
      <w:r w:rsidRPr="004D22D8">
        <w:rPr>
          <w:rFonts w:ascii="Times New Roman" w:hAnsi="Times New Roman"/>
          <w:sz w:val="28"/>
          <w:szCs w:val="28"/>
          <w:shd w:val="clear" w:color="auto" w:fill="FFFFFF"/>
        </w:rPr>
        <w:t>u</w:t>
      </w:r>
      <w:r w:rsidRPr="004D22D8">
        <w:rPr>
          <w:rFonts w:ascii="Times New Roman" w:hAnsi="Times New Roman"/>
          <w:sz w:val="28"/>
          <w:szCs w:val="28"/>
          <w:shd w:val="clear" w:color="auto" w:fill="FFFFFF"/>
        </w:rPr>
        <w:t>lation of depreciation recognized as income of the current period of 1/8 of the su</w:t>
      </w:r>
      <w:r w:rsidRPr="004D22D8">
        <w:rPr>
          <w:rFonts w:ascii="Times New Roman" w:hAnsi="Times New Roman"/>
          <w:sz w:val="28"/>
          <w:szCs w:val="28"/>
          <w:shd w:val="clear" w:color="auto" w:fill="FFFFFF"/>
        </w:rPr>
        <w:t>b</w:t>
      </w:r>
      <w:r w:rsidRPr="004D22D8">
        <w:rPr>
          <w:rFonts w:ascii="Times New Roman" w:hAnsi="Times New Roman"/>
          <w:sz w:val="28"/>
          <w:szCs w:val="28"/>
          <w:shd w:val="clear" w:color="auto" w:fill="FFFFFF"/>
        </w:rPr>
        <w:t>sidy:</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Debit Depreciation and amortization expense 87 500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lang w:val="pt-PT"/>
        </w:rPr>
        <w:t>Credit Depreciation 87 500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Debit Deferred revenue 250 000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Credit Other income 250 000 rubles.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cs="Times New Roman"/>
          <w:sz w:val="28"/>
          <w:szCs w:val="28"/>
          <w:shd w:val="clear" w:color="auto" w:fill="FFFFFF"/>
        </w:rPr>
        <w:t xml:space="preserve">In </w:t>
      </w:r>
      <w:r w:rsidRPr="004D22D8">
        <w:rPr>
          <w:rFonts w:ascii="Times New Roman" w:hAnsi="Times New Roman"/>
          <w:sz w:val="28"/>
          <w:szCs w:val="28"/>
          <w:shd w:val="clear" w:color="auto" w:fill="FFFFFF"/>
        </w:rPr>
        <w:t>28 of May, 2014, the IASB as a result of collaboration with the Council for the United States Financial Accounting Standards Board, which lasted about six years, issued a new standard on revenue - IFRS (IFRS) 15 "Revenue from Co</w:t>
      </w:r>
      <w:r w:rsidRPr="004D22D8">
        <w:rPr>
          <w:rFonts w:ascii="Times New Roman" w:hAnsi="Times New Roman"/>
          <w:sz w:val="28"/>
          <w:szCs w:val="28"/>
          <w:shd w:val="clear" w:color="auto" w:fill="FFFFFF"/>
        </w:rPr>
        <w:t>n</w:t>
      </w:r>
      <w:r w:rsidRPr="004D22D8">
        <w:rPr>
          <w:rFonts w:ascii="Times New Roman" w:hAnsi="Times New Roman"/>
          <w:sz w:val="28"/>
          <w:szCs w:val="28"/>
          <w:shd w:val="clear" w:color="auto" w:fill="FFFFFF"/>
        </w:rPr>
        <w:t>tracts with buyers".</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In contrast to the previous standard of IFRS (IAS) 18 “</w:t>
      </w:r>
      <w:r w:rsidRPr="004D22D8">
        <w:rPr>
          <w:rFonts w:ascii="Times New Roman" w:hAnsi="Times New Roman"/>
          <w:sz w:val="28"/>
          <w:szCs w:val="28"/>
          <w:shd w:val="clear" w:color="auto" w:fill="FFFFFF"/>
          <w:lang w:val="fr-FR"/>
        </w:rPr>
        <w:t>Revenue</w:t>
      </w:r>
      <w:r w:rsidRPr="004D22D8">
        <w:rPr>
          <w:rFonts w:ascii="Times New Roman" w:hAnsi="Times New Roman"/>
          <w:sz w:val="28"/>
          <w:szCs w:val="28"/>
          <w:shd w:val="clear" w:color="auto" w:fill="FFFFFF"/>
        </w:rPr>
        <w:t>" in acco</w:t>
      </w:r>
      <w:r w:rsidRPr="004D22D8">
        <w:rPr>
          <w:rFonts w:ascii="Times New Roman" w:hAnsi="Times New Roman"/>
          <w:sz w:val="28"/>
          <w:szCs w:val="28"/>
          <w:shd w:val="clear" w:color="auto" w:fill="FFFFFF"/>
        </w:rPr>
        <w:t>r</w:t>
      </w:r>
      <w:r w:rsidRPr="004D22D8">
        <w:rPr>
          <w:rFonts w:ascii="Times New Roman" w:hAnsi="Times New Roman"/>
          <w:sz w:val="28"/>
          <w:szCs w:val="28"/>
          <w:shd w:val="clear" w:color="auto" w:fill="FFFFFF"/>
        </w:rPr>
        <w:t>dance with the new standard has changed the approach: to replace the concept of income came to change the concept of asset / liability.</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The seller of goods or services of contractual asset may occur after the co</w:t>
      </w:r>
      <w:r w:rsidRPr="004D22D8">
        <w:rPr>
          <w:rFonts w:ascii="Times New Roman" w:hAnsi="Times New Roman"/>
          <w:sz w:val="28"/>
          <w:szCs w:val="28"/>
          <w:shd w:val="clear" w:color="auto" w:fill="FFFFFF"/>
        </w:rPr>
        <w:t>n</w:t>
      </w:r>
      <w:r w:rsidRPr="004D22D8">
        <w:rPr>
          <w:rFonts w:ascii="Times New Roman" w:hAnsi="Times New Roman"/>
          <w:sz w:val="28"/>
          <w:szCs w:val="28"/>
          <w:shd w:val="clear" w:color="auto" w:fill="FFFFFF"/>
        </w:rPr>
        <w:t>clusion of the contract with the buyer.</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Contractual asset is the right organization for a fee in exchange for goods or services are transferred to the buyer, which is due to a cause other than a period of time (for example, the organization of the future performance of the obligations under the contract).</w:t>
      </w:r>
    </w:p>
    <w:p w:rsidR="008873AC" w:rsidRPr="004D22D8"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both"/>
        <w:rPr>
          <w:rFonts w:ascii="Times New Roman" w:hAnsi="Times New Roman" w:cs="Times New Roman"/>
          <w:sz w:val="28"/>
          <w:szCs w:val="28"/>
          <w:shd w:val="clear" w:color="auto" w:fill="FFFFFF"/>
        </w:rPr>
      </w:pPr>
      <w:r w:rsidRPr="004D22D8">
        <w:rPr>
          <w:rFonts w:ascii="Times New Roman" w:hAnsi="Times New Roman"/>
          <w:sz w:val="28"/>
          <w:szCs w:val="28"/>
          <w:shd w:val="clear" w:color="auto" w:fill="FFFFFF"/>
        </w:rPr>
        <w:t>Under the impact of IFRS (IFRS) 15 "Revenue from Contracts with buyers' gets revenue that results from contracts with customers, excluding interest income and dividend income (these exceptions are regulated by the current standard on f</w:t>
      </w:r>
      <w:r w:rsidRPr="004D22D8">
        <w:rPr>
          <w:rFonts w:ascii="Times New Roman" w:hAnsi="Times New Roman"/>
          <w:sz w:val="28"/>
          <w:szCs w:val="28"/>
          <w:shd w:val="clear" w:color="auto" w:fill="FFFFFF"/>
        </w:rPr>
        <w:t>i</w:t>
      </w:r>
      <w:r w:rsidRPr="004D22D8">
        <w:rPr>
          <w:rFonts w:ascii="Times New Roman" w:hAnsi="Times New Roman"/>
          <w:sz w:val="28"/>
          <w:szCs w:val="28"/>
          <w:shd w:val="clear" w:color="auto" w:fill="FFFFFF"/>
        </w:rPr>
        <w:t>nancial instruments)</w:t>
      </w:r>
      <w:r w:rsidRPr="007758F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[10]</w:t>
      </w:r>
      <w:r w:rsidRPr="004D22D8">
        <w:rPr>
          <w:rFonts w:ascii="Times New Roman" w:hAnsi="Times New Roman"/>
          <w:sz w:val="28"/>
          <w:szCs w:val="28"/>
          <w:shd w:val="clear" w:color="auto" w:fill="FFFFFF"/>
        </w:rPr>
        <w:t>.</w:t>
      </w:r>
    </w:p>
    <w:p w:rsidR="008873AC"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center"/>
        <w:rPr>
          <w:rFonts w:ascii="Times New Roman" w:hAnsi="Times New Roman"/>
          <w:b/>
          <w:bCs/>
          <w:sz w:val="28"/>
          <w:szCs w:val="28"/>
          <w:shd w:val="clear" w:color="auto" w:fill="FFFFFF"/>
        </w:rPr>
      </w:pPr>
    </w:p>
    <w:p w:rsidR="008873AC"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center"/>
        <w:rPr>
          <w:rFonts w:ascii="Times New Roman" w:hAnsi="Times New Roman"/>
          <w:b/>
          <w:bCs/>
          <w:sz w:val="28"/>
          <w:szCs w:val="28"/>
          <w:shd w:val="clear" w:color="auto" w:fill="FFFFFF"/>
        </w:rPr>
      </w:pPr>
    </w:p>
    <w:p w:rsidR="008873AC"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center"/>
        <w:rPr>
          <w:rFonts w:ascii="Times New Roman" w:hAnsi="Times New Roman"/>
          <w:b/>
          <w:bCs/>
          <w:sz w:val="28"/>
          <w:szCs w:val="28"/>
          <w:shd w:val="clear" w:color="auto" w:fill="FFFFFF"/>
        </w:rPr>
      </w:pPr>
    </w:p>
    <w:p w:rsidR="008873AC" w:rsidRPr="006474DC"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center"/>
        <w:rPr>
          <w:b/>
        </w:rPr>
      </w:pPr>
      <w:r w:rsidRPr="006474DC">
        <w:rPr>
          <w:b/>
        </w:rPr>
        <w:t>Список литературы:</w:t>
      </w:r>
    </w:p>
    <w:p w:rsidR="008873AC" w:rsidRPr="00F00188"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pPr>
    </w:p>
    <w:p w:rsidR="008873AC" w:rsidRPr="00F00188" w:rsidRDefault="008873AC" w:rsidP="00211CC8">
      <w:pPr>
        <w:pBdr>
          <w:top w:val="none" w:sz="0" w:space="0" w:color="auto"/>
          <w:left w:val="none" w:sz="0" w:space="0" w:color="auto"/>
          <w:bottom w:val="none" w:sz="0" w:space="0" w:color="auto"/>
          <w:right w:val="none" w:sz="0" w:space="0" w:color="auto"/>
          <w:bar w:val="none" w:sz="0" w:color="auto"/>
        </w:pBdr>
        <w:autoSpaceDE w:val="0"/>
        <w:autoSpaceDN w:val="0"/>
        <w:adjustRightInd w:val="0"/>
        <w:ind w:firstLine="709"/>
        <w:jc w:val="both"/>
        <w:rPr>
          <w:rFonts w:eastAsia="Times New Roman"/>
          <w:lang w:eastAsia="en-US"/>
        </w:rPr>
      </w:pPr>
      <w:r w:rsidRPr="00F00188">
        <w:rPr>
          <w:rFonts w:eastAsia="Times New Roman"/>
          <w:lang w:eastAsia="en-US"/>
        </w:rPr>
        <w:t>1. Бухгалтерская (финансовая) отчетность: учеб. пособие / Под ред. Ю. И. Сигид</w:t>
      </w:r>
      <w:r w:rsidRPr="00F00188">
        <w:rPr>
          <w:rFonts w:eastAsia="Times New Roman"/>
          <w:lang w:eastAsia="en-US"/>
        </w:rPr>
        <w:t>о</w:t>
      </w:r>
      <w:r w:rsidRPr="00F00188">
        <w:rPr>
          <w:rFonts w:eastAsia="Times New Roman"/>
          <w:lang w:eastAsia="en-US"/>
        </w:rPr>
        <w:t>ва, А. И. Трубилина. 2-е изд., перераб. и доп. - М.: ИНФРА-М, 2013.- 366 с.</w:t>
      </w:r>
    </w:p>
    <w:p w:rsidR="008873AC" w:rsidRPr="00F00188" w:rsidRDefault="008873AC" w:rsidP="00211CC8">
      <w:pPr>
        <w:pBdr>
          <w:top w:val="none" w:sz="0" w:space="0" w:color="auto"/>
          <w:left w:val="none" w:sz="0" w:space="0" w:color="auto"/>
          <w:bottom w:val="none" w:sz="0" w:space="0" w:color="auto"/>
          <w:right w:val="none" w:sz="0" w:space="0" w:color="auto"/>
          <w:bar w:val="none" w:sz="0" w:color="auto"/>
        </w:pBdr>
        <w:ind w:firstLine="709"/>
        <w:jc w:val="both"/>
        <w:rPr>
          <w:rFonts w:eastAsia="Times New Roman"/>
        </w:rPr>
      </w:pPr>
      <w:r w:rsidRPr="00F00188">
        <w:t>2. Бухгалтерское дело: учеб.пособие / Ю. И. Сигидов, А. И. Трубилин, М. С. Р</w:t>
      </w:r>
      <w:r w:rsidRPr="00F00188">
        <w:t>ы</w:t>
      </w:r>
      <w:r w:rsidRPr="00F00188">
        <w:t>бянцева, Г. Н. Ясменко, И. А. Заболотная, О. М. Игнатова; под ред. д-ра экон. наук, проф. Ю. И. Сигидова и А. И. Трубилина. – изд. 2-е, перераб. и доп. - Краснодар: Кубанский ГАУ, 2013. - 540 с.</w:t>
      </w:r>
    </w:p>
    <w:p w:rsidR="008873AC" w:rsidRPr="00F00188"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pPr>
      <w:r w:rsidRPr="00F00188">
        <w:t xml:space="preserve">3. </w:t>
      </w:r>
      <w:r w:rsidRPr="00F00188">
        <w:rPr>
          <w:lang w:val="en-US"/>
        </w:rPr>
        <w:t>www</w:t>
      </w:r>
      <w:r w:rsidRPr="00F00188">
        <w:t>.</w:t>
      </w:r>
      <w:r w:rsidRPr="00F00188">
        <w:rPr>
          <w:lang w:val="en-US"/>
        </w:rPr>
        <w:t>ifrs</w:t>
      </w:r>
      <w:r w:rsidRPr="00F00188">
        <w:t>-</w:t>
      </w:r>
      <w:r w:rsidRPr="00F00188">
        <w:rPr>
          <w:lang w:val="en-US"/>
        </w:rPr>
        <w:t>mag</w:t>
      </w:r>
      <w:r w:rsidRPr="00F00188">
        <w:t>.</w:t>
      </w:r>
      <w:r w:rsidRPr="00F00188">
        <w:rPr>
          <w:lang w:val="en-US"/>
        </w:rPr>
        <w:t>ru</w:t>
      </w:r>
    </w:p>
    <w:p w:rsidR="008873AC" w:rsidRPr="00F00188"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pPr>
      <w:r w:rsidRPr="00F00188">
        <w:t xml:space="preserve">4. </w:t>
      </w:r>
      <w:r w:rsidRPr="00F00188">
        <w:rPr>
          <w:lang w:val="en-US"/>
        </w:rPr>
        <w:t>www</w:t>
      </w:r>
      <w:r w:rsidRPr="00F00188">
        <w:t>.</w:t>
      </w:r>
      <w:r w:rsidRPr="00F00188">
        <w:rPr>
          <w:lang w:val="en-US"/>
        </w:rPr>
        <w:t>ifrs</w:t>
      </w:r>
      <w:r w:rsidRPr="00F00188">
        <w:t>.</w:t>
      </w:r>
      <w:r w:rsidRPr="00F00188">
        <w:rPr>
          <w:lang w:val="en-US"/>
        </w:rPr>
        <w:t>org</w:t>
      </w:r>
    </w:p>
    <w:p w:rsidR="008873AC" w:rsidRPr="00F00188"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pPr>
      <w:r w:rsidRPr="00F00188">
        <w:t xml:space="preserve">5. </w:t>
      </w:r>
      <w:r w:rsidRPr="00F00188">
        <w:rPr>
          <w:lang w:val="en-US"/>
        </w:rPr>
        <w:t>www</w:t>
      </w:r>
      <w:r w:rsidRPr="00F00188">
        <w:t>.</w:t>
      </w:r>
      <w:r w:rsidRPr="00F00188">
        <w:rPr>
          <w:lang w:val="en-US"/>
        </w:rPr>
        <w:t>iasb</w:t>
      </w:r>
      <w:r w:rsidRPr="00F00188">
        <w:t>.</w:t>
      </w:r>
      <w:r w:rsidRPr="00F00188">
        <w:rPr>
          <w:lang w:val="en-US"/>
        </w:rPr>
        <w:t>org</w:t>
      </w:r>
    </w:p>
    <w:p w:rsidR="008873AC" w:rsidRPr="00F00188"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pPr>
      <w:r w:rsidRPr="00F00188">
        <w:t xml:space="preserve">6. </w:t>
      </w:r>
      <w:r w:rsidRPr="00F00188">
        <w:rPr>
          <w:lang w:val="en-US"/>
        </w:rPr>
        <w:t>www</w:t>
      </w:r>
      <w:r w:rsidRPr="00F00188">
        <w:t>.</w:t>
      </w:r>
      <w:r w:rsidRPr="00F00188">
        <w:rPr>
          <w:lang w:val="en-US"/>
        </w:rPr>
        <w:t>dipifr</w:t>
      </w:r>
      <w:r w:rsidRPr="00F00188">
        <w:t>.</w:t>
      </w:r>
      <w:r w:rsidRPr="00F00188">
        <w:rPr>
          <w:lang w:val="en-US"/>
        </w:rPr>
        <w:t>info</w:t>
      </w:r>
      <w:r w:rsidRPr="00F00188">
        <w:t>/</w:t>
      </w:r>
      <w:r w:rsidRPr="00F00188">
        <w:rPr>
          <w:lang w:val="en-US"/>
        </w:rPr>
        <w:t>ifrs</w:t>
      </w:r>
      <w:r w:rsidRPr="00F00188">
        <w:t>_</w:t>
      </w:r>
      <w:r w:rsidRPr="00F00188">
        <w:rPr>
          <w:lang w:val="en-US"/>
        </w:rPr>
        <w:t>texts</w:t>
      </w:r>
      <w:r w:rsidRPr="00F00188">
        <w:t>.</w:t>
      </w:r>
      <w:r w:rsidRPr="00F00188">
        <w:rPr>
          <w:lang w:val="en-US"/>
        </w:rPr>
        <w:t>html</w:t>
      </w:r>
    </w:p>
    <w:p w:rsidR="008873AC" w:rsidRPr="00F00188"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rStyle w:val="None"/>
        </w:rPr>
      </w:pPr>
      <w:r w:rsidRPr="00F00188">
        <w:t xml:space="preserve">7. </w:t>
      </w:r>
      <w:hyperlink r:id="rId7" w:history="1">
        <w:r w:rsidRPr="00F00188">
          <w:rPr>
            <w:rStyle w:val="Hyperlink0"/>
            <w:rFonts w:cs="Arial Unicode MS"/>
            <w:sz w:val="24"/>
            <w:szCs w:val="24"/>
            <w:lang w:eastAsia="ru-RU"/>
          </w:rPr>
          <w:t>www</w:t>
        </w:r>
        <w:r w:rsidRPr="00F00188">
          <w:rPr>
            <w:rStyle w:val="None"/>
          </w:rPr>
          <w:t>.</w:t>
        </w:r>
        <w:r w:rsidRPr="00F00188">
          <w:rPr>
            <w:rStyle w:val="Hyperlink0"/>
            <w:rFonts w:cs="Arial Unicode MS"/>
            <w:sz w:val="24"/>
            <w:szCs w:val="24"/>
            <w:lang w:eastAsia="ru-RU"/>
          </w:rPr>
          <w:t>m</w:t>
        </w:r>
        <w:r w:rsidRPr="00F00188">
          <w:rPr>
            <w:rStyle w:val="None"/>
          </w:rPr>
          <w:t>.</w:t>
        </w:r>
        <w:r w:rsidRPr="00F00188">
          <w:rPr>
            <w:rStyle w:val="Hyperlink0"/>
            <w:rFonts w:cs="Arial Unicode MS"/>
            <w:sz w:val="24"/>
            <w:szCs w:val="24"/>
            <w:lang w:eastAsia="ru-RU"/>
          </w:rPr>
          <w:t>msfo</w:t>
        </w:r>
        <w:r w:rsidRPr="00F00188">
          <w:rPr>
            <w:rStyle w:val="None"/>
          </w:rPr>
          <w:t>-</w:t>
        </w:r>
        <w:r w:rsidRPr="00F00188">
          <w:rPr>
            <w:rStyle w:val="Hyperlink0"/>
            <w:rFonts w:cs="Arial Unicode MS"/>
            <w:sz w:val="24"/>
            <w:szCs w:val="24"/>
            <w:lang w:eastAsia="ru-RU"/>
          </w:rPr>
          <w:t>practice</w:t>
        </w:r>
        <w:r w:rsidRPr="00F00188">
          <w:rPr>
            <w:rStyle w:val="None"/>
          </w:rPr>
          <w:t>.</w:t>
        </w:r>
        <w:r w:rsidRPr="00F00188">
          <w:rPr>
            <w:rStyle w:val="Hyperlink0"/>
            <w:rFonts w:cs="Arial Unicode MS"/>
            <w:sz w:val="24"/>
            <w:szCs w:val="24"/>
            <w:lang w:eastAsia="ru-RU"/>
          </w:rPr>
          <w:t>ru</w:t>
        </w:r>
      </w:hyperlink>
    </w:p>
    <w:p w:rsidR="008873AC" w:rsidRPr="00F00188"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rStyle w:val="None"/>
        </w:rPr>
      </w:pPr>
      <w:r w:rsidRPr="00F00188">
        <w:rPr>
          <w:rStyle w:val="None"/>
        </w:rPr>
        <w:t xml:space="preserve">8. </w:t>
      </w:r>
      <w:hyperlink r:id="rId8" w:history="1">
        <w:r w:rsidRPr="00F00188">
          <w:rPr>
            <w:rStyle w:val="Hyperlink0"/>
            <w:rFonts w:cs="Arial Unicode MS"/>
            <w:sz w:val="24"/>
            <w:szCs w:val="24"/>
            <w:lang w:eastAsia="ru-RU"/>
          </w:rPr>
          <w:t>www</w:t>
        </w:r>
        <w:r w:rsidRPr="00F00188">
          <w:rPr>
            <w:rStyle w:val="Hyperlink0"/>
            <w:rFonts w:cs="Arial Unicode MS"/>
            <w:sz w:val="24"/>
            <w:szCs w:val="24"/>
            <w:lang w:val="ru-RU" w:eastAsia="ru-RU"/>
          </w:rPr>
          <w:t>.</w:t>
        </w:r>
        <w:r w:rsidRPr="00F00188">
          <w:rPr>
            <w:rStyle w:val="Hyperlink0"/>
            <w:rFonts w:cs="Arial Unicode MS"/>
            <w:sz w:val="24"/>
            <w:szCs w:val="24"/>
            <w:lang w:eastAsia="ru-RU"/>
          </w:rPr>
          <w:t>bmcenter</w:t>
        </w:r>
        <w:r w:rsidRPr="00F00188">
          <w:rPr>
            <w:rStyle w:val="Hyperlink0"/>
            <w:rFonts w:cs="Arial Unicode MS"/>
            <w:sz w:val="24"/>
            <w:szCs w:val="24"/>
            <w:lang w:val="ru-RU" w:eastAsia="ru-RU"/>
          </w:rPr>
          <w:t>.</w:t>
        </w:r>
        <w:r w:rsidRPr="00F00188">
          <w:rPr>
            <w:rStyle w:val="Hyperlink0"/>
            <w:rFonts w:cs="Arial Unicode MS"/>
            <w:sz w:val="24"/>
            <w:szCs w:val="24"/>
            <w:lang w:eastAsia="ru-RU"/>
          </w:rPr>
          <w:t>ru</w:t>
        </w:r>
        <w:r w:rsidRPr="00F00188">
          <w:rPr>
            <w:rStyle w:val="Hyperlink0"/>
            <w:rFonts w:cs="Arial Unicode MS"/>
            <w:sz w:val="24"/>
            <w:szCs w:val="24"/>
            <w:lang w:val="ru-RU" w:eastAsia="ru-RU"/>
          </w:rPr>
          <w:t>/</w:t>
        </w:r>
        <w:r w:rsidRPr="00F00188">
          <w:rPr>
            <w:rStyle w:val="Hyperlink0"/>
            <w:rFonts w:cs="Arial Unicode MS"/>
            <w:sz w:val="24"/>
            <w:szCs w:val="24"/>
            <w:lang w:eastAsia="ru-RU"/>
          </w:rPr>
          <w:t>standards</w:t>
        </w:r>
        <w:r w:rsidRPr="00F00188">
          <w:rPr>
            <w:rStyle w:val="Hyperlink0"/>
            <w:rFonts w:cs="Arial Unicode MS"/>
            <w:sz w:val="24"/>
            <w:szCs w:val="24"/>
            <w:lang w:val="ru-RU" w:eastAsia="ru-RU"/>
          </w:rPr>
          <w:t>-</w:t>
        </w:r>
        <w:r w:rsidRPr="00F00188">
          <w:rPr>
            <w:rStyle w:val="Hyperlink0"/>
            <w:rFonts w:cs="Arial Unicode MS"/>
            <w:sz w:val="24"/>
            <w:szCs w:val="24"/>
            <w:lang w:eastAsia="ru-RU"/>
          </w:rPr>
          <w:t>msfo</w:t>
        </w:r>
      </w:hyperlink>
    </w:p>
    <w:p w:rsidR="008873AC" w:rsidRPr="00F00188"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rStyle w:val="None"/>
        </w:rPr>
      </w:pPr>
      <w:r w:rsidRPr="00F00188">
        <w:rPr>
          <w:rStyle w:val="None"/>
        </w:rPr>
        <w:t>9</w:t>
      </w:r>
      <w:r w:rsidRPr="00F00188">
        <w:rPr>
          <w:rStyle w:val="Hyperlink0"/>
          <w:rFonts w:cs="Arial Unicode MS"/>
          <w:sz w:val="24"/>
          <w:szCs w:val="24"/>
          <w:lang w:val="ru-RU" w:eastAsia="ru-RU"/>
        </w:rPr>
        <w:t xml:space="preserve">. </w:t>
      </w:r>
      <w:hyperlink r:id="rId9" w:history="1">
        <w:r w:rsidRPr="00F00188">
          <w:rPr>
            <w:rStyle w:val="Hyperlink0"/>
            <w:rFonts w:cs="Arial Unicode MS"/>
            <w:sz w:val="24"/>
            <w:szCs w:val="24"/>
            <w:lang w:eastAsia="ru-RU"/>
          </w:rPr>
          <w:t>www</w:t>
        </w:r>
        <w:r w:rsidRPr="00F00188">
          <w:rPr>
            <w:rStyle w:val="Hyperlink0"/>
            <w:rFonts w:cs="Arial Unicode MS"/>
            <w:sz w:val="24"/>
            <w:szCs w:val="24"/>
            <w:lang w:val="ru-RU" w:eastAsia="ru-RU"/>
          </w:rPr>
          <w:t>.</w:t>
        </w:r>
        <w:r w:rsidRPr="00F00188">
          <w:rPr>
            <w:rStyle w:val="Hyperlink0"/>
            <w:rFonts w:cs="Arial Unicode MS"/>
            <w:sz w:val="24"/>
            <w:szCs w:val="24"/>
            <w:lang w:eastAsia="ru-RU"/>
          </w:rPr>
          <w:t>consultant</w:t>
        </w:r>
        <w:r w:rsidRPr="00F00188">
          <w:rPr>
            <w:rStyle w:val="Hyperlink0"/>
            <w:rFonts w:cs="Arial Unicode MS"/>
            <w:sz w:val="24"/>
            <w:szCs w:val="24"/>
            <w:lang w:val="ru-RU" w:eastAsia="ru-RU"/>
          </w:rPr>
          <w:t>.</w:t>
        </w:r>
        <w:r w:rsidRPr="00F00188">
          <w:rPr>
            <w:rStyle w:val="Hyperlink0"/>
            <w:rFonts w:cs="Arial Unicode MS"/>
            <w:sz w:val="24"/>
            <w:szCs w:val="24"/>
            <w:lang w:eastAsia="ru-RU"/>
          </w:rPr>
          <w:t>ru</w:t>
        </w:r>
      </w:hyperlink>
    </w:p>
    <w:p w:rsidR="008873AC" w:rsidRPr="00F00188" w:rsidRDefault="008873AC" w:rsidP="00211CC8">
      <w:pPr>
        <w:widowControl w:val="0"/>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pPr>
      <w:r w:rsidRPr="00F00188">
        <w:rPr>
          <w:rStyle w:val="None"/>
        </w:rPr>
        <w:t>10</w:t>
      </w:r>
      <w:r w:rsidRPr="00F00188">
        <w:rPr>
          <w:rStyle w:val="Hyperlink0"/>
          <w:rFonts w:cs="Arial Unicode MS"/>
          <w:sz w:val="24"/>
          <w:szCs w:val="24"/>
          <w:lang w:val="ru-RU" w:eastAsia="ru-RU"/>
        </w:rPr>
        <w:t xml:space="preserve">. </w:t>
      </w:r>
      <w:hyperlink r:id="rId10" w:history="1">
        <w:r w:rsidRPr="00F00188">
          <w:rPr>
            <w:rStyle w:val="Hyperlink0"/>
            <w:rFonts w:cs="Arial Unicode MS"/>
            <w:sz w:val="24"/>
            <w:szCs w:val="24"/>
            <w:lang w:eastAsia="ru-RU"/>
          </w:rPr>
          <w:t>www</w:t>
        </w:r>
        <w:r w:rsidRPr="00F00188">
          <w:rPr>
            <w:rStyle w:val="Hyperlink0"/>
            <w:rFonts w:cs="Arial Unicode MS"/>
            <w:sz w:val="24"/>
            <w:szCs w:val="24"/>
            <w:lang w:val="ru-RU" w:eastAsia="ru-RU"/>
          </w:rPr>
          <w:t>.</w:t>
        </w:r>
        <w:r w:rsidRPr="00F00188">
          <w:rPr>
            <w:rStyle w:val="Hyperlink0"/>
            <w:rFonts w:cs="Arial Unicode MS"/>
            <w:sz w:val="24"/>
            <w:szCs w:val="24"/>
            <w:lang w:eastAsia="ru-RU"/>
          </w:rPr>
          <w:t>gaap</w:t>
        </w:r>
        <w:r w:rsidRPr="00F00188">
          <w:rPr>
            <w:rStyle w:val="Hyperlink0"/>
            <w:rFonts w:cs="Arial Unicode MS"/>
            <w:sz w:val="24"/>
            <w:szCs w:val="24"/>
            <w:lang w:val="ru-RU" w:eastAsia="ru-RU"/>
          </w:rPr>
          <w:t>.</w:t>
        </w:r>
        <w:r w:rsidRPr="00F00188">
          <w:rPr>
            <w:rStyle w:val="Hyperlink0"/>
            <w:rFonts w:cs="Arial Unicode MS"/>
            <w:sz w:val="24"/>
            <w:szCs w:val="24"/>
            <w:lang w:eastAsia="ru-RU"/>
          </w:rPr>
          <w:t>ru</w:t>
        </w:r>
      </w:hyperlink>
    </w:p>
    <w:p w:rsidR="008873AC" w:rsidRPr="00734D9C" w:rsidRDefault="008873AC" w:rsidP="001F1A8E">
      <w:pPr>
        <w:pStyle w:val="Default"/>
        <w:pBdr>
          <w:top w:val="none" w:sz="0" w:space="0" w:color="auto"/>
          <w:left w:val="none" w:sz="0" w:space="0" w:color="auto"/>
          <w:bottom w:val="none" w:sz="0" w:space="0" w:color="auto"/>
          <w:right w:val="none" w:sz="0" w:space="0" w:color="auto"/>
          <w:bar w:val="none" w:sz="0" w:color="auto"/>
        </w:pBdr>
        <w:spacing w:line="360" w:lineRule="auto"/>
        <w:ind w:firstLine="720"/>
        <w:jc w:val="center"/>
        <w:rPr>
          <w:rFonts w:ascii="Times New Roman" w:hAnsi="Times New Roman"/>
          <w:b/>
          <w:bCs/>
          <w:sz w:val="28"/>
          <w:szCs w:val="28"/>
          <w:shd w:val="clear" w:color="auto" w:fill="FFFFFF"/>
        </w:rPr>
      </w:pPr>
    </w:p>
    <w:p w:rsidR="008873AC" w:rsidRDefault="008873AC" w:rsidP="00F00188">
      <w:pPr>
        <w:pStyle w:val="Default"/>
        <w:pBdr>
          <w:top w:val="none" w:sz="0" w:space="0" w:color="auto"/>
          <w:left w:val="none" w:sz="0" w:space="0" w:color="auto"/>
          <w:bottom w:val="none" w:sz="0" w:space="0" w:color="auto"/>
          <w:right w:val="none" w:sz="0" w:space="0" w:color="auto"/>
          <w:bar w:val="none" w:sz="0" w:color="auto"/>
        </w:pBdr>
        <w:ind w:firstLine="720"/>
        <w:jc w:val="center"/>
        <w:rPr>
          <w:rFonts w:ascii="Times New Roman" w:hAnsi="Times New Roman"/>
          <w:b/>
          <w:bCs/>
          <w:sz w:val="24"/>
          <w:szCs w:val="24"/>
          <w:shd w:val="clear" w:color="auto" w:fill="FFFFFF"/>
          <w:lang w:val="fr-FR"/>
        </w:rPr>
      </w:pPr>
      <w:r>
        <w:rPr>
          <w:rFonts w:ascii="Times New Roman" w:hAnsi="Times New Roman"/>
          <w:b/>
          <w:bCs/>
          <w:sz w:val="24"/>
          <w:szCs w:val="24"/>
          <w:shd w:val="clear" w:color="auto" w:fill="FFFFFF"/>
          <w:lang w:val="fr-FR"/>
        </w:rPr>
        <w:t>References</w:t>
      </w:r>
    </w:p>
    <w:p w:rsidR="008873AC" w:rsidRPr="00F00188" w:rsidRDefault="008873AC" w:rsidP="00F00188">
      <w:pPr>
        <w:pStyle w:val="Default"/>
        <w:pBdr>
          <w:top w:val="none" w:sz="0" w:space="0" w:color="auto"/>
          <w:left w:val="none" w:sz="0" w:space="0" w:color="auto"/>
          <w:bottom w:val="none" w:sz="0" w:space="0" w:color="auto"/>
          <w:right w:val="none" w:sz="0" w:space="0" w:color="auto"/>
          <w:bar w:val="none" w:sz="0" w:color="auto"/>
        </w:pBdr>
        <w:ind w:firstLine="720"/>
        <w:jc w:val="center"/>
        <w:rPr>
          <w:rFonts w:ascii="Times New Roman" w:hAnsi="Times New Roman" w:cs="Times New Roman"/>
          <w:b/>
          <w:bCs/>
          <w:sz w:val="24"/>
          <w:szCs w:val="24"/>
          <w:shd w:val="clear" w:color="auto" w:fill="FFFFFF"/>
        </w:rPr>
      </w:pP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1. Buhgalterskaja (finansovaja) otchetnost': ucheb. posobie / Pod red. Ju. I. Sigido-va, A. I. Trubilina. 2-e izd., pererab. i dop. - M.: INFRA-M, 2013.- 366 s.</w:t>
      </w: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2. Buhgalterskoe delo: ucheb.posobie / Ju. I. Sigidov, A. I. Trubilin, M. S. Ry-bjanceva, G. N. Jasmenko, I. A. Zabolotnaja, O. M. Ignatova; pod red. d-ra jekon. nauk, prof. Ju. I. Sigidova i A. I. Trubilina. – izd. 2-e, pererab. i dop. - Krasnodar: Kubanskij GAU, 2013. - 540 s.</w:t>
      </w: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3. www.ifrs-mag.ru</w:t>
      </w: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4. www.ifrs.org</w:t>
      </w: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5. www.iasb.org</w:t>
      </w: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6. www.dipifr.info/ifrs_texts.html</w:t>
      </w: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7. www.m.msfo-practice.ru</w:t>
      </w: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8. www.bmcenter.ru/standards-msfo</w:t>
      </w: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9. www.consultant.ru</w:t>
      </w:r>
    </w:p>
    <w:p w:rsidR="008873AC" w:rsidRPr="00211CC8" w:rsidRDefault="008873AC" w:rsidP="00211CC8">
      <w:pPr>
        <w:pStyle w:val="Default"/>
        <w:pBdr>
          <w:top w:val="none" w:sz="0" w:space="0" w:color="auto"/>
          <w:left w:val="none" w:sz="0" w:space="0" w:color="auto"/>
          <w:bottom w:val="none" w:sz="0" w:space="0" w:color="auto"/>
          <w:right w:val="none" w:sz="0" w:space="0" w:color="auto"/>
          <w:bar w:val="none" w:sz="0" w:color="auto"/>
        </w:pBdr>
        <w:ind w:firstLine="720"/>
        <w:jc w:val="both"/>
        <w:rPr>
          <w:rFonts w:ascii="Times New Roman" w:hAnsi="Times New Roman"/>
          <w:sz w:val="24"/>
          <w:szCs w:val="24"/>
          <w:shd w:val="clear" w:color="auto" w:fill="FFFFFF"/>
        </w:rPr>
      </w:pPr>
      <w:r w:rsidRPr="00211CC8">
        <w:rPr>
          <w:rFonts w:ascii="Times New Roman" w:hAnsi="Times New Roman"/>
          <w:sz w:val="24"/>
          <w:szCs w:val="24"/>
          <w:shd w:val="clear" w:color="auto" w:fill="FFFFFF"/>
        </w:rPr>
        <w:t>10. www.gaap.ru</w:t>
      </w:r>
    </w:p>
    <w:sectPr w:rsidR="008873AC" w:rsidRPr="00211CC8" w:rsidSect="000543FB">
      <w:headerReference w:type="even" r:id="rId11"/>
      <w:headerReference w:type="default" r:id="rId12"/>
      <w:footerReference w:type="even" r:id="rId13"/>
      <w:footerReference w:type="default" r:id="rId14"/>
      <w:headerReference w:type="first" r:id="rId15"/>
      <w:footerReference w:type="first" r:id="rId16"/>
      <w:pgSz w:w="12240" w:h="15840"/>
      <w:pgMar w:top="1418" w:right="1418" w:bottom="1418" w:left="1418" w:header="720" w:footer="21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3AC" w:rsidRDefault="008873AC">
      <w:pPr>
        <w:pBdr>
          <w:top w:val="none" w:sz="0" w:space="0" w:color="auto"/>
          <w:left w:val="none" w:sz="0" w:space="0" w:color="auto"/>
          <w:bottom w:val="none" w:sz="0" w:space="0" w:color="auto"/>
          <w:right w:val="none" w:sz="0" w:space="0" w:color="auto"/>
          <w:bar w:val="none" w:sz="0" w:color="auto"/>
        </w:pBdr>
      </w:pPr>
      <w:r>
        <w:separator/>
      </w:r>
    </w:p>
  </w:endnote>
  <w:endnote w:type="continuationSeparator" w:id="0">
    <w:p w:rsidR="008873AC" w:rsidRDefault="008873AC">
      <w:pPr>
        <w:pBdr>
          <w:top w:val="none" w:sz="0" w:space="0" w:color="auto"/>
          <w:left w:val="none" w:sz="0" w:space="0" w:color="auto"/>
          <w:bottom w:val="none" w:sz="0" w:space="0" w:color="auto"/>
          <w:right w:val="none" w:sz="0" w:space="0" w:color="auto"/>
          <w:bar w:val="none" w:sz="0" w:color="auto"/>
        </w:pBd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3AC" w:rsidRDefault="008873AC" w:rsidP="000543FB">
    <w:pPr>
      <w:pStyle w:val="Footer"/>
      <w:pBdr>
        <w:top w:val="none" w:sz="0" w:space="0" w:color="auto"/>
        <w:left w:val="none" w:sz="0" w:space="0" w:color="auto"/>
        <w:bottom w:val="none" w:sz="0" w:space="0" w:color="auto"/>
        <w:right w:val="none" w:sz="0" w:space="0" w:color="auto"/>
        <w:bar w:val="none" w:sz="0"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3AC" w:rsidRPr="000543FB" w:rsidRDefault="008873AC" w:rsidP="000543FB">
    <w:pPr>
      <w:pStyle w:val="Footer"/>
      <w:pBdr>
        <w:top w:val="none" w:sz="0" w:space="0" w:color="auto"/>
        <w:left w:val="none" w:sz="0" w:space="0" w:color="auto"/>
        <w:bottom w:val="none" w:sz="0" w:space="0" w:color="auto"/>
        <w:right w:val="none" w:sz="0" w:space="0" w:color="auto"/>
        <w:bar w:val="none" w:sz="0" w:color="auto"/>
      </w:pBdr>
    </w:pPr>
    <w:r w:rsidRPr="006F478C">
      <w:t>http://ej.kubagro.ru/2017/</w:t>
    </w:r>
    <w:r w:rsidRPr="006F478C">
      <w:rPr>
        <w:lang w:val="en-US"/>
      </w:rPr>
      <w:t>0</w:t>
    </w:r>
    <w:r w:rsidRPr="006F478C">
      <w:t>1/pdf/</w:t>
    </w:r>
    <w:r>
      <w:rPr>
        <w:lang w:val="en-US"/>
      </w:rPr>
      <w:t>46</w:t>
    </w:r>
    <w:r w:rsidRPr="006F478C">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3AC" w:rsidRDefault="008873AC" w:rsidP="000543FB">
    <w:pPr>
      <w:pStyle w:val="Footer"/>
      <w:pBdr>
        <w:top w:val="none" w:sz="0" w:space="0" w:color="auto"/>
        <w:left w:val="none" w:sz="0" w:space="0" w:color="auto"/>
        <w:bottom w:val="none" w:sz="0" w:space="0" w:color="auto"/>
        <w:right w:val="none" w:sz="0" w:space="0" w:color="auto"/>
        <w:bar w:val="none" w:sz="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3AC" w:rsidRDefault="008873AC">
      <w:pPr>
        <w:pBdr>
          <w:top w:val="none" w:sz="0" w:space="0" w:color="auto"/>
          <w:left w:val="none" w:sz="0" w:space="0" w:color="auto"/>
          <w:bottom w:val="none" w:sz="0" w:space="0" w:color="auto"/>
          <w:right w:val="none" w:sz="0" w:space="0" w:color="auto"/>
          <w:bar w:val="none" w:sz="0" w:color="auto"/>
        </w:pBdr>
      </w:pPr>
      <w:r>
        <w:separator/>
      </w:r>
    </w:p>
  </w:footnote>
  <w:footnote w:type="continuationSeparator" w:id="0">
    <w:p w:rsidR="008873AC" w:rsidRDefault="008873AC">
      <w:pPr>
        <w:pBdr>
          <w:top w:val="none" w:sz="0" w:space="0" w:color="auto"/>
          <w:left w:val="none" w:sz="0" w:space="0" w:color="auto"/>
          <w:bottom w:val="none" w:sz="0" w:space="0" w:color="auto"/>
          <w:right w:val="none" w:sz="0" w:space="0" w:color="auto"/>
          <w:bar w:val="none" w:sz="0" w:color="auto"/>
        </w:pBd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3AC" w:rsidRDefault="008873AC" w:rsidP="000543FB">
    <w:pPr>
      <w:pStyle w:val="Header"/>
      <w:framePr w:wrap="around" w:vAnchor="text" w:hAnchor="margin" w:xAlign="right" w:y="1"/>
      <w:pBdr>
        <w:top w:val="none" w:sz="0" w:space="0" w:color="auto"/>
        <w:left w:val="none" w:sz="0" w:space="0" w:color="auto"/>
        <w:bottom w:val="none" w:sz="0" w:space="0" w:color="auto"/>
        <w:right w:val="none" w:sz="0" w:space="0" w:color="auto"/>
        <w:bar w:val="none" w:sz="0" w:color="auto"/>
      </w:pBdr>
      <w:rPr>
        <w:rStyle w:val="PageNumber"/>
        <w:rFonts w:cs="Arial Unicode MS"/>
      </w:rPr>
    </w:pPr>
    <w:r>
      <w:rPr>
        <w:rStyle w:val="PageNumber"/>
        <w:rFonts w:cs="Arial Unicode MS"/>
      </w:rPr>
      <w:fldChar w:fldCharType="begin"/>
    </w:r>
    <w:r>
      <w:rPr>
        <w:rStyle w:val="PageNumber"/>
        <w:rFonts w:cs="Arial Unicode MS"/>
      </w:rPr>
      <w:instrText xml:space="preserve">PAGE  </w:instrText>
    </w:r>
    <w:r>
      <w:rPr>
        <w:rStyle w:val="PageNumber"/>
        <w:rFonts w:cs="Arial Unicode MS"/>
      </w:rPr>
      <w:fldChar w:fldCharType="end"/>
    </w:r>
  </w:p>
  <w:p w:rsidR="008873AC" w:rsidRDefault="008873AC" w:rsidP="000543FB">
    <w:pPr>
      <w:pStyle w:val="Header"/>
      <w:pBdr>
        <w:top w:val="none" w:sz="0" w:space="0" w:color="auto"/>
        <w:left w:val="none" w:sz="0" w:space="0" w:color="auto"/>
        <w:bottom w:val="none" w:sz="0" w:space="0" w:color="auto"/>
        <w:right w:val="none" w:sz="0" w:space="0" w:color="auto"/>
        <w:bar w:val="none" w:sz="0" w:color="auto"/>
      </w:pBd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3AC" w:rsidRPr="000543FB" w:rsidRDefault="008873AC" w:rsidP="000543FB">
    <w:pPr>
      <w:pStyle w:val="Header"/>
      <w:framePr w:wrap="around" w:vAnchor="text" w:hAnchor="page" w:x="10709" w:y="-659"/>
      <w:pBdr>
        <w:top w:val="none" w:sz="0" w:space="0" w:color="auto"/>
        <w:left w:val="none" w:sz="0" w:space="0" w:color="auto"/>
        <w:bottom w:val="none" w:sz="0" w:space="0" w:color="auto"/>
        <w:right w:val="none" w:sz="0" w:space="0" w:color="auto"/>
        <w:bar w:val="none" w:sz="0" w:color="auto"/>
      </w:pBdr>
      <w:rPr>
        <w:rStyle w:val="PageNumber"/>
        <w:rFonts w:cs="Arial Unicode MS"/>
        <w:sz w:val="28"/>
        <w:szCs w:val="28"/>
      </w:rPr>
    </w:pPr>
    <w:r w:rsidRPr="000543FB">
      <w:rPr>
        <w:rStyle w:val="PageNumber"/>
        <w:rFonts w:cs="Arial Unicode MS"/>
        <w:sz w:val="28"/>
        <w:szCs w:val="28"/>
      </w:rPr>
      <w:fldChar w:fldCharType="begin"/>
    </w:r>
    <w:r w:rsidRPr="000543FB">
      <w:rPr>
        <w:rStyle w:val="PageNumber"/>
        <w:rFonts w:cs="Arial Unicode MS"/>
        <w:sz w:val="28"/>
        <w:szCs w:val="28"/>
      </w:rPr>
      <w:instrText xml:space="preserve">PAGE  </w:instrText>
    </w:r>
    <w:r w:rsidRPr="000543FB">
      <w:rPr>
        <w:rStyle w:val="PageNumber"/>
        <w:rFonts w:cs="Arial Unicode MS"/>
        <w:sz w:val="28"/>
        <w:szCs w:val="28"/>
      </w:rPr>
      <w:fldChar w:fldCharType="separate"/>
    </w:r>
    <w:r>
      <w:rPr>
        <w:rStyle w:val="PageNumber"/>
        <w:rFonts w:cs="Arial Unicode MS"/>
        <w:noProof/>
        <w:sz w:val="28"/>
        <w:szCs w:val="28"/>
      </w:rPr>
      <w:t>12</w:t>
    </w:r>
    <w:r w:rsidRPr="000543FB">
      <w:rPr>
        <w:rStyle w:val="PageNumber"/>
        <w:rFonts w:cs="Arial Unicode MS"/>
        <w:sz w:val="28"/>
        <w:szCs w:val="28"/>
      </w:rPr>
      <w:fldChar w:fldCharType="end"/>
    </w:r>
  </w:p>
  <w:p w:rsidR="008873AC" w:rsidRDefault="008873AC" w:rsidP="000543FB">
    <w:pPr>
      <w:pStyle w:val="Header"/>
      <w:pBdr>
        <w:top w:val="none" w:sz="0" w:space="0" w:color="auto"/>
        <w:left w:val="none" w:sz="0" w:space="0" w:color="auto"/>
        <w:bottom w:val="none" w:sz="0" w:space="0" w:color="auto"/>
        <w:right w:val="none" w:sz="0" w:space="0" w:color="auto"/>
        <w:bar w:val="none" w:sz="0" w:color="auto"/>
      </w:pBdr>
      <w:ind w:right="360"/>
    </w:pPr>
    <w:r w:rsidRPr="00043AD4">
      <w:t>Научный журнал КубГАУ, №125</w:t>
    </w:r>
    <w:r w:rsidRPr="00043AD4">
      <w:rPr>
        <w:lang w:val="en-US"/>
      </w:rPr>
      <w:t>(0</w:t>
    </w:r>
    <w:r w:rsidRPr="00043AD4">
      <w:t>1),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3AC" w:rsidRDefault="008873AC" w:rsidP="000543FB">
    <w:pPr>
      <w:pStyle w:val="Header"/>
      <w:pBdr>
        <w:top w:val="none" w:sz="0" w:space="0" w:color="auto"/>
        <w:left w:val="none" w:sz="0" w:space="0" w:color="auto"/>
        <w:bottom w:val="none" w:sz="0" w:space="0" w:color="auto"/>
        <w:right w:val="none" w:sz="0" w:space="0" w:color="auto"/>
        <w:bar w:val="none" w:sz="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A5D14"/>
    <w:multiLevelType w:val="hybridMultilevel"/>
    <w:tmpl w:val="1AEC4388"/>
    <w:styleLink w:val="Dash"/>
    <w:lvl w:ilvl="0" w:tplc="25164590">
      <w:start w:val="1"/>
      <w:numFmt w:val="bullet"/>
      <w:lvlText w:val="-"/>
      <w:lvlJc w:val="left"/>
      <w:pPr>
        <w:ind w:left="349" w:hanging="349"/>
      </w:pPr>
      <w:rPr>
        <w:rFonts w:hAnsi="Arial Unicode MS"/>
        <w:caps w:val="0"/>
        <w:smallCaps w:val="0"/>
        <w:strike w:val="0"/>
        <w:dstrike w:val="0"/>
        <w:outline w:val="0"/>
        <w:emboss w:val="0"/>
        <w:imprint w:val="0"/>
        <w:spacing w:val="0"/>
        <w:w w:val="100"/>
        <w:kern w:val="0"/>
        <w:position w:val="4"/>
        <w:sz w:val="34"/>
        <w:vertAlign w:val="baseline"/>
      </w:rPr>
    </w:lvl>
    <w:lvl w:ilvl="1" w:tplc="24A08FBC">
      <w:start w:val="1"/>
      <w:numFmt w:val="bullet"/>
      <w:lvlText w:val="-"/>
      <w:lvlJc w:val="left"/>
      <w:pPr>
        <w:ind w:left="545" w:hanging="305"/>
      </w:pPr>
      <w:rPr>
        <w:rFonts w:hAnsi="Arial Unicode MS"/>
        <w:caps w:val="0"/>
        <w:smallCaps w:val="0"/>
        <w:strike w:val="0"/>
        <w:dstrike w:val="0"/>
        <w:outline w:val="0"/>
        <w:emboss w:val="0"/>
        <w:imprint w:val="0"/>
        <w:spacing w:val="0"/>
        <w:w w:val="100"/>
        <w:kern w:val="0"/>
        <w:position w:val="4"/>
        <w:sz w:val="34"/>
        <w:vertAlign w:val="baseline"/>
      </w:rPr>
    </w:lvl>
    <w:lvl w:ilvl="2" w:tplc="BDE44E66">
      <w:start w:val="1"/>
      <w:numFmt w:val="bullet"/>
      <w:lvlText w:val="-"/>
      <w:lvlJc w:val="left"/>
      <w:pPr>
        <w:ind w:left="785" w:hanging="305"/>
      </w:pPr>
      <w:rPr>
        <w:rFonts w:hAnsi="Arial Unicode MS"/>
        <w:caps w:val="0"/>
        <w:smallCaps w:val="0"/>
        <w:strike w:val="0"/>
        <w:dstrike w:val="0"/>
        <w:outline w:val="0"/>
        <w:emboss w:val="0"/>
        <w:imprint w:val="0"/>
        <w:spacing w:val="0"/>
        <w:w w:val="100"/>
        <w:kern w:val="0"/>
        <w:position w:val="4"/>
        <w:sz w:val="34"/>
        <w:vertAlign w:val="baseline"/>
      </w:rPr>
    </w:lvl>
    <w:lvl w:ilvl="3" w:tplc="F2B488BE">
      <w:start w:val="1"/>
      <w:numFmt w:val="bullet"/>
      <w:lvlText w:val="-"/>
      <w:lvlJc w:val="left"/>
      <w:pPr>
        <w:ind w:left="1025" w:hanging="305"/>
      </w:pPr>
      <w:rPr>
        <w:rFonts w:hAnsi="Arial Unicode MS"/>
        <w:caps w:val="0"/>
        <w:smallCaps w:val="0"/>
        <w:strike w:val="0"/>
        <w:dstrike w:val="0"/>
        <w:outline w:val="0"/>
        <w:emboss w:val="0"/>
        <w:imprint w:val="0"/>
        <w:spacing w:val="0"/>
        <w:w w:val="100"/>
        <w:kern w:val="0"/>
        <w:position w:val="4"/>
        <w:sz w:val="34"/>
        <w:vertAlign w:val="baseline"/>
      </w:rPr>
    </w:lvl>
    <w:lvl w:ilvl="4" w:tplc="48AC80A2">
      <w:start w:val="1"/>
      <w:numFmt w:val="bullet"/>
      <w:lvlText w:val="-"/>
      <w:lvlJc w:val="left"/>
      <w:pPr>
        <w:ind w:left="1265" w:hanging="305"/>
      </w:pPr>
      <w:rPr>
        <w:rFonts w:hAnsi="Arial Unicode MS"/>
        <w:caps w:val="0"/>
        <w:smallCaps w:val="0"/>
        <w:strike w:val="0"/>
        <w:dstrike w:val="0"/>
        <w:outline w:val="0"/>
        <w:emboss w:val="0"/>
        <w:imprint w:val="0"/>
        <w:spacing w:val="0"/>
        <w:w w:val="100"/>
        <w:kern w:val="0"/>
        <w:position w:val="4"/>
        <w:sz w:val="34"/>
        <w:vertAlign w:val="baseline"/>
      </w:rPr>
    </w:lvl>
    <w:lvl w:ilvl="5" w:tplc="5F223934">
      <w:start w:val="1"/>
      <w:numFmt w:val="bullet"/>
      <w:lvlText w:val="-"/>
      <w:lvlJc w:val="left"/>
      <w:pPr>
        <w:ind w:left="1505" w:hanging="305"/>
      </w:pPr>
      <w:rPr>
        <w:rFonts w:hAnsi="Arial Unicode MS"/>
        <w:caps w:val="0"/>
        <w:smallCaps w:val="0"/>
        <w:strike w:val="0"/>
        <w:dstrike w:val="0"/>
        <w:outline w:val="0"/>
        <w:emboss w:val="0"/>
        <w:imprint w:val="0"/>
        <w:spacing w:val="0"/>
        <w:w w:val="100"/>
        <w:kern w:val="0"/>
        <w:position w:val="4"/>
        <w:sz w:val="34"/>
        <w:vertAlign w:val="baseline"/>
      </w:rPr>
    </w:lvl>
    <w:lvl w:ilvl="6" w:tplc="D8302C50">
      <w:start w:val="1"/>
      <w:numFmt w:val="bullet"/>
      <w:lvlText w:val="-"/>
      <w:lvlJc w:val="left"/>
      <w:pPr>
        <w:ind w:left="1745" w:hanging="305"/>
      </w:pPr>
      <w:rPr>
        <w:rFonts w:hAnsi="Arial Unicode MS"/>
        <w:caps w:val="0"/>
        <w:smallCaps w:val="0"/>
        <w:strike w:val="0"/>
        <w:dstrike w:val="0"/>
        <w:outline w:val="0"/>
        <w:emboss w:val="0"/>
        <w:imprint w:val="0"/>
        <w:spacing w:val="0"/>
        <w:w w:val="100"/>
        <w:kern w:val="0"/>
        <w:position w:val="4"/>
        <w:sz w:val="34"/>
        <w:vertAlign w:val="baseline"/>
      </w:rPr>
    </w:lvl>
    <w:lvl w:ilvl="7" w:tplc="65307212">
      <w:start w:val="1"/>
      <w:numFmt w:val="bullet"/>
      <w:lvlText w:val="-"/>
      <w:lvlJc w:val="left"/>
      <w:pPr>
        <w:ind w:left="1985" w:hanging="305"/>
      </w:pPr>
      <w:rPr>
        <w:rFonts w:hAnsi="Arial Unicode MS"/>
        <w:caps w:val="0"/>
        <w:smallCaps w:val="0"/>
        <w:strike w:val="0"/>
        <w:dstrike w:val="0"/>
        <w:outline w:val="0"/>
        <w:emboss w:val="0"/>
        <w:imprint w:val="0"/>
        <w:spacing w:val="0"/>
        <w:w w:val="100"/>
        <w:kern w:val="0"/>
        <w:position w:val="4"/>
        <w:sz w:val="34"/>
        <w:vertAlign w:val="baseline"/>
      </w:rPr>
    </w:lvl>
    <w:lvl w:ilvl="8" w:tplc="B986CDCE">
      <w:start w:val="1"/>
      <w:numFmt w:val="bullet"/>
      <w:lvlText w:val="-"/>
      <w:lvlJc w:val="left"/>
      <w:pPr>
        <w:ind w:left="2225" w:hanging="305"/>
      </w:pPr>
      <w:rPr>
        <w:rFonts w:hAnsi="Arial Unicode MS"/>
        <w:caps w:val="0"/>
        <w:smallCaps w:val="0"/>
        <w:strike w:val="0"/>
        <w:dstrike w:val="0"/>
        <w:outline w:val="0"/>
        <w:emboss w:val="0"/>
        <w:imprint w:val="0"/>
        <w:spacing w:val="0"/>
        <w:w w:val="100"/>
        <w:kern w:val="0"/>
        <w:position w:val="4"/>
        <w:sz w:val="34"/>
        <w:vertAlign w:val="baseline"/>
      </w:rPr>
    </w:lvl>
  </w:abstractNum>
  <w:abstractNum w:abstractNumId="1">
    <w:nsid w:val="6137446D"/>
    <w:multiLevelType w:val="hybridMultilevel"/>
    <w:tmpl w:val="1AEC4388"/>
    <w:numStyleLink w:val="Dash"/>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autoHyphenation/>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E91"/>
    <w:rsid w:val="00043AD4"/>
    <w:rsid w:val="00052D03"/>
    <w:rsid w:val="000543FB"/>
    <w:rsid w:val="00060260"/>
    <w:rsid w:val="00141CE3"/>
    <w:rsid w:val="0018566D"/>
    <w:rsid w:val="00194024"/>
    <w:rsid w:val="001A5559"/>
    <w:rsid w:val="001D3783"/>
    <w:rsid w:val="001F1A8E"/>
    <w:rsid w:val="00211CC8"/>
    <w:rsid w:val="002C53E9"/>
    <w:rsid w:val="002C79AD"/>
    <w:rsid w:val="00317E9C"/>
    <w:rsid w:val="003A60BB"/>
    <w:rsid w:val="00410FB7"/>
    <w:rsid w:val="00462AC0"/>
    <w:rsid w:val="0048189A"/>
    <w:rsid w:val="004A5C2D"/>
    <w:rsid w:val="004D22D8"/>
    <w:rsid w:val="004D3F4E"/>
    <w:rsid w:val="00526336"/>
    <w:rsid w:val="00594217"/>
    <w:rsid w:val="005E6946"/>
    <w:rsid w:val="00607E91"/>
    <w:rsid w:val="006474DC"/>
    <w:rsid w:val="006936BA"/>
    <w:rsid w:val="006E0931"/>
    <w:rsid w:val="006F478C"/>
    <w:rsid w:val="007209DD"/>
    <w:rsid w:val="00734D9C"/>
    <w:rsid w:val="00742059"/>
    <w:rsid w:val="00752AEF"/>
    <w:rsid w:val="00773BE7"/>
    <w:rsid w:val="007758FE"/>
    <w:rsid w:val="00787606"/>
    <w:rsid w:val="007B19A6"/>
    <w:rsid w:val="007C5A7D"/>
    <w:rsid w:val="0082470A"/>
    <w:rsid w:val="008873AC"/>
    <w:rsid w:val="008D40AA"/>
    <w:rsid w:val="009109BD"/>
    <w:rsid w:val="00954AC7"/>
    <w:rsid w:val="00991516"/>
    <w:rsid w:val="00AD3B5D"/>
    <w:rsid w:val="00AD3E14"/>
    <w:rsid w:val="00B139F9"/>
    <w:rsid w:val="00B53D2F"/>
    <w:rsid w:val="00B557AE"/>
    <w:rsid w:val="00C33BCA"/>
    <w:rsid w:val="00CD4F1C"/>
    <w:rsid w:val="00F00188"/>
    <w:rsid w:val="00F26192"/>
    <w:rsid w:val="00FC01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E14"/>
    <w:pPr>
      <w:pBdr>
        <w:top w:val="none" w:sz="96" w:space="31" w:color="FFFFFF" w:frame="1"/>
        <w:left w:val="none" w:sz="96" w:space="31" w:color="FFFFFF" w:frame="1"/>
        <w:bottom w:val="none" w:sz="96" w:space="31" w:color="FFFFFF" w:frame="1"/>
        <w:right w:val="none" w:sz="96" w:space="31" w:color="FFFFFF" w:frame="1"/>
        <w:bar w:val="none" w:sz="0" w:color="000000"/>
      </w:pBdr>
    </w:pPr>
    <w:rPr>
      <w:rFonts w:cs="Arial Unicode MS"/>
      <w:color w:val="000000"/>
      <w:sz w:val="24"/>
      <w:szCs w:val="24"/>
      <w:u w:color="00000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3E14"/>
    <w:rPr>
      <w:rFonts w:cs="Times New Roman"/>
      <w:u w:val="single"/>
    </w:rPr>
  </w:style>
  <w:style w:type="table" w:customStyle="1" w:styleId="TableNormal1">
    <w:name w:val="Table Normal1"/>
    <w:uiPriority w:val="99"/>
    <w:rsid w:val="00AD3E14"/>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Ind w:w="0" w:type="dxa"/>
      <w:tblCellMar>
        <w:top w:w="0" w:type="dxa"/>
        <w:left w:w="0" w:type="dxa"/>
        <w:bottom w:w="0" w:type="dxa"/>
        <w:right w:w="0" w:type="dxa"/>
      </w:tblCellMar>
    </w:tblPr>
  </w:style>
  <w:style w:type="paragraph" w:customStyle="1" w:styleId="Default">
    <w:name w:val="Default"/>
    <w:uiPriority w:val="99"/>
    <w:rsid w:val="00AD3E14"/>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hAnsi="Helvetica" w:cs="Arial Unicode MS"/>
      <w:color w:val="000000"/>
      <w:lang w:val="en-US"/>
    </w:rPr>
  </w:style>
  <w:style w:type="character" w:customStyle="1" w:styleId="None">
    <w:name w:val="None"/>
    <w:uiPriority w:val="99"/>
    <w:rsid w:val="00AD3E14"/>
  </w:style>
  <w:style w:type="character" w:customStyle="1" w:styleId="Hyperlink0">
    <w:name w:val="Hyperlink.0"/>
    <w:basedOn w:val="None"/>
    <w:uiPriority w:val="99"/>
    <w:rsid w:val="00AD3E14"/>
    <w:rPr>
      <w:rFonts w:cs="Times New Roman"/>
      <w:sz w:val="28"/>
      <w:szCs w:val="28"/>
      <w:lang w:val="en-US"/>
    </w:rPr>
  </w:style>
  <w:style w:type="paragraph" w:customStyle="1" w:styleId="style68">
    <w:name w:val="style68"/>
    <w:basedOn w:val="Normal"/>
    <w:uiPriority w:val="99"/>
    <w:rsid w:val="00FC0161"/>
    <w:pPr>
      <w:pBdr>
        <w:top w:val="none" w:sz="0" w:space="0" w:color="auto"/>
        <w:left w:val="none" w:sz="0" w:space="0" w:color="auto"/>
        <w:bottom w:val="none" w:sz="0" w:space="0" w:color="auto"/>
        <w:right w:val="none" w:sz="0" w:space="0" w:color="auto"/>
        <w:bar w:val="none" w:sz="0" w:color="auto"/>
      </w:pBdr>
      <w:spacing w:after="1"/>
    </w:pPr>
    <w:rPr>
      <w:rFonts w:cs="Times New Roman"/>
      <w:color w:val="auto"/>
    </w:rPr>
  </w:style>
  <w:style w:type="table" w:styleId="TableGrid">
    <w:name w:val="Table Grid"/>
    <w:basedOn w:val="TableNormal"/>
    <w:uiPriority w:val="99"/>
    <w:rsid w:val="00FC0161"/>
    <w:rPr>
      <w:rFonts w:ascii="Helvetica" w:hAnsi="Helvetic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Цитата1"/>
    <w:basedOn w:val="Normal"/>
    <w:uiPriority w:val="99"/>
    <w:rsid w:val="00FC0161"/>
    <w:pPr>
      <w:pBdr>
        <w:top w:val="none" w:sz="0" w:space="0" w:color="auto"/>
        <w:left w:val="none" w:sz="0" w:space="0" w:color="auto"/>
        <w:bottom w:val="none" w:sz="0" w:space="0" w:color="auto"/>
        <w:right w:val="none" w:sz="0" w:space="0" w:color="auto"/>
        <w:bar w:val="none" w:sz="0" w:color="auto"/>
      </w:pBdr>
      <w:spacing w:line="360" w:lineRule="auto"/>
      <w:ind w:left="540" w:right="4598"/>
      <w:jc w:val="both"/>
    </w:pPr>
    <w:rPr>
      <w:rFonts w:cs="Times New Roman"/>
      <w:color w:val="auto"/>
      <w:sz w:val="28"/>
      <w:lang w:eastAsia="ar-SA"/>
    </w:rPr>
  </w:style>
  <w:style w:type="character" w:styleId="Strong">
    <w:name w:val="Strong"/>
    <w:basedOn w:val="DefaultParagraphFont"/>
    <w:uiPriority w:val="99"/>
    <w:qFormat/>
    <w:rsid w:val="009109BD"/>
    <w:rPr>
      <w:rFonts w:cs="Times New Roman"/>
      <w:b/>
      <w:bCs/>
    </w:rPr>
  </w:style>
  <w:style w:type="paragraph" w:styleId="NormalWeb">
    <w:name w:val="Normal (Web)"/>
    <w:basedOn w:val="Normal"/>
    <w:uiPriority w:val="99"/>
    <w:rsid w:val="009109BD"/>
    <w:pPr>
      <w:pBdr>
        <w:top w:val="none" w:sz="0" w:space="0" w:color="auto"/>
        <w:left w:val="none" w:sz="0" w:space="0" w:color="auto"/>
        <w:bottom w:val="none" w:sz="0" w:space="0" w:color="auto"/>
        <w:right w:val="none" w:sz="0" w:space="0" w:color="auto"/>
        <w:bar w:val="none" w:sz="0" w:color="auto"/>
      </w:pBdr>
      <w:spacing w:before="100" w:beforeAutospacing="1" w:after="100" w:afterAutospacing="1" w:line="330" w:lineRule="atLeast"/>
    </w:pPr>
    <w:rPr>
      <w:rFonts w:cs="Times New Roman"/>
      <w:color w:val="auto"/>
    </w:rPr>
  </w:style>
  <w:style w:type="paragraph" w:styleId="Header">
    <w:name w:val="header"/>
    <w:basedOn w:val="Normal"/>
    <w:link w:val="HeaderChar"/>
    <w:uiPriority w:val="99"/>
    <w:rsid w:val="004A5C2D"/>
    <w:pPr>
      <w:tabs>
        <w:tab w:val="center" w:pos="4677"/>
        <w:tab w:val="right" w:pos="9355"/>
      </w:tabs>
    </w:pPr>
  </w:style>
  <w:style w:type="character" w:customStyle="1" w:styleId="HeaderChar">
    <w:name w:val="Header Char"/>
    <w:basedOn w:val="DefaultParagraphFont"/>
    <w:link w:val="Header"/>
    <w:uiPriority w:val="99"/>
    <w:locked/>
    <w:rsid w:val="004A5C2D"/>
    <w:rPr>
      <w:rFonts w:cs="Arial Unicode MS"/>
      <w:color w:val="000000"/>
      <w:sz w:val="24"/>
      <w:szCs w:val="24"/>
      <w:u w:color="000000"/>
    </w:rPr>
  </w:style>
  <w:style w:type="paragraph" w:styleId="Footer">
    <w:name w:val="footer"/>
    <w:basedOn w:val="Normal"/>
    <w:link w:val="FooterChar"/>
    <w:uiPriority w:val="99"/>
    <w:rsid w:val="004A5C2D"/>
    <w:pPr>
      <w:tabs>
        <w:tab w:val="center" w:pos="4677"/>
        <w:tab w:val="right" w:pos="9355"/>
      </w:tabs>
    </w:pPr>
  </w:style>
  <w:style w:type="character" w:customStyle="1" w:styleId="FooterChar">
    <w:name w:val="Footer Char"/>
    <w:basedOn w:val="DefaultParagraphFont"/>
    <w:link w:val="Footer"/>
    <w:uiPriority w:val="99"/>
    <w:locked/>
    <w:rsid w:val="004A5C2D"/>
    <w:rPr>
      <w:rFonts w:cs="Arial Unicode MS"/>
      <w:color w:val="000000"/>
      <w:sz w:val="24"/>
      <w:szCs w:val="24"/>
      <w:u w:color="000000"/>
    </w:rPr>
  </w:style>
  <w:style w:type="character" w:styleId="PageNumber">
    <w:name w:val="page number"/>
    <w:basedOn w:val="DefaultParagraphFont"/>
    <w:uiPriority w:val="99"/>
    <w:rsid w:val="000543FB"/>
    <w:rPr>
      <w:rFonts w:cs="Times New Roman"/>
    </w:rPr>
  </w:style>
  <w:style w:type="numbering" w:customStyle="1" w:styleId="Dash">
    <w:name w:val="Dash"/>
    <w:rsid w:val="00F979C5"/>
    <w:pPr>
      <w:numPr>
        <w:numId w:val="1"/>
      </w:numPr>
    </w:pPr>
  </w:style>
</w:styles>
</file>

<file path=word/webSettings.xml><?xml version="1.0" encoding="utf-8"?>
<w:webSettings xmlns:r="http://schemas.openxmlformats.org/officeDocument/2006/relationships" xmlns:w="http://schemas.openxmlformats.org/wordprocessingml/2006/main">
  <w:divs>
    <w:div w:id="1375696097">
      <w:marLeft w:val="0"/>
      <w:marRight w:val="0"/>
      <w:marTop w:val="0"/>
      <w:marBottom w:val="0"/>
      <w:divBdr>
        <w:top w:val="none" w:sz="0" w:space="0" w:color="auto"/>
        <w:left w:val="none" w:sz="0" w:space="0" w:color="auto"/>
        <w:bottom w:val="none" w:sz="0" w:space="0" w:color="auto"/>
        <w:right w:val="none" w:sz="0" w:space="0" w:color="auto"/>
      </w:divBdr>
    </w:div>
    <w:div w:id="1375696098">
      <w:marLeft w:val="0"/>
      <w:marRight w:val="0"/>
      <w:marTop w:val="0"/>
      <w:marBottom w:val="0"/>
      <w:divBdr>
        <w:top w:val="none" w:sz="0" w:space="0" w:color="auto"/>
        <w:left w:val="none" w:sz="0" w:space="0" w:color="auto"/>
        <w:bottom w:val="none" w:sz="0" w:space="0" w:color="auto"/>
        <w:right w:val="none" w:sz="0" w:space="0" w:color="auto"/>
      </w:divBdr>
      <w:divsChild>
        <w:div w:id="1375696102">
          <w:marLeft w:val="0"/>
          <w:marRight w:val="0"/>
          <w:marTop w:val="0"/>
          <w:marBottom w:val="0"/>
          <w:divBdr>
            <w:top w:val="none" w:sz="0" w:space="0" w:color="auto"/>
            <w:left w:val="none" w:sz="0" w:space="0" w:color="auto"/>
            <w:bottom w:val="none" w:sz="0" w:space="0" w:color="auto"/>
            <w:right w:val="none" w:sz="0" w:space="0" w:color="auto"/>
          </w:divBdr>
          <w:divsChild>
            <w:div w:id="1375696107">
              <w:marLeft w:val="0"/>
              <w:marRight w:val="0"/>
              <w:marTop w:val="0"/>
              <w:marBottom w:val="0"/>
              <w:divBdr>
                <w:top w:val="none" w:sz="0" w:space="0" w:color="auto"/>
                <w:left w:val="none" w:sz="0" w:space="0" w:color="auto"/>
                <w:bottom w:val="none" w:sz="0" w:space="0" w:color="auto"/>
                <w:right w:val="none" w:sz="0" w:space="0" w:color="auto"/>
              </w:divBdr>
              <w:divsChild>
                <w:div w:id="1375696100">
                  <w:marLeft w:val="0"/>
                  <w:marRight w:val="0"/>
                  <w:marTop w:val="0"/>
                  <w:marBottom w:val="0"/>
                  <w:divBdr>
                    <w:top w:val="none" w:sz="0" w:space="0" w:color="auto"/>
                    <w:left w:val="none" w:sz="0" w:space="0" w:color="auto"/>
                    <w:bottom w:val="none" w:sz="0" w:space="0" w:color="auto"/>
                    <w:right w:val="none" w:sz="0" w:space="0" w:color="auto"/>
                  </w:divBdr>
                  <w:divsChild>
                    <w:div w:id="1375696094">
                      <w:marLeft w:val="0"/>
                      <w:marRight w:val="0"/>
                      <w:marTop w:val="0"/>
                      <w:marBottom w:val="0"/>
                      <w:divBdr>
                        <w:top w:val="none" w:sz="0" w:space="0" w:color="auto"/>
                        <w:left w:val="none" w:sz="0" w:space="0" w:color="auto"/>
                        <w:bottom w:val="none" w:sz="0" w:space="0" w:color="auto"/>
                        <w:right w:val="none" w:sz="0" w:space="0" w:color="auto"/>
                      </w:divBdr>
                      <w:divsChild>
                        <w:div w:id="137569610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375696101">
      <w:marLeft w:val="0"/>
      <w:marRight w:val="0"/>
      <w:marTop w:val="0"/>
      <w:marBottom w:val="0"/>
      <w:divBdr>
        <w:top w:val="none" w:sz="0" w:space="0" w:color="auto"/>
        <w:left w:val="none" w:sz="0" w:space="0" w:color="auto"/>
        <w:bottom w:val="none" w:sz="0" w:space="0" w:color="auto"/>
        <w:right w:val="none" w:sz="0" w:space="0" w:color="auto"/>
      </w:divBdr>
      <w:divsChild>
        <w:div w:id="1375696105">
          <w:marLeft w:val="0"/>
          <w:marRight w:val="0"/>
          <w:marTop w:val="0"/>
          <w:marBottom w:val="0"/>
          <w:divBdr>
            <w:top w:val="none" w:sz="0" w:space="0" w:color="auto"/>
            <w:left w:val="none" w:sz="0" w:space="0" w:color="auto"/>
            <w:bottom w:val="none" w:sz="0" w:space="0" w:color="auto"/>
            <w:right w:val="none" w:sz="0" w:space="0" w:color="auto"/>
          </w:divBdr>
          <w:divsChild>
            <w:div w:id="1375696104">
              <w:marLeft w:val="0"/>
              <w:marRight w:val="0"/>
              <w:marTop w:val="0"/>
              <w:marBottom w:val="0"/>
              <w:divBdr>
                <w:top w:val="none" w:sz="0" w:space="0" w:color="auto"/>
                <w:left w:val="none" w:sz="0" w:space="0" w:color="auto"/>
                <w:bottom w:val="none" w:sz="0" w:space="0" w:color="auto"/>
                <w:right w:val="none" w:sz="0" w:space="0" w:color="auto"/>
              </w:divBdr>
              <w:divsChild>
                <w:div w:id="1375696099">
                  <w:marLeft w:val="0"/>
                  <w:marRight w:val="0"/>
                  <w:marTop w:val="0"/>
                  <w:marBottom w:val="0"/>
                  <w:divBdr>
                    <w:top w:val="none" w:sz="0" w:space="0" w:color="auto"/>
                    <w:left w:val="none" w:sz="0" w:space="0" w:color="auto"/>
                    <w:bottom w:val="none" w:sz="0" w:space="0" w:color="auto"/>
                    <w:right w:val="none" w:sz="0" w:space="0" w:color="auto"/>
                  </w:divBdr>
                  <w:divsChild>
                    <w:div w:id="1375696095">
                      <w:marLeft w:val="0"/>
                      <w:marRight w:val="0"/>
                      <w:marTop w:val="0"/>
                      <w:marBottom w:val="0"/>
                      <w:divBdr>
                        <w:top w:val="none" w:sz="0" w:space="0" w:color="auto"/>
                        <w:left w:val="none" w:sz="0" w:space="0" w:color="auto"/>
                        <w:bottom w:val="none" w:sz="0" w:space="0" w:color="auto"/>
                        <w:right w:val="none" w:sz="0" w:space="0" w:color="auto"/>
                      </w:divBdr>
                      <w:divsChild>
                        <w:div w:id="137569609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375696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mcenter.ru/standards-msf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msfo-practice.ru"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gaap.ru" TargetMode="External"/><Relationship Id="rId4" Type="http://schemas.openxmlformats.org/officeDocument/2006/relationships/webSettings" Target="webSettings.xml"/><Relationship Id="rId9" Type="http://schemas.openxmlformats.org/officeDocument/2006/relationships/hyperlink" Target="http://www.consultant.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12</Pages>
  <Words>3201</Words>
  <Characters>18250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Sergey</cp:lastModifiedBy>
  <cp:revision>15</cp:revision>
  <dcterms:created xsi:type="dcterms:W3CDTF">2016-12-19T07:50:00Z</dcterms:created>
  <dcterms:modified xsi:type="dcterms:W3CDTF">2017-01-21T20:37:00Z</dcterms:modified>
</cp:coreProperties>
</file>