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tblLook w:val="00A0" w:firstRow="1" w:lastRow="0" w:firstColumn="1" w:lastColumn="0" w:noHBand="0" w:noVBand="0"/>
      </w:tblPr>
      <w:tblGrid>
        <w:gridCol w:w="4670"/>
        <w:gridCol w:w="4616"/>
      </w:tblGrid>
      <w:tr w:rsidR="00991A3C" w:rsidRPr="00DE7A8B" w:rsidTr="009C1324">
        <w:trPr>
          <w:trHeight w:val="11912"/>
        </w:trPr>
        <w:tc>
          <w:tcPr>
            <w:tcW w:w="4785" w:type="dxa"/>
          </w:tcPr>
          <w:p w:rsidR="00991A3C" w:rsidRPr="009C1324"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УДК 331.25 (470+571)</w:t>
            </w:r>
          </w:p>
          <w:p w:rsidR="00991A3C" w:rsidRPr="009C1324" w:rsidRDefault="00991A3C" w:rsidP="009C1324">
            <w:pPr>
              <w:spacing w:after="0" w:line="240" w:lineRule="auto"/>
              <w:rPr>
                <w:rFonts w:ascii="Times New Roman" w:hAnsi="Times New Roman"/>
                <w:sz w:val="20"/>
                <w:szCs w:val="20"/>
                <w:lang w:eastAsia="ru-RU"/>
              </w:rPr>
            </w:pPr>
          </w:p>
          <w:p w:rsidR="00991A3C" w:rsidRPr="009C1324"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 xml:space="preserve">08.00.00 Экономические науки </w:t>
            </w:r>
          </w:p>
          <w:p w:rsidR="00991A3C" w:rsidRPr="009C1324" w:rsidRDefault="00991A3C" w:rsidP="009C1324">
            <w:pPr>
              <w:spacing w:after="0" w:line="240" w:lineRule="auto"/>
              <w:rPr>
                <w:rFonts w:ascii="Times New Roman" w:hAnsi="Times New Roman"/>
                <w:b/>
                <w:sz w:val="20"/>
                <w:szCs w:val="20"/>
                <w:lang w:eastAsia="ru-RU"/>
              </w:rPr>
            </w:pPr>
          </w:p>
          <w:p w:rsidR="00991A3C" w:rsidRPr="009C1324" w:rsidRDefault="00991A3C" w:rsidP="009C1324">
            <w:pPr>
              <w:spacing w:after="0" w:line="240" w:lineRule="auto"/>
              <w:rPr>
                <w:rFonts w:ascii="Times New Roman" w:hAnsi="Times New Roman"/>
                <w:b/>
                <w:sz w:val="20"/>
                <w:szCs w:val="20"/>
                <w:lang w:eastAsia="ru-RU"/>
              </w:rPr>
            </w:pPr>
            <w:r w:rsidRPr="009C1324">
              <w:rPr>
                <w:rFonts w:ascii="Times New Roman" w:hAnsi="Times New Roman"/>
                <w:b/>
                <w:sz w:val="20"/>
                <w:szCs w:val="20"/>
                <w:lang w:eastAsia="ru-RU"/>
              </w:rPr>
              <w:t>РАЗВИТИЕ ИНДУСТРИИ ПЕНСИОННЫХ УСЛУГ В РФ НА ОСНОВЕ КРИТЕРИЕВ ОБ</w:t>
            </w:r>
            <w:r w:rsidRPr="009C1324">
              <w:rPr>
                <w:rFonts w:ascii="Times New Roman" w:hAnsi="Times New Roman"/>
                <w:b/>
                <w:sz w:val="20"/>
                <w:szCs w:val="20"/>
                <w:lang w:eastAsia="ru-RU"/>
              </w:rPr>
              <w:t>Ъ</w:t>
            </w:r>
            <w:r w:rsidRPr="009C1324">
              <w:rPr>
                <w:rFonts w:ascii="Times New Roman" w:hAnsi="Times New Roman"/>
                <w:b/>
                <w:sz w:val="20"/>
                <w:szCs w:val="20"/>
                <w:lang w:eastAsia="ru-RU"/>
              </w:rPr>
              <w:t>ЕКТИВНОЙ ОЦЕНКИ</w:t>
            </w:r>
          </w:p>
          <w:p w:rsidR="00991A3C" w:rsidRPr="009C1324" w:rsidRDefault="00991A3C" w:rsidP="009C1324">
            <w:pPr>
              <w:spacing w:after="0" w:line="240" w:lineRule="auto"/>
              <w:rPr>
                <w:rFonts w:ascii="Times New Roman" w:hAnsi="Times New Roman"/>
                <w:sz w:val="20"/>
                <w:szCs w:val="20"/>
                <w:lang w:eastAsia="ru-RU"/>
              </w:rPr>
            </w:pPr>
          </w:p>
          <w:p w:rsidR="00991A3C" w:rsidRPr="00A403DA"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 xml:space="preserve">Ворошилова Ирина Валентиновна </w:t>
            </w:r>
          </w:p>
          <w:p w:rsidR="00991A3C" w:rsidRPr="009C1324"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д.э.н., профессор кафедры денежного обращения и кредита</w:t>
            </w:r>
          </w:p>
          <w:p w:rsidR="00991A3C" w:rsidRPr="009C1324" w:rsidRDefault="00991A3C" w:rsidP="009C1324">
            <w:pPr>
              <w:spacing w:after="0" w:line="240" w:lineRule="auto"/>
              <w:rPr>
                <w:rFonts w:ascii="Times New Roman" w:hAnsi="Times New Roman"/>
                <w:sz w:val="20"/>
                <w:szCs w:val="20"/>
                <w:lang w:eastAsia="ru-RU"/>
              </w:rPr>
            </w:pPr>
          </w:p>
          <w:p w:rsidR="00991A3C" w:rsidRPr="00DE7A8B"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Мирошниченко Марина Борисовна</w:t>
            </w:r>
          </w:p>
          <w:p w:rsidR="00991A3C" w:rsidRPr="00DE7A8B"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соискатель кафедры денежного обращения и кр</w:t>
            </w:r>
            <w:r w:rsidRPr="009C1324">
              <w:rPr>
                <w:rFonts w:ascii="Times New Roman" w:hAnsi="Times New Roman"/>
                <w:sz w:val="20"/>
                <w:szCs w:val="20"/>
                <w:lang w:eastAsia="ru-RU"/>
              </w:rPr>
              <w:t>е</w:t>
            </w:r>
            <w:r w:rsidRPr="009C1324">
              <w:rPr>
                <w:rFonts w:ascii="Times New Roman" w:hAnsi="Times New Roman"/>
                <w:sz w:val="20"/>
                <w:szCs w:val="20"/>
                <w:lang w:eastAsia="ru-RU"/>
              </w:rPr>
              <w:t xml:space="preserve">дита </w:t>
            </w:r>
          </w:p>
          <w:p w:rsidR="00991A3C" w:rsidRPr="009C1324" w:rsidRDefault="00991A3C" w:rsidP="009C1324">
            <w:pPr>
              <w:spacing w:after="0" w:line="240" w:lineRule="auto"/>
              <w:rPr>
                <w:rFonts w:ascii="Times New Roman" w:hAnsi="Times New Roman"/>
                <w:sz w:val="20"/>
                <w:szCs w:val="20"/>
                <w:lang w:eastAsia="ru-RU"/>
              </w:rPr>
            </w:pPr>
            <w:r w:rsidRPr="009C1324">
              <w:rPr>
                <w:rFonts w:ascii="Times New Roman" w:hAnsi="Times New Roman"/>
                <w:i/>
                <w:sz w:val="20"/>
                <w:szCs w:val="20"/>
                <w:lang w:eastAsia="ru-RU"/>
              </w:rPr>
              <w:t>Кубанский государственный аграрный универс</w:t>
            </w:r>
            <w:r w:rsidRPr="009C1324">
              <w:rPr>
                <w:rFonts w:ascii="Times New Roman" w:hAnsi="Times New Roman"/>
                <w:i/>
                <w:sz w:val="20"/>
                <w:szCs w:val="20"/>
                <w:lang w:eastAsia="ru-RU"/>
              </w:rPr>
              <w:t>и</w:t>
            </w:r>
            <w:r w:rsidRPr="009C1324">
              <w:rPr>
                <w:rFonts w:ascii="Times New Roman" w:hAnsi="Times New Roman"/>
                <w:i/>
                <w:sz w:val="20"/>
                <w:szCs w:val="20"/>
                <w:lang w:eastAsia="ru-RU"/>
              </w:rPr>
              <w:t xml:space="preserve">тет, Краснодар, Россия </w:t>
            </w:r>
          </w:p>
          <w:p w:rsidR="00991A3C" w:rsidRPr="009C1324" w:rsidRDefault="00991A3C" w:rsidP="009C1324">
            <w:pPr>
              <w:spacing w:after="0" w:line="240" w:lineRule="auto"/>
              <w:rPr>
                <w:rFonts w:ascii="Times New Roman" w:hAnsi="Times New Roman"/>
                <w:sz w:val="20"/>
                <w:szCs w:val="20"/>
                <w:lang w:eastAsia="ru-RU"/>
              </w:rPr>
            </w:pPr>
          </w:p>
          <w:p w:rsidR="00991A3C" w:rsidRPr="00DE7A8B"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В статье исследуются вопросы функционирования негосударственных пенсионных фондов (НПФ)</w:t>
            </w:r>
            <w:r w:rsidRPr="009C1324">
              <w:rPr>
                <w:rFonts w:ascii="Times New Roman" w:hAnsi="Times New Roman"/>
                <w:color w:val="000000"/>
                <w:sz w:val="20"/>
                <w:szCs w:val="20"/>
                <w:lang w:eastAsia="ru-RU"/>
              </w:rPr>
              <w:t xml:space="preserve"> как альтернативных по отношению к государственной системе пенсионного обеспечения институтов с</w:t>
            </w:r>
            <w:r w:rsidRPr="009C1324">
              <w:rPr>
                <w:rFonts w:ascii="Times New Roman" w:hAnsi="Times New Roman"/>
                <w:color w:val="000000"/>
                <w:sz w:val="20"/>
                <w:szCs w:val="20"/>
                <w:lang w:eastAsia="ru-RU"/>
              </w:rPr>
              <w:t>о</w:t>
            </w:r>
            <w:r w:rsidRPr="009C1324">
              <w:rPr>
                <w:rFonts w:ascii="Times New Roman" w:hAnsi="Times New Roman"/>
                <w:color w:val="000000"/>
                <w:sz w:val="20"/>
                <w:szCs w:val="20"/>
                <w:lang w:eastAsia="ru-RU"/>
              </w:rPr>
              <w:t>циальной защиты населения в современных экон</w:t>
            </w:r>
            <w:r w:rsidRPr="009C1324">
              <w:rPr>
                <w:rFonts w:ascii="Times New Roman" w:hAnsi="Times New Roman"/>
                <w:color w:val="000000"/>
                <w:sz w:val="20"/>
                <w:szCs w:val="20"/>
                <w:lang w:eastAsia="ru-RU"/>
              </w:rPr>
              <w:t>о</w:t>
            </w:r>
            <w:r w:rsidRPr="009C1324">
              <w:rPr>
                <w:rFonts w:ascii="Times New Roman" w:hAnsi="Times New Roman"/>
                <w:color w:val="000000"/>
                <w:sz w:val="20"/>
                <w:szCs w:val="20"/>
                <w:lang w:eastAsia="ru-RU"/>
              </w:rPr>
              <w:t>мических условиях характеризующихся усилением процессов финансовой глобализации и нестабил</w:t>
            </w:r>
            <w:r w:rsidRPr="009C1324">
              <w:rPr>
                <w:rFonts w:ascii="Times New Roman" w:hAnsi="Times New Roman"/>
                <w:color w:val="000000"/>
                <w:sz w:val="20"/>
                <w:szCs w:val="20"/>
                <w:lang w:eastAsia="ru-RU"/>
              </w:rPr>
              <w:t>ь</w:t>
            </w:r>
            <w:r w:rsidRPr="009C1324">
              <w:rPr>
                <w:rFonts w:ascii="Times New Roman" w:hAnsi="Times New Roman"/>
                <w:color w:val="000000"/>
                <w:sz w:val="20"/>
                <w:szCs w:val="20"/>
                <w:lang w:eastAsia="ru-RU"/>
              </w:rPr>
              <w:t>ности, закрытием внешних каналов финансиров</w:t>
            </w:r>
            <w:r w:rsidRPr="009C1324">
              <w:rPr>
                <w:rFonts w:ascii="Times New Roman" w:hAnsi="Times New Roman"/>
                <w:color w:val="000000"/>
                <w:sz w:val="20"/>
                <w:szCs w:val="20"/>
                <w:lang w:eastAsia="ru-RU"/>
              </w:rPr>
              <w:t>а</w:t>
            </w:r>
            <w:r w:rsidRPr="009C1324">
              <w:rPr>
                <w:rFonts w:ascii="Times New Roman" w:hAnsi="Times New Roman"/>
                <w:color w:val="000000"/>
                <w:sz w:val="20"/>
                <w:szCs w:val="20"/>
                <w:lang w:eastAsia="ru-RU"/>
              </w:rPr>
              <w:t>ния, политическими угрозами и вызовами со ст</w:t>
            </w:r>
            <w:r w:rsidRPr="009C1324">
              <w:rPr>
                <w:rFonts w:ascii="Times New Roman" w:hAnsi="Times New Roman"/>
                <w:color w:val="000000"/>
                <w:sz w:val="20"/>
                <w:szCs w:val="20"/>
                <w:lang w:eastAsia="ru-RU"/>
              </w:rPr>
              <w:t>о</w:t>
            </w:r>
            <w:r w:rsidRPr="009C1324">
              <w:rPr>
                <w:rFonts w:ascii="Times New Roman" w:hAnsi="Times New Roman"/>
                <w:color w:val="000000"/>
                <w:sz w:val="20"/>
                <w:szCs w:val="20"/>
                <w:lang w:eastAsia="ru-RU"/>
              </w:rPr>
              <w:t>роны США и ряда стран мирового экономического сообщества. В ходе исследования установлено, что индустрия пенсионных услуг развивается в жес</w:t>
            </w:r>
            <w:r w:rsidRPr="009C1324">
              <w:rPr>
                <w:rFonts w:ascii="Times New Roman" w:hAnsi="Times New Roman"/>
                <w:color w:val="000000"/>
                <w:sz w:val="20"/>
                <w:szCs w:val="20"/>
                <w:lang w:eastAsia="ru-RU"/>
              </w:rPr>
              <w:t>т</w:t>
            </w:r>
            <w:r w:rsidRPr="009C1324">
              <w:rPr>
                <w:rFonts w:ascii="Times New Roman" w:hAnsi="Times New Roman"/>
                <w:color w:val="000000"/>
                <w:sz w:val="20"/>
                <w:szCs w:val="20"/>
                <w:lang w:eastAsia="ru-RU"/>
              </w:rPr>
              <w:t>ких условиях ведения бизнеса и постоянных трансформаций правового и организационного х</w:t>
            </w:r>
            <w:r w:rsidRPr="009C1324">
              <w:rPr>
                <w:rFonts w:ascii="Times New Roman" w:hAnsi="Times New Roman"/>
                <w:color w:val="000000"/>
                <w:sz w:val="20"/>
                <w:szCs w:val="20"/>
                <w:lang w:eastAsia="ru-RU"/>
              </w:rPr>
              <w:t>а</w:t>
            </w:r>
            <w:r w:rsidRPr="009C1324">
              <w:rPr>
                <w:rFonts w:ascii="Times New Roman" w:hAnsi="Times New Roman"/>
                <w:color w:val="000000"/>
                <w:sz w:val="20"/>
                <w:szCs w:val="20"/>
                <w:lang w:eastAsia="ru-RU"/>
              </w:rPr>
              <w:t>рактера; современный этап реформирования нац</w:t>
            </w:r>
            <w:r w:rsidRPr="009C1324">
              <w:rPr>
                <w:rFonts w:ascii="Times New Roman" w:hAnsi="Times New Roman"/>
                <w:color w:val="000000"/>
                <w:sz w:val="20"/>
                <w:szCs w:val="20"/>
                <w:lang w:eastAsia="ru-RU"/>
              </w:rPr>
              <w:t>е</w:t>
            </w:r>
            <w:r w:rsidRPr="009C1324">
              <w:rPr>
                <w:rFonts w:ascii="Times New Roman" w:hAnsi="Times New Roman"/>
                <w:color w:val="000000"/>
                <w:sz w:val="20"/>
                <w:szCs w:val="20"/>
                <w:lang w:eastAsia="ru-RU"/>
              </w:rPr>
              <w:t>лен на  формирование многоуровневой пенсионной системы для улучшения пенсионного обеспечения граждан; проявляется неблагоприятная для де</w:t>
            </w:r>
            <w:r w:rsidRPr="009C1324">
              <w:rPr>
                <w:rFonts w:ascii="Times New Roman" w:hAnsi="Times New Roman"/>
                <w:color w:val="000000"/>
                <w:sz w:val="20"/>
                <w:szCs w:val="20"/>
                <w:lang w:eastAsia="ru-RU"/>
              </w:rPr>
              <w:t>я</w:t>
            </w:r>
            <w:r w:rsidRPr="009C1324">
              <w:rPr>
                <w:rFonts w:ascii="Times New Roman" w:hAnsi="Times New Roman"/>
                <w:color w:val="000000"/>
                <w:sz w:val="20"/>
                <w:szCs w:val="20"/>
                <w:lang w:eastAsia="ru-RU"/>
              </w:rPr>
              <w:t>тельности НПФ демографическая статистика Ро</w:t>
            </w:r>
            <w:r w:rsidRPr="009C1324">
              <w:rPr>
                <w:rFonts w:ascii="Times New Roman" w:hAnsi="Times New Roman"/>
                <w:color w:val="000000"/>
                <w:sz w:val="20"/>
                <w:szCs w:val="20"/>
                <w:lang w:eastAsia="ru-RU"/>
              </w:rPr>
              <w:t>с</w:t>
            </w:r>
            <w:r w:rsidRPr="009C1324">
              <w:rPr>
                <w:rFonts w:ascii="Times New Roman" w:hAnsi="Times New Roman"/>
                <w:color w:val="000000"/>
                <w:sz w:val="20"/>
                <w:szCs w:val="20"/>
                <w:lang w:eastAsia="ru-RU"/>
              </w:rPr>
              <w:t xml:space="preserve">сии.  Изучен инвестиционный </w:t>
            </w:r>
            <w:r w:rsidRPr="009C1324">
              <w:rPr>
                <w:rFonts w:ascii="Times New Roman" w:hAnsi="Times New Roman"/>
                <w:color w:val="000000"/>
                <w:sz w:val="20"/>
                <w:szCs w:val="20"/>
                <w:shd w:val="clear" w:color="auto" w:fill="FFFFFF"/>
                <w:lang w:eastAsia="ru-RU"/>
              </w:rPr>
              <w:t>потенциал наиболее крупных НПФ РФ в качестве поставщиков инв</w:t>
            </w:r>
            <w:r w:rsidRPr="009C1324">
              <w:rPr>
                <w:rFonts w:ascii="Times New Roman" w:hAnsi="Times New Roman"/>
                <w:color w:val="000000"/>
                <w:sz w:val="20"/>
                <w:szCs w:val="20"/>
                <w:shd w:val="clear" w:color="auto" w:fill="FFFFFF"/>
                <w:lang w:eastAsia="ru-RU"/>
              </w:rPr>
              <w:t>е</w:t>
            </w:r>
            <w:r w:rsidRPr="009C1324">
              <w:rPr>
                <w:rFonts w:ascii="Times New Roman" w:hAnsi="Times New Roman"/>
                <w:color w:val="000000"/>
                <w:sz w:val="20"/>
                <w:szCs w:val="20"/>
                <w:shd w:val="clear" w:color="auto" w:fill="FFFFFF"/>
                <w:lang w:eastAsia="ru-RU"/>
              </w:rPr>
              <w:t>стиционных ресурсов по ключевым показателям, отражающим успешность развития бизнеса кру</w:t>
            </w:r>
            <w:r w:rsidRPr="009C1324">
              <w:rPr>
                <w:rFonts w:ascii="Times New Roman" w:hAnsi="Times New Roman"/>
                <w:color w:val="000000"/>
                <w:sz w:val="20"/>
                <w:szCs w:val="20"/>
                <w:shd w:val="clear" w:color="auto" w:fill="FFFFFF"/>
                <w:lang w:eastAsia="ru-RU"/>
              </w:rPr>
              <w:t>п</w:t>
            </w:r>
            <w:r w:rsidRPr="009C1324">
              <w:rPr>
                <w:rFonts w:ascii="Times New Roman" w:hAnsi="Times New Roman"/>
                <w:color w:val="000000"/>
                <w:sz w:val="20"/>
                <w:szCs w:val="20"/>
                <w:shd w:val="clear" w:color="auto" w:fill="FFFFFF"/>
                <w:lang w:eastAsia="ru-RU"/>
              </w:rPr>
              <w:t>ных фондов. Исследованы инвестиционные страт</w:t>
            </w:r>
            <w:r w:rsidRPr="009C1324">
              <w:rPr>
                <w:rFonts w:ascii="Times New Roman" w:hAnsi="Times New Roman"/>
                <w:color w:val="000000"/>
                <w:sz w:val="20"/>
                <w:szCs w:val="20"/>
                <w:shd w:val="clear" w:color="auto" w:fill="FFFFFF"/>
                <w:lang w:eastAsia="ru-RU"/>
              </w:rPr>
              <w:t>е</w:t>
            </w:r>
            <w:r w:rsidRPr="009C1324">
              <w:rPr>
                <w:rFonts w:ascii="Times New Roman" w:hAnsi="Times New Roman"/>
                <w:color w:val="000000"/>
                <w:sz w:val="20"/>
                <w:szCs w:val="20"/>
                <w:shd w:val="clear" w:color="auto" w:fill="FFFFFF"/>
                <w:lang w:eastAsia="ru-RU"/>
              </w:rPr>
              <w:t>гии и структура инвестиционных портфелей НПФ, в которых преобладают</w:t>
            </w:r>
            <w:r w:rsidRPr="009C1324">
              <w:rPr>
                <w:rFonts w:ascii="Times New Roman" w:hAnsi="Times New Roman"/>
                <w:color w:val="060014"/>
                <w:sz w:val="20"/>
                <w:szCs w:val="20"/>
                <w:lang w:eastAsia="ru-RU"/>
              </w:rPr>
              <w:t xml:space="preserve"> облигации корпоративного сектора и средства, размещенные на банковские депозиты. Оценен потенциал расширения инвест</w:t>
            </w:r>
            <w:r w:rsidRPr="009C1324">
              <w:rPr>
                <w:rFonts w:ascii="Times New Roman" w:hAnsi="Times New Roman"/>
                <w:color w:val="060014"/>
                <w:sz w:val="20"/>
                <w:szCs w:val="20"/>
                <w:lang w:eastAsia="ru-RU"/>
              </w:rPr>
              <w:t>и</w:t>
            </w:r>
            <w:r w:rsidRPr="009C1324">
              <w:rPr>
                <w:rFonts w:ascii="Times New Roman" w:hAnsi="Times New Roman"/>
                <w:color w:val="060014"/>
                <w:sz w:val="20"/>
                <w:szCs w:val="20"/>
                <w:lang w:eastAsia="ru-RU"/>
              </w:rPr>
              <w:t>ционных портфелей НПФ за счет реализации секъюритизированных сделок. Обоснованы крит</w:t>
            </w:r>
            <w:r w:rsidRPr="009C1324">
              <w:rPr>
                <w:rFonts w:ascii="Times New Roman" w:hAnsi="Times New Roman"/>
                <w:color w:val="060014"/>
                <w:sz w:val="20"/>
                <w:szCs w:val="20"/>
                <w:lang w:eastAsia="ru-RU"/>
              </w:rPr>
              <w:t>е</w:t>
            </w:r>
            <w:r w:rsidRPr="009C1324">
              <w:rPr>
                <w:rFonts w:ascii="Times New Roman" w:hAnsi="Times New Roman"/>
                <w:color w:val="060014"/>
                <w:sz w:val="20"/>
                <w:szCs w:val="20"/>
                <w:lang w:eastAsia="ru-RU"/>
              </w:rPr>
              <w:t>рии объективной оценки НПФ с учетом состояния среды функционирования</w:t>
            </w:r>
          </w:p>
          <w:p w:rsidR="00991A3C" w:rsidRPr="009C1324" w:rsidRDefault="00991A3C" w:rsidP="009C1324">
            <w:pPr>
              <w:spacing w:after="0" w:line="240" w:lineRule="auto"/>
              <w:rPr>
                <w:rFonts w:ascii="Times New Roman" w:hAnsi="Times New Roman"/>
                <w:sz w:val="20"/>
                <w:szCs w:val="20"/>
                <w:lang w:eastAsia="ru-RU"/>
              </w:rPr>
            </w:pPr>
          </w:p>
          <w:p w:rsidR="00991A3C" w:rsidRPr="009C1324" w:rsidRDefault="00991A3C" w:rsidP="009C1324">
            <w:pPr>
              <w:spacing w:after="0" w:line="240" w:lineRule="auto"/>
              <w:rPr>
                <w:rFonts w:ascii="Times New Roman" w:hAnsi="Times New Roman"/>
                <w:sz w:val="20"/>
                <w:szCs w:val="20"/>
                <w:lang w:eastAsia="ru-RU"/>
              </w:rPr>
            </w:pPr>
            <w:r w:rsidRPr="009C1324">
              <w:rPr>
                <w:rFonts w:ascii="Times New Roman" w:hAnsi="Times New Roman"/>
                <w:sz w:val="20"/>
                <w:szCs w:val="20"/>
                <w:lang w:eastAsia="ru-RU"/>
              </w:rPr>
              <w:t xml:space="preserve">Ключевые слова: </w:t>
            </w:r>
            <w:r w:rsidRPr="009C1324">
              <w:rPr>
                <w:rFonts w:ascii="Times New Roman" w:hAnsi="Times New Roman"/>
                <w:caps/>
                <w:sz w:val="20"/>
                <w:szCs w:val="20"/>
                <w:lang w:eastAsia="ru-RU"/>
              </w:rPr>
              <w:t>негосударственные пе</w:t>
            </w:r>
            <w:r w:rsidRPr="009C1324">
              <w:rPr>
                <w:rFonts w:ascii="Times New Roman" w:hAnsi="Times New Roman"/>
                <w:caps/>
                <w:sz w:val="20"/>
                <w:szCs w:val="20"/>
                <w:lang w:eastAsia="ru-RU"/>
              </w:rPr>
              <w:t>н</w:t>
            </w:r>
            <w:r w:rsidRPr="009C1324">
              <w:rPr>
                <w:rFonts w:ascii="Times New Roman" w:hAnsi="Times New Roman"/>
                <w:caps/>
                <w:sz w:val="20"/>
                <w:szCs w:val="20"/>
                <w:lang w:eastAsia="ru-RU"/>
              </w:rPr>
              <w:t>сионные фонды, инвестиционные р</w:t>
            </w:r>
            <w:r w:rsidRPr="009C1324">
              <w:rPr>
                <w:rFonts w:ascii="Times New Roman" w:hAnsi="Times New Roman"/>
                <w:caps/>
                <w:sz w:val="20"/>
                <w:szCs w:val="20"/>
                <w:lang w:eastAsia="ru-RU"/>
              </w:rPr>
              <w:t>е</w:t>
            </w:r>
            <w:r w:rsidRPr="009C1324">
              <w:rPr>
                <w:rFonts w:ascii="Times New Roman" w:hAnsi="Times New Roman"/>
                <w:caps/>
                <w:sz w:val="20"/>
                <w:szCs w:val="20"/>
                <w:lang w:eastAsia="ru-RU"/>
              </w:rPr>
              <w:t>сурсы, инвестиционные стратегии, секьюритизированные сделки, крит</w:t>
            </w:r>
            <w:r w:rsidRPr="009C1324">
              <w:rPr>
                <w:rFonts w:ascii="Times New Roman" w:hAnsi="Times New Roman"/>
                <w:caps/>
                <w:sz w:val="20"/>
                <w:szCs w:val="20"/>
                <w:lang w:eastAsia="ru-RU"/>
              </w:rPr>
              <w:t>е</w:t>
            </w:r>
            <w:r w:rsidRPr="009C1324">
              <w:rPr>
                <w:rFonts w:ascii="Times New Roman" w:hAnsi="Times New Roman"/>
                <w:caps/>
                <w:sz w:val="20"/>
                <w:szCs w:val="20"/>
                <w:lang w:eastAsia="ru-RU"/>
              </w:rPr>
              <w:t>рии объективной оценки, ВНЕШНЯЯ СРЕДА ФУНКЦИОНИРОВАНИЯ</w:t>
            </w:r>
          </w:p>
        </w:tc>
        <w:tc>
          <w:tcPr>
            <w:tcW w:w="4786" w:type="dxa"/>
          </w:tcPr>
          <w:p w:rsidR="00991A3C" w:rsidRPr="009C1324"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sz w:val="20"/>
                <w:szCs w:val="20"/>
                <w:lang w:val="en-US" w:eastAsia="ru-RU"/>
              </w:rPr>
              <w:t>UDC 331.25 (470+571)</w:t>
            </w:r>
          </w:p>
          <w:p w:rsidR="00991A3C" w:rsidRPr="009C1324" w:rsidRDefault="00991A3C" w:rsidP="009C1324">
            <w:pPr>
              <w:spacing w:after="0" w:line="240" w:lineRule="auto"/>
              <w:rPr>
                <w:rFonts w:ascii="Times New Roman" w:hAnsi="Times New Roman"/>
                <w:sz w:val="20"/>
                <w:szCs w:val="20"/>
                <w:lang w:val="en-US" w:eastAsia="ru-RU"/>
              </w:rPr>
            </w:pPr>
          </w:p>
          <w:p w:rsidR="00991A3C" w:rsidRPr="009C1324"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sz w:val="20"/>
                <w:szCs w:val="20"/>
                <w:lang w:val="en-US" w:eastAsia="ru-RU"/>
              </w:rPr>
              <w:t xml:space="preserve">Economic sciences </w:t>
            </w:r>
          </w:p>
          <w:p w:rsidR="00991A3C" w:rsidRPr="009C1324" w:rsidRDefault="00991A3C" w:rsidP="009C1324">
            <w:pPr>
              <w:spacing w:after="0" w:line="240" w:lineRule="auto"/>
              <w:rPr>
                <w:rFonts w:ascii="Times New Roman" w:hAnsi="Times New Roman"/>
                <w:sz w:val="20"/>
                <w:szCs w:val="20"/>
                <w:lang w:val="en-US" w:eastAsia="ru-RU"/>
              </w:rPr>
            </w:pPr>
          </w:p>
          <w:p w:rsidR="00991A3C" w:rsidRPr="009C1324" w:rsidRDefault="00991A3C" w:rsidP="009C1324">
            <w:pPr>
              <w:spacing w:after="0" w:line="240" w:lineRule="auto"/>
              <w:rPr>
                <w:rFonts w:ascii="Times New Roman" w:hAnsi="Times New Roman"/>
                <w:b/>
                <w:sz w:val="20"/>
                <w:szCs w:val="20"/>
                <w:lang w:val="en-US" w:eastAsia="ru-RU"/>
              </w:rPr>
            </w:pPr>
            <w:r w:rsidRPr="009C1324">
              <w:rPr>
                <w:rFonts w:ascii="Times New Roman" w:hAnsi="Times New Roman"/>
                <w:b/>
                <w:sz w:val="20"/>
                <w:szCs w:val="20"/>
                <w:lang w:val="en-US" w:eastAsia="ru-RU"/>
              </w:rPr>
              <w:t xml:space="preserve">THE DEVELOPMENT OF PENSION SERVICES IN </w:t>
            </w:r>
            <w:smartTag w:uri="urn:schemas-microsoft-com:office:smarttags" w:element="place">
              <w:smartTag w:uri="urn:schemas-microsoft-com:office:smarttags" w:element="country-region">
                <w:r>
                  <w:rPr>
                    <w:rFonts w:ascii="Times New Roman" w:hAnsi="Times New Roman"/>
                    <w:b/>
                    <w:sz w:val="20"/>
                    <w:szCs w:val="20"/>
                    <w:lang w:val="en-US" w:eastAsia="ru-RU"/>
                  </w:rPr>
                  <w:t>RUSSIA</w:t>
                </w:r>
              </w:smartTag>
            </w:smartTag>
            <w:r w:rsidRPr="009C1324">
              <w:rPr>
                <w:rFonts w:ascii="Times New Roman" w:hAnsi="Times New Roman"/>
                <w:b/>
                <w:sz w:val="20"/>
                <w:szCs w:val="20"/>
                <w:lang w:val="en-US" w:eastAsia="ru-RU"/>
              </w:rPr>
              <w:t xml:space="preserve"> </w:t>
            </w:r>
            <w:r>
              <w:rPr>
                <w:rFonts w:ascii="Times New Roman" w:hAnsi="Times New Roman"/>
                <w:b/>
                <w:sz w:val="20"/>
                <w:szCs w:val="20"/>
                <w:lang w:val="en-US" w:eastAsia="ru-RU"/>
              </w:rPr>
              <w:t xml:space="preserve">BASED </w:t>
            </w:r>
            <w:r w:rsidRPr="009C1324">
              <w:rPr>
                <w:rFonts w:ascii="Times New Roman" w:hAnsi="Times New Roman"/>
                <w:b/>
                <w:sz w:val="20"/>
                <w:szCs w:val="20"/>
                <w:lang w:val="en-US" w:eastAsia="ru-RU"/>
              </w:rPr>
              <w:t>ON THE CRITERIA OF O</w:t>
            </w:r>
            <w:r w:rsidRPr="009C1324">
              <w:rPr>
                <w:rFonts w:ascii="Times New Roman" w:hAnsi="Times New Roman"/>
                <w:b/>
                <w:sz w:val="20"/>
                <w:szCs w:val="20"/>
                <w:lang w:val="en-US" w:eastAsia="ru-RU"/>
              </w:rPr>
              <w:t>B</w:t>
            </w:r>
            <w:r w:rsidRPr="009C1324">
              <w:rPr>
                <w:rFonts w:ascii="Times New Roman" w:hAnsi="Times New Roman"/>
                <w:b/>
                <w:sz w:val="20"/>
                <w:szCs w:val="20"/>
                <w:lang w:val="en-US" w:eastAsia="ru-RU"/>
              </w:rPr>
              <w:t>JECTIVE EVALUATION</w:t>
            </w:r>
          </w:p>
          <w:p w:rsidR="00991A3C" w:rsidRPr="009C1324" w:rsidRDefault="00991A3C" w:rsidP="009C1324">
            <w:pPr>
              <w:spacing w:after="0" w:line="240" w:lineRule="auto"/>
              <w:rPr>
                <w:rFonts w:ascii="Times New Roman" w:hAnsi="Times New Roman"/>
                <w:sz w:val="20"/>
                <w:szCs w:val="20"/>
                <w:lang w:val="en-US" w:eastAsia="ru-RU"/>
              </w:rPr>
            </w:pPr>
          </w:p>
          <w:p w:rsidR="00991A3C"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sz w:val="20"/>
                <w:szCs w:val="20"/>
                <w:lang w:val="en-US" w:eastAsia="ru-RU"/>
              </w:rPr>
              <w:t xml:space="preserve">Voroshilova Irina Valentinovna  </w:t>
            </w:r>
          </w:p>
          <w:p w:rsidR="00991A3C" w:rsidRPr="009C1324"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sz w:val="20"/>
                <w:szCs w:val="20"/>
                <w:lang w:val="en-US" w:eastAsia="ru-RU"/>
              </w:rPr>
              <w:t>Dr</w:t>
            </w:r>
            <w:r>
              <w:rPr>
                <w:rFonts w:ascii="Times New Roman" w:hAnsi="Times New Roman"/>
                <w:sz w:val="20"/>
                <w:szCs w:val="20"/>
                <w:lang w:val="en-US" w:eastAsia="ru-RU"/>
              </w:rPr>
              <w:t>.Sci.Econ.</w:t>
            </w:r>
            <w:r w:rsidRPr="009C1324">
              <w:rPr>
                <w:rFonts w:ascii="Times New Roman" w:hAnsi="Times New Roman"/>
                <w:sz w:val="20"/>
                <w:szCs w:val="20"/>
                <w:lang w:val="en-US" w:eastAsia="ru-RU"/>
              </w:rPr>
              <w:t xml:space="preserve">, professor of </w:t>
            </w:r>
            <w:r>
              <w:rPr>
                <w:rFonts w:ascii="Times New Roman" w:hAnsi="Times New Roman"/>
                <w:sz w:val="20"/>
                <w:szCs w:val="20"/>
                <w:lang w:val="en-US" w:eastAsia="ru-RU"/>
              </w:rPr>
              <w:t>the C</w:t>
            </w:r>
            <w:r w:rsidRPr="009C1324">
              <w:rPr>
                <w:rFonts w:ascii="Times New Roman" w:hAnsi="Times New Roman"/>
                <w:sz w:val="20"/>
                <w:szCs w:val="20"/>
                <w:lang w:val="en-US" w:eastAsia="ru-RU"/>
              </w:rPr>
              <w:t>hair of monetary ci</w:t>
            </w:r>
            <w:r w:rsidRPr="009C1324">
              <w:rPr>
                <w:rFonts w:ascii="Times New Roman" w:hAnsi="Times New Roman"/>
                <w:sz w:val="20"/>
                <w:szCs w:val="20"/>
                <w:lang w:val="en-US" w:eastAsia="ru-RU"/>
              </w:rPr>
              <w:t>r</w:t>
            </w:r>
            <w:r w:rsidRPr="009C1324">
              <w:rPr>
                <w:rFonts w:ascii="Times New Roman" w:hAnsi="Times New Roman"/>
                <w:sz w:val="20"/>
                <w:szCs w:val="20"/>
                <w:lang w:val="en-US" w:eastAsia="ru-RU"/>
              </w:rPr>
              <w:t xml:space="preserve">culation and credit </w:t>
            </w:r>
          </w:p>
          <w:p w:rsidR="00991A3C" w:rsidRPr="009C1324" w:rsidRDefault="00991A3C" w:rsidP="009C1324">
            <w:pPr>
              <w:spacing w:after="0" w:line="240" w:lineRule="auto"/>
              <w:rPr>
                <w:rFonts w:ascii="Times New Roman" w:hAnsi="Times New Roman"/>
                <w:sz w:val="20"/>
                <w:szCs w:val="20"/>
                <w:lang w:val="en-US" w:eastAsia="ru-RU"/>
              </w:rPr>
            </w:pPr>
          </w:p>
          <w:p w:rsidR="00991A3C"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sz w:val="20"/>
                <w:szCs w:val="20"/>
                <w:lang w:val="en-US" w:eastAsia="ru-RU"/>
              </w:rPr>
              <w:t>Miroshnichenko Marina Borisovna</w:t>
            </w:r>
          </w:p>
          <w:p w:rsidR="00991A3C" w:rsidRDefault="00991A3C" w:rsidP="009C1324">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C</w:t>
            </w:r>
            <w:r w:rsidRPr="009C1324">
              <w:rPr>
                <w:rFonts w:ascii="Times New Roman" w:hAnsi="Times New Roman"/>
                <w:sz w:val="20"/>
                <w:szCs w:val="20"/>
                <w:lang w:val="en-US" w:eastAsia="ru-RU"/>
              </w:rPr>
              <w:t xml:space="preserve">ompetitor of </w:t>
            </w:r>
            <w:r>
              <w:rPr>
                <w:rFonts w:ascii="Times New Roman" w:hAnsi="Times New Roman"/>
                <w:sz w:val="20"/>
                <w:szCs w:val="20"/>
                <w:lang w:val="en-US" w:eastAsia="ru-RU"/>
              </w:rPr>
              <w:t>the C</w:t>
            </w:r>
            <w:r w:rsidRPr="009C1324">
              <w:rPr>
                <w:rFonts w:ascii="Times New Roman" w:hAnsi="Times New Roman"/>
                <w:sz w:val="20"/>
                <w:szCs w:val="20"/>
                <w:lang w:val="en-US" w:eastAsia="ru-RU"/>
              </w:rPr>
              <w:t xml:space="preserve">hair of monetary circulation and credit </w:t>
            </w:r>
          </w:p>
          <w:p w:rsidR="00991A3C" w:rsidRPr="009C1324"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i/>
                <w:sz w:val="20"/>
                <w:szCs w:val="20"/>
                <w:lang w:val="en-US" w:eastAsia="ru-RU"/>
              </w:rPr>
              <w:t>Kuban state agricultural university, Krasnodar, Ru</w:t>
            </w:r>
            <w:r w:rsidRPr="009C1324">
              <w:rPr>
                <w:rFonts w:ascii="Times New Roman" w:hAnsi="Times New Roman"/>
                <w:i/>
                <w:sz w:val="20"/>
                <w:szCs w:val="20"/>
                <w:lang w:val="en-US" w:eastAsia="ru-RU"/>
              </w:rPr>
              <w:t>s</w:t>
            </w:r>
            <w:r w:rsidRPr="009C1324">
              <w:rPr>
                <w:rFonts w:ascii="Times New Roman" w:hAnsi="Times New Roman"/>
                <w:i/>
                <w:sz w:val="20"/>
                <w:szCs w:val="20"/>
                <w:lang w:val="en-US" w:eastAsia="ru-RU"/>
              </w:rPr>
              <w:t>sia</w:t>
            </w:r>
            <w:r w:rsidRPr="009C1324">
              <w:rPr>
                <w:rFonts w:ascii="Times New Roman" w:hAnsi="Times New Roman"/>
                <w:sz w:val="20"/>
                <w:szCs w:val="20"/>
                <w:lang w:val="en-US" w:eastAsia="ru-RU"/>
              </w:rPr>
              <w:t xml:space="preserve"> </w:t>
            </w:r>
          </w:p>
          <w:p w:rsidR="00991A3C" w:rsidRPr="009C1324" w:rsidRDefault="00991A3C" w:rsidP="009C1324">
            <w:pPr>
              <w:spacing w:after="0" w:line="240" w:lineRule="auto"/>
              <w:rPr>
                <w:rFonts w:ascii="Times New Roman" w:hAnsi="Times New Roman"/>
                <w:sz w:val="20"/>
                <w:szCs w:val="20"/>
                <w:lang w:val="en-US" w:eastAsia="ru-RU"/>
              </w:rPr>
            </w:pPr>
          </w:p>
          <w:p w:rsidR="00991A3C" w:rsidRPr="009C1324"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sz w:val="20"/>
                <w:szCs w:val="20"/>
                <w:lang w:val="en-US" w:eastAsia="ru-RU"/>
              </w:rPr>
              <w:t>The article examines the issues of functioning of pr</w:t>
            </w:r>
            <w:r w:rsidRPr="009C1324">
              <w:rPr>
                <w:rFonts w:ascii="Times New Roman" w:hAnsi="Times New Roman"/>
                <w:sz w:val="20"/>
                <w:szCs w:val="20"/>
                <w:lang w:val="en-US" w:eastAsia="ru-RU"/>
              </w:rPr>
              <w:t>i</w:t>
            </w:r>
            <w:r w:rsidRPr="009C1324">
              <w:rPr>
                <w:rFonts w:ascii="Times New Roman" w:hAnsi="Times New Roman"/>
                <w:sz w:val="20"/>
                <w:szCs w:val="20"/>
                <w:lang w:val="en-US" w:eastAsia="ru-RU"/>
              </w:rPr>
              <w:t>vate pension funds (NPF) as an alternative in relation to the state pension system of institutions of social protection of the population in the current economic environment characterized by increasing process of financial globalization and instability, closing the e</w:t>
            </w:r>
            <w:r w:rsidRPr="009C1324">
              <w:rPr>
                <w:rFonts w:ascii="Times New Roman" w:hAnsi="Times New Roman"/>
                <w:sz w:val="20"/>
                <w:szCs w:val="20"/>
                <w:lang w:val="en-US" w:eastAsia="ru-RU"/>
              </w:rPr>
              <w:t>x</w:t>
            </w:r>
            <w:r w:rsidRPr="009C1324">
              <w:rPr>
                <w:rFonts w:ascii="Times New Roman" w:hAnsi="Times New Roman"/>
                <w:sz w:val="20"/>
                <w:szCs w:val="20"/>
                <w:lang w:val="en-US" w:eastAsia="ru-RU"/>
              </w:rPr>
              <w:t>ternal financing channels, political threats and cha</w:t>
            </w:r>
            <w:r w:rsidRPr="009C1324">
              <w:rPr>
                <w:rFonts w:ascii="Times New Roman" w:hAnsi="Times New Roman"/>
                <w:sz w:val="20"/>
                <w:szCs w:val="20"/>
                <w:lang w:val="en-US" w:eastAsia="ru-RU"/>
              </w:rPr>
              <w:t>l</w:t>
            </w:r>
            <w:r w:rsidRPr="009C1324">
              <w:rPr>
                <w:rFonts w:ascii="Times New Roman" w:hAnsi="Times New Roman"/>
                <w:sz w:val="20"/>
                <w:szCs w:val="20"/>
                <w:lang w:val="en-US" w:eastAsia="ru-RU"/>
              </w:rPr>
              <w:t>lenges from the United States and a number of cou</w:t>
            </w:r>
            <w:r w:rsidRPr="009C1324">
              <w:rPr>
                <w:rFonts w:ascii="Times New Roman" w:hAnsi="Times New Roman"/>
                <w:sz w:val="20"/>
                <w:szCs w:val="20"/>
                <w:lang w:val="en-US" w:eastAsia="ru-RU"/>
              </w:rPr>
              <w:t>n</w:t>
            </w:r>
            <w:r w:rsidRPr="009C1324">
              <w:rPr>
                <w:rFonts w:ascii="Times New Roman" w:hAnsi="Times New Roman"/>
                <w:sz w:val="20"/>
                <w:szCs w:val="20"/>
                <w:lang w:val="en-US" w:eastAsia="ru-RU"/>
              </w:rPr>
              <w:t>tries of the world economic community. The study shows that the pension services industry is evolving in harsh business environment and constant transfo</w:t>
            </w:r>
            <w:r w:rsidRPr="009C1324">
              <w:rPr>
                <w:rFonts w:ascii="Times New Roman" w:hAnsi="Times New Roman"/>
                <w:sz w:val="20"/>
                <w:szCs w:val="20"/>
                <w:lang w:val="en-US" w:eastAsia="ru-RU"/>
              </w:rPr>
              <w:t>r</w:t>
            </w:r>
            <w:r w:rsidRPr="009C1324">
              <w:rPr>
                <w:rFonts w:ascii="Times New Roman" w:hAnsi="Times New Roman"/>
                <w:sz w:val="20"/>
                <w:szCs w:val="20"/>
                <w:lang w:val="en-US" w:eastAsia="ru-RU"/>
              </w:rPr>
              <w:t>mation of the legal and organizational nature; modern stage of reform that is aimed at the formation of multi-pillar pension system to improve the retirement secur</w:t>
            </w:r>
            <w:r w:rsidRPr="009C1324">
              <w:rPr>
                <w:rFonts w:ascii="Times New Roman" w:hAnsi="Times New Roman"/>
                <w:sz w:val="20"/>
                <w:szCs w:val="20"/>
                <w:lang w:val="en-US" w:eastAsia="ru-RU"/>
              </w:rPr>
              <w:t>i</w:t>
            </w:r>
            <w:r w:rsidRPr="009C1324">
              <w:rPr>
                <w:rFonts w:ascii="Times New Roman" w:hAnsi="Times New Roman"/>
                <w:sz w:val="20"/>
                <w:szCs w:val="20"/>
                <w:lang w:val="en-US" w:eastAsia="ru-RU"/>
              </w:rPr>
              <w:t>ty of citizens; It appears unfavorable for the activity of Russian NPF demographic statistics. It was investiga</w:t>
            </w:r>
            <w:r w:rsidRPr="009C1324">
              <w:rPr>
                <w:rFonts w:ascii="Times New Roman" w:hAnsi="Times New Roman"/>
                <w:sz w:val="20"/>
                <w:szCs w:val="20"/>
                <w:lang w:val="en-US" w:eastAsia="ru-RU"/>
              </w:rPr>
              <w:t>t</w:t>
            </w:r>
            <w:r w:rsidRPr="009C1324">
              <w:rPr>
                <w:rFonts w:ascii="Times New Roman" w:hAnsi="Times New Roman"/>
                <w:sz w:val="20"/>
                <w:szCs w:val="20"/>
                <w:lang w:val="en-US" w:eastAsia="ru-RU"/>
              </w:rPr>
              <w:t>ed that the investment potential of the largest Russian NPF as suppliers of investment resources on key ind</w:t>
            </w:r>
            <w:r w:rsidRPr="009C1324">
              <w:rPr>
                <w:rFonts w:ascii="Times New Roman" w:hAnsi="Times New Roman"/>
                <w:sz w:val="20"/>
                <w:szCs w:val="20"/>
                <w:lang w:val="en-US" w:eastAsia="ru-RU"/>
              </w:rPr>
              <w:t>i</w:t>
            </w:r>
            <w:r w:rsidRPr="009C1324">
              <w:rPr>
                <w:rFonts w:ascii="Times New Roman" w:hAnsi="Times New Roman"/>
                <w:sz w:val="20"/>
                <w:szCs w:val="20"/>
                <w:lang w:val="en-US" w:eastAsia="ru-RU"/>
              </w:rPr>
              <w:t>cators reflects the success of the business development of large funds. Abstract investment strategies and structure of the investment portfolio of NPF, which is dominated by the corporate sector bonds and funds placed in bank deposits. The potential expansion of the investment portfolio is evaluated at the expense of NPF implementation of securitized transactions. There is objective evaluation criteria of NPF given the state</w:t>
            </w:r>
            <w:r>
              <w:rPr>
                <w:rFonts w:ascii="Times New Roman" w:hAnsi="Times New Roman"/>
                <w:sz w:val="20"/>
                <w:szCs w:val="20"/>
                <w:lang w:val="en-US" w:eastAsia="ru-RU"/>
              </w:rPr>
              <w:t xml:space="preserve"> of the operational environment</w:t>
            </w:r>
          </w:p>
          <w:p w:rsidR="00991A3C" w:rsidRPr="009C1324" w:rsidRDefault="00991A3C" w:rsidP="009C1324">
            <w:pPr>
              <w:spacing w:after="0" w:line="240" w:lineRule="auto"/>
              <w:rPr>
                <w:rFonts w:ascii="Times New Roman" w:hAnsi="Times New Roman"/>
                <w:sz w:val="20"/>
                <w:szCs w:val="20"/>
                <w:lang w:val="en-US" w:eastAsia="ru-RU"/>
              </w:rPr>
            </w:pPr>
          </w:p>
          <w:p w:rsidR="00991A3C" w:rsidRPr="009C1324" w:rsidRDefault="00991A3C" w:rsidP="009C1324">
            <w:pPr>
              <w:spacing w:after="0" w:line="240" w:lineRule="auto"/>
              <w:rPr>
                <w:rFonts w:ascii="Times New Roman" w:hAnsi="Times New Roman"/>
                <w:sz w:val="20"/>
                <w:szCs w:val="20"/>
                <w:lang w:val="en-US" w:eastAsia="ru-RU"/>
              </w:rPr>
            </w:pPr>
          </w:p>
          <w:p w:rsidR="00991A3C" w:rsidRPr="009C1324" w:rsidRDefault="00991A3C" w:rsidP="009C1324">
            <w:pPr>
              <w:spacing w:after="0" w:line="240" w:lineRule="auto"/>
              <w:rPr>
                <w:rFonts w:ascii="Times New Roman" w:hAnsi="Times New Roman"/>
                <w:sz w:val="20"/>
                <w:szCs w:val="20"/>
                <w:lang w:val="en-US" w:eastAsia="ru-RU"/>
              </w:rPr>
            </w:pPr>
          </w:p>
          <w:p w:rsidR="00991A3C" w:rsidRPr="00A403DA" w:rsidRDefault="00991A3C" w:rsidP="009C1324">
            <w:pPr>
              <w:spacing w:after="0" w:line="240" w:lineRule="auto"/>
              <w:rPr>
                <w:rFonts w:ascii="Times New Roman" w:hAnsi="Times New Roman"/>
                <w:sz w:val="20"/>
                <w:szCs w:val="20"/>
                <w:lang w:val="en-US" w:eastAsia="ru-RU"/>
              </w:rPr>
            </w:pPr>
          </w:p>
          <w:p w:rsidR="00991A3C" w:rsidRPr="00A403DA" w:rsidRDefault="00991A3C" w:rsidP="009C1324">
            <w:pPr>
              <w:spacing w:after="0" w:line="240" w:lineRule="auto"/>
              <w:rPr>
                <w:rFonts w:ascii="Times New Roman" w:hAnsi="Times New Roman"/>
                <w:sz w:val="20"/>
                <w:szCs w:val="20"/>
                <w:lang w:val="en-US" w:eastAsia="ru-RU"/>
              </w:rPr>
            </w:pPr>
          </w:p>
          <w:p w:rsidR="00991A3C" w:rsidRPr="00A403DA" w:rsidRDefault="00991A3C" w:rsidP="009C1324">
            <w:pPr>
              <w:spacing w:after="0" w:line="240" w:lineRule="auto"/>
              <w:rPr>
                <w:rFonts w:ascii="Times New Roman" w:hAnsi="Times New Roman"/>
                <w:sz w:val="20"/>
                <w:szCs w:val="20"/>
                <w:lang w:val="en-US" w:eastAsia="ru-RU"/>
              </w:rPr>
            </w:pPr>
          </w:p>
          <w:p w:rsidR="00991A3C" w:rsidRPr="009C1324" w:rsidRDefault="00991A3C" w:rsidP="009C1324">
            <w:pPr>
              <w:spacing w:after="0" w:line="240" w:lineRule="auto"/>
              <w:rPr>
                <w:rFonts w:ascii="Times New Roman" w:hAnsi="Times New Roman"/>
                <w:sz w:val="20"/>
                <w:szCs w:val="20"/>
                <w:lang w:val="en-US" w:eastAsia="ru-RU"/>
              </w:rPr>
            </w:pPr>
            <w:r w:rsidRPr="009C1324">
              <w:rPr>
                <w:rFonts w:ascii="Times New Roman" w:hAnsi="Times New Roman"/>
                <w:sz w:val="20"/>
                <w:szCs w:val="20"/>
                <w:lang w:val="en-US" w:eastAsia="ru-RU"/>
              </w:rPr>
              <w:t>Keywords: NON-GOVERNMENTAL PENSION FUNDS, INVESTMENT RESOURCES, INVES</w:t>
            </w:r>
            <w:r w:rsidRPr="009C1324">
              <w:rPr>
                <w:rFonts w:ascii="Times New Roman" w:hAnsi="Times New Roman"/>
                <w:sz w:val="20"/>
                <w:szCs w:val="20"/>
                <w:lang w:val="en-US" w:eastAsia="ru-RU"/>
              </w:rPr>
              <w:t>T</w:t>
            </w:r>
            <w:r w:rsidRPr="009C1324">
              <w:rPr>
                <w:rFonts w:ascii="Times New Roman" w:hAnsi="Times New Roman"/>
                <w:sz w:val="20"/>
                <w:szCs w:val="20"/>
                <w:lang w:val="en-US" w:eastAsia="ru-RU"/>
              </w:rPr>
              <w:t>MENT STRATEGY, SECURITIZED ALLIANCES, CRITERIA OF OBJECTIVE EVALUATION, E</w:t>
            </w:r>
            <w:r w:rsidRPr="009C1324">
              <w:rPr>
                <w:rFonts w:ascii="Times New Roman" w:hAnsi="Times New Roman"/>
                <w:sz w:val="20"/>
                <w:szCs w:val="20"/>
                <w:lang w:val="en-US" w:eastAsia="ru-RU"/>
              </w:rPr>
              <w:t>X</w:t>
            </w:r>
            <w:r w:rsidRPr="009C1324">
              <w:rPr>
                <w:rFonts w:ascii="Times New Roman" w:hAnsi="Times New Roman"/>
                <w:sz w:val="20"/>
                <w:szCs w:val="20"/>
                <w:lang w:val="en-US" w:eastAsia="ru-RU"/>
              </w:rPr>
              <w:t xml:space="preserve">TERNAL OPERATIONAL  ENVIRONMENT  </w:t>
            </w:r>
          </w:p>
          <w:p w:rsidR="00991A3C" w:rsidRPr="009C1324" w:rsidRDefault="00991A3C" w:rsidP="009C1324">
            <w:pPr>
              <w:spacing w:after="0" w:line="240" w:lineRule="auto"/>
              <w:rPr>
                <w:rFonts w:ascii="Times New Roman" w:hAnsi="Times New Roman"/>
                <w:sz w:val="20"/>
                <w:szCs w:val="20"/>
                <w:lang w:val="en-US" w:eastAsia="ru-RU"/>
              </w:rPr>
            </w:pPr>
          </w:p>
        </w:tc>
      </w:tr>
    </w:tbl>
    <w:p w:rsidR="00991A3C" w:rsidRPr="00E44760" w:rsidRDefault="00991A3C" w:rsidP="00BF532D">
      <w:pPr>
        <w:tabs>
          <w:tab w:val="left" w:pos="1455"/>
        </w:tabs>
        <w:spacing w:after="0" w:line="360" w:lineRule="auto"/>
        <w:ind w:firstLine="680"/>
        <w:jc w:val="both"/>
        <w:rPr>
          <w:rFonts w:ascii="Times New Roman" w:hAnsi="Times New Roman"/>
          <w:sz w:val="20"/>
          <w:szCs w:val="20"/>
          <w:lang w:val="en-US"/>
        </w:rPr>
      </w:pPr>
    </w:p>
    <w:p w:rsidR="00991A3C" w:rsidRPr="00E44760" w:rsidRDefault="00991A3C" w:rsidP="00BF532D">
      <w:pPr>
        <w:tabs>
          <w:tab w:val="left" w:pos="1455"/>
        </w:tabs>
        <w:spacing w:after="0" w:line="360" w:lineRule="auto"/>
        <w:ind w:firstLine="680"/>
        <w:jc w:val="both"/>
        <w:rPr>
          <w:rFonts w:ascii="Times New Roman" w:hAnsi="Times New Roman"/>
          <w:sz w:val="20"/>
          <w:szCs w:val="20"/>
          <w:lang w:val="en-US"/>
        </w:rPr>
      </w:pPr>
    </w:p>
    <w:p w:rsidR="00991A3C" w:rsidRPr="00E44760" w:rsidRDefault="00991A3C" w:rsidP="00BF532D">
      <w:pPr>
        <w:tabs>
          <w:tab w:val="left" w:pos="1455"/>
        </w:tabs>
        <w:spacing w:after="0" w:line="360" w:lineRule="auto"/>
        <w:ind w:firstLine="680"/>
        <w:jc w:val="both"/>
        <w:rPr>
          <w:rFonts w:ascii="Times New Roman" w:hAnsi="Times New Roman"/>
          <w:sz w:val="28"/>
          <w:szCs w:val="28"/>
        </w:rPr>
      </w:pPr>
      <w:r w:rsidRPr="00E44760">
        <w:rPr>
          <w:rFonts w:ascii="Times New Roman" w:hAnsi="Times New Roman"/>
          <w:sz w:val="28"/>
          <w:szCs w:val="28"/>
        </w:rPr>
        <w:lastRenderedPageBreak/>
        <w:t>Актуальность рассматриваемой в данной научной статье проблемы определяется значимостью деятельности негосударственных пенсионных фондов (НПФ) как альтернативных по отношению к государственной с</w:t>
      </w:r>
      <w:r w:rsidRPr="00E44760">
        <w:rPr>
          <w:rFonts w:ascii="Times New Roman" w:hAnsi="Times New Roman"/>
          <w:sz w:val="28"/>
          <w:szCs w:val="28"/>
        </w:rPr>
        <w:t>и</w:t>
      </w:r>
      <w:r w:rsidRPr="00E44760">
        <w:rPr>
          <w:rFonts w:ascii="Times New Roman" w:hAnsi="Times New Roman"/>
          <w:sz w:val="28"/>
          <w:szCs w:val="28"/>
        </w:rPr>
        <w:t>стеме пенсионного обеспечения институтов социальной защиты населения. Такая альтернатива дает стимулы к развитию обеих систем и повышает их конкурентоспособность. Современная система не государственного пенс</w:t>
      </w:r>
      <w:r w:rsidRPr="00E44760">
        <w:rPr>
          <w:rFonts w:ascii="Times New Roman" w:hAnsi="Times New Roman"/>
          <w:sz w:val="28"/>
          <w:szCs w:val="28"/>
        </w:rPr>
        <w:t>и</w:t>
      </w:r>
      <w:r w:rsidRPr="00E44760">
        <w:rPr>
          <w:rFonts w:ascii="Times New Roman" w:hAnsi="Times New Roman"/>
          <w:sz w:val="28"/>
          <w:szCs w:val="28"/>
        </w:rPr>
        <w:t>онного обеспечения имеет низкий потенциал и  пока не является серье</w:t>
      </w:r>
      <w:r w:rsidRPr="00E44760">
        <w:rPr>
          <w:rFonts w:ascii="Times New Roman" w:hAnsi="Times New Roman"/>
          <w:sz w:val="28"/>
          <w:szCs w:val="28"/>
        </w:rPr>
        <w:t>з</w:t>
      </w:r>
      <w:r w:rsidRPr="00E44760">
        <w:rPr>
          <w:rFonts w:ascii="Times New Roman" w:hAnsi="Times New Roman"/>
          <w:sz w:val="28"/>
          <w:szCs w:val="28"/>
        </w:rPr>
        <w:t xml:space="preserve">ным конкурентом государству в сегменте пенсионного обслуживания. На данном этапе развития и формирования </w:t>
      </w:r>
      <w:r w:rsidRPr="00E44760">
        <w:rPr>
          <w:rFonts w:ascii="Times New Roman" w:hAnsi="Times New Roman"/>
          <w:sz w:val="28"/>
          <w:szCs w:val="28"/>
          <w:shd w:val="clear" w:color="auto" w:fill="FFFFFF"/>
        </w:rPr>
        <w:t>социальных процессов и отнош</w:t>
      </w:r>
      <w:r w:rsidRPr="00E44760">
        <w:rPr>
          <w:rFonts w:ascii="Times New Roman" w:hAnsi="Times New Roman"/>
          <w:sz w:val="28"/>
          <w:szCs w:val="28"/>
          <w:shd w:val="clear" w:color="auto" w:fill="FFFFFF"/>
        </w:rPr>
        <w:t>е</w:t>
      </w:r>
      <w:r w:rsidRPr="00E44760">
        <w:rPr>
          <w:rFonts w:ascii="Times New Roman" w:hAnsi="Times New Roman"/>
          <w:sz w:val="28"/>
          <w:szCs w:val="28"/>
          <w:shd w:val="clear" w:color="auto" w:fill="FFFFFF"/>
        </w:rPr>
        <w:t xml:space="preserve">ний на местном, региональном и федеральном уровнях </w:t>
      </w:r>
      <w:r w:rsidRPr="00E44760">
        <w:rPr>
          <w:rFonts w:ascii="Times New Roman" w:hAnsi="Times New Roman"/>
          <w:sz w:val="28"/>
          <w:szCs w:val="28"/>
        </w:rPr>
        <w:t>реформирование в области пенсионного дела имеет большое значение и вызвано значител</w:t>
      </w:r>
      <w:r w:rsidRPr="00E44760">
        <w:rPr>
          <w:rFonts w:ascii="Times New Roman" w:hAnsi="Times New Roman"/>
          <w:sz w:val="28"/>
          <w:szCs w:val="28"/>
        </w:rPr>
        <w:t>ь</w:t>
      </w:r>
      <w:r w:rsidRPr="00E44760">
        <w:rPr>
          <w:rFonts w:ascii="Times New Roman" w:hAnsi="Times New Roman"/>
          <w:sz w:val="28"/>
          <w:szCs w:val="28"/>
        </w:rPr>
        <w:t>ными экономическими трудностями и проблемами демографического х</w:t>
      </w:r>
      <w:r w:rsidRPr="00E44760">
        <w:rPr>
          <w:rFonts w:ascii="Times New Roman" w:hAnsi="Times New Roman"/>
          <w:sz w:val="28"/>
          <w:szCs w:val="28"/>
        </w:rPr>
        <w:t>а</w:t>
      </w:r>
      <w:r w:rsidRPr="00E44760">
        <w:rPr>
          <w:rFonts w:ascii="Times New Roman" w:hAnsi="Times New Roman"/>
          <w:sz w:val="28"/>
          <w:szCs w:val="28"/>
        </w:rPr>
        <w:t>рактера. В связи с этим большое научное и практическое значение имеет изучение современных тенденций рынка пенсионных услуг, выявление имеющихся проблемы, обоснование путей и методов их решения [3-5].</w:t>
      </w:r>
      <w:r w:rsidRPr="00E44760">
        <w:rPr>
          <w:sz w:val="28"/>
          <w:szCs w:val="28"/>
        </w:rPr>
        <w:t xml:space="preserve"> </w:t>
      </w:r>
    </w:p>
    <w:p w:rsidR="00991A3C" w:rsidRPr="00E44760" w:rsidRDefault="00991A3C" w:rsidP="00435895">
      <w:pPr>
        <w:pStyle w:val="s1"/>
        <w:shd w:val="clear" w:color="auto" w:fill="FFFFFF"/>
        <w:spacing w:before="0" w:beforeAutospacing="0" w:after="0" w:afterAutospacing="0" w:line="360" w:lineRule="auto"/>
        <w:ind w:firstLine="709"/>
        <w:jc w:val="both"/>
        <w:rPr>
          <w:rFonts w:ascii="Arial" w:hAnsi="Arial" w:cs="Arial"/>
          <w:sz w:val="28"/>
          <w:szCs w:val="28"/>
        </w:rPr>
      </w:pPr>
      <w:r w:rsidRPr="00E44760">
        <w:rPr>
          <w:sz w:val="28"/>
          <w:szCs w:val="28"/>
        </w:rPr>
        <w:t>В соответствии с федеральными законами (ФЗ) «О негосударстве</w:t>
      </w:r>
      <w:r w:rsidRPr="00E44760">
        <w:rPr>
          <w:sz w:val="28"/>
          <w:szCs w:val="28"/>
        </w:rPr>
        <w:t>н</w:t>
      </w:r>
      <w:r w:rsidRPr="00E44760">
        <w:rPr>
          <w:sz w:val="28"/>
          <w:szCs w:val="28"/>
        </w:rPr>
        <w:t>ных пенсионных фондах» и «О внесении изменений и дополнений в о</w:t>
      </w:r>
      <w:r w:rsidRPr="00E44760">
        <w:rPr>
          <w:sz w:val="28"/>
          <w:szCs w:val="28"/>
        </w:rPr>
        <w:t>т</w:t>
      </w:r>
      <w:r w:rsidRPr="00E44760">
        <w:rPr>
          <w:sz w:val="28"/>
          <w:szCs w:val="28"/>
        </w:rPr>
        <w:t xml:space="preserve">дельные законодательные акты РФ» от 21.07.2014г. № 218-ФЗ </w:t>
      </w:r>
      <w:r w:rsidRPr="00E44760">
        <w:rPr>
          <w:sz w:val="28"/>
          <w:szCs w:val="28"/>
          <w:shd w:val="clear" w:color="auto" w:fill="FFFFFF"/>
        </w:rPr>
        <w:t>негосуда</w:t>
      </w:r>
      <w:r w:rsidRPr="00E44760">
        <w:rPr>
          <w:sz w:val="28"/>
          <w:szCs w:val="28"/>
          <w:shd w:val="clear" w:color="auto" w:fill="FFFFFF"/>
        </w:rPr>
        <w:t>р</w:t>
      </w:r>
      <w:r w:rsidRPr="00E44760">
        <w:rPr>
          <w:sz w:val="28"/>
          <w:szCs w:val="28"/>
          <w:shd w:val="clear" w:color="auto" w:fill="FFFFFF"/>
        </w:rPr>
        <w:t>ственным пенсионным фондом признается  «организация, исключительной деятельностью которой является негосударственное пенсионное обеспеч</w:t>
      </w:r>
      <w:r w:rsidRPr="00E44760">
        <w:rPr>
          <w:sz w:val="28"/>
          <w:szCs w:val="28"/>
          <w:shd w:val="clear" w:color="auto" w:fill="FFFFFF"/>
        </w:rPr>
        <w:t>е</w:t>
      </w:r>
      <w:r w:rsidRPr="00E44760">
        <w:rPr>
          <w:sz w:val="28"/>
          <w:szCs w:val="28"/>
          <w:shd w:val="clear" w:color="auto" w:fill="FFFFFF"/>
        </w:rPr>
        <w:t>ние, в том числе досрочное негосударственное пенсионное обеспечение, и обязательное пенсионное страхование. Такая деятельность осуществляется фондом на основании лицензии на осуществление деятельности по пенс</w:t>
      </w:r>
      <w:r w:rsidRPr="00E44760">
        <w:rPr>
          <w:sz w:val="28"/>
          <w:szCs w:val="28"/>
          <w:shd w:val="clear" w:color="auto" w:fill="FFFFFF"/>
        </w:rPr>
        <w:t>и</w:t>
      </w:r>
      <w:r w:rsidRPr="00E44760">
        <w:rPr>
          <w:sz w:val="28"/>
          <w:szCs w:val="28"/>
          <w:shd w:val="clear" w:color="auto" w:fill="FFFFFF"/>
        </w:rPr>
        <w:t>онному обеспечению и пенсионному страхованию (далее - лицензия)» [1]. Действующее законодательство определяет НПФ как организацию, кот</w:t>
      </w:r>
      <w:r w:rsidRPr="00E44760">
        <w:rPr>
          <w:sz w:val="28"/>
          <w:szCs w:val="28"/>
          <w:shd w:val="clear" w:color="auto" w:fill="FFFFFF"/>
        </w:rPr>
        <w:t>о</w:t>
      </w:r>
      <w:r w:rsidRPr="00E44760">
        <w:rPr>
          <w:sz w:val="28"/>
          <w:szCs w:val="28"/>
          <w:shd w:val="clear" w:color="auto" w:fill="FFFFFF"/>
        </w:rPr>
        <w:t>рая на исключительной и профессиональной основах предоставляет услуги по негосударственному пенсионному обеспечению и обязательному пе</w:t>
      </w:r>
      <w:r w:rsidRPr="00E44760">
        <w:rPr>
          <w:sz w:val="28"/>
          <w:szCs w:val="28"/>
          <w:shd w:val="clear" w:color="auto" w:fill="FFFFFF"/>
        </w:rPr>
        <w:t>н</w:t>
      </w:r>
      <w:r w:rsidRPr="00E44760">
        <w:rPr>
          <w:sz w:val="28"/>
          <w:szCs w:val="28"/>
          <w:shd w:val="clear" w:color="auto" w:fill="FFFFFF"/>
        </w:rPr>
        <w:t>сионному страхованию.</w:t>
      </w:r>
      <w:r w:rsidRPr="00E44760">
        <w:rPr>
          <w:rFonts w:ascii="Arial" w:hAnsi="Arial" w:cs="Arial"/>
          <w:sz w:val="28"/>
          <w:szCs w:val="28"/>
        </w:rPr>
        <w:t xml:space="preserve"> </w:t>
      </w:r>
    </w:p>
    <w:p w:rsidR="00991A3C" w:rsidRPr="00E44760" w:rsidRDefault="00991A3C" w:rsidP="00CF5883">
      <w:pPr>
        <w:pStyle w:val="s1"/>
        <w:shd w:val="clear" w:color="auto" w:fill="FFFFFF"/>
        <w:spacing w:before="0" w:beforeAutospacing="0" w:after="0" w:afterAutospacing="0" w:line="360" w:lineRule="auto"/>
        <w:ind w:firstLine="709"/>
        <w:jc w:val="both"/>
        <w:rPr>
          <w:sz w:val="28"/>
          <w:szCs w:val="28"/>
        </w:rPr>
      </w:pPr>
      <w:r w:rsidRPr="00E44760">
        <w:rPr>
          <w:sz w:val="28"/>
          <w:szCs w:val="28"/>
        </w:rPr>
        <w:lastRenderedPageBreak/>
        <w:t>В процессе осуществления своей деятельности НПФ осуществляют накопление добровольных пенсионных взносов с созданием пенсионных резервов и их размещение на принципах надежности, сохранности, ли</w:t>
      </w:r>
      <w:r w:rsidRPr="00E44760">
        <w:rPr>
          <w:sz w:val="28"/>
          <w:szCs w:val="28"/>
        </w:rPr>
        <w:t>к</w:t>
      </w:r>
      <w:r w:rsidRPr="00E44760">
        <w:rPr>
          <w:sz w:val="28"/>
          <w:szCs w:val="28"/>
        </w:rPr>
        <w:t>видности, доходности и диверсификации инвестиционных портфелей, уч</w:t>
      </w:r>
      <w:r w:rsidRPr="00E44760">
        <w:rPr>
          <w:sz w:val="28"/>
          <w:szCs w:val="28"/>
        </w:rPr>
        <w:t>е</w:t>
      </w:r>
      <w:r w:rsidRPr="00E44760">
        <w:rPr>
          <w:sz w:val="28"/>
          <w:szCs w:val="28"/>
        </w:rPr>
        <w:t>та надежности ценных бумаг, информационной открытости, прозрачности процесса размещения и профессионального подхода к его осуществлению. Законом определены объекты инвестирования пенсионных накоплений: государственные ценных бумаги РФ и субъектов РФ; корпоративные обл</w:t>
      </w:r>
      <w:r w:rsidRPr="00E44760">
        <w:rPr>
          <w:sz w:val="28"/>
          <w:szCs w:val="28"/>
        </w:rPr>
        <w:t>и</w:t>
      </w:r>
      <w:r w:rsidRPr="00E44760">
        <w:rPr>
          <w:sz w:val="28"/>
          <w:szCs w:val="28"/>
        </w:rPr>
        <w:t>гации российских эмитентов и их акции, если эмитент создан в форме ПАО, паи инвестфондов, в том числе иностранных, включенных в списки Банка России; ипотечные ценные бумаги; денежные средства на счетах в кредитных организациях (КО); депозиты в национальной и иностранной валютах;  иностранную валюту на счетах в КО; облигации иностранных эмитентов в соответствии с порядком, установленным Банком России. Учитывая долгосрочный характер ресурсов, аккумулируемых НПФ, след</w:t>
      </w:r>
      <w:r w:rsidRPr="00E44760">
        <w:rPr>
          <w:sz w:val="28"/>
          <w:szCs w:val="28"/>
        </w:rPr>
        <w:t>у</w:t>
      </w:r>
      <w:r w:rsidRPr="00E44760">
        <w:rPr>
          <w:sz w:val="28"/>
          <w:szCs w:val="28"/>
        </w:rPr>
        <w:t>ет отметить значимость их деятельности в качестве инвестора и поставщ</w:t>
      </w:r>
      <w:r w:rsidRPr="00E44760">
        <w:rPr>
          <w:sz w:val="28"/>
          <w:szCs w:val="28"/>
        </w:rPr>
        <w:t>и</w:t>
      </w:r>
      <w:r w:rsidRPr="00E44760">
        <w:rPr>
          <w:sz w:val="28"/>
          <w:szCs w:val="28"/>
        </w:rPr>
        <w:t>ка капитала инвестиционного характера.</w:t>
      </w:r>
    </w:p>
    <w:p w:rsidR="00991A3C" w:rsidRPr="00E44760" w:rsidRDefault="00991A3C" w:rsidP="006C6B50">
      <w:pPr>
        <w:pStyle w:val="s15"/>
        <w:shd w:val="clear" w:color="auto" w:fill="FFFFFF"/>
        <w:spacing w:before="0" w:beforeAutospacing="0" w:after="0" w:afterAutospacing="0" w:line="360" w:lineRule="auto"/>
        <w:ind w:firstLine="709"/>
        <w:jc w:val="both"/>
        <w:rPr>
          <w:sz w:val="28"/>
          <w:szCs w:val="28"/>
        </w:rPr>
      </w:pPr>
      <w:r w:rsidRPr="00E44760">
        <w:rPr>
          <w:sz w:val="28"/>
          <w:szCs w:val="28"/>
        </w:rPr>
        <w:t>Не смотря на относительно короткий период становления и развития, российская система негосударственного пенсионного обеспечения имеет богатый опыт функционирования в жестких условиях ведения бизнеса и постоянных трансформаций правового и организационного характера.</w:t>
      </w:r>
    </w:p>
    <w:p w:rsidR="00991A3C" w:rsidRPr="00E44760" w:rsidRDefault="00991A3C" w:rsidP="00CF5883">
      <w:pPr>
        <w:tabs>
          <w:tab w:val="left" w:pos="1455"/>
        </w:tabs>
        <w:spacing w:after="0" w:line="360" w:lineRule="auto"/>
        <w:ind w:firstLine="680"/>
        <w:jc w:val="both"/>
        <w:rPr>
          <w:rFonts w:ascii="Times New Roman" w:hAnsi="Times New Roman"/>
          <w:sz w:val="28"/>
          <w:szCs w:val="28"/>
        </w:rPr>
      </w:pPr>
      <w:r w:rsidRPr="00E44760">
        <w:rPr>
          <w:rFonts w:ascii="Times New Roman" w:hAnsi="Times New Roman"/>
          <w:sz w:val="28"/>
          <w:szCs w:val="28"/>
        </w:rPr>
        <w:t>Современный этап пенсионная реформа подходит к своему заверш</w:t>
      </w:r>
      <w:r w:rsidRPr="00E44760">
        <w:rPr>
          <w:rFonts w:ascii="Times New Roman" w:hAnsi="Times New Roman"/>
          <w:sz w:val="28"/>
          <w:szCs w:val="28"/>
        </w:rPr>
        <w:t>е</w:t>
      </w:r>
      <w:r w:rsidRPr="00E44760">
        <w:rPr>
          <w:rFonts w:ascii="Times New Roman" w:hAnsi="Times New Roman"/>
          <w:sz w:val="28"/>
          <w:szCs w:val="28"/>
        </w:rPr>
        <w:t>нию. Его цель состоит в формировании многоуровневой пенсионной с</w:t>
      </w:r>
      <w:r w:rsidRPr="00E44760">
        <w:rPr>
          <w:rFonts w:ascii="Times New Roman" w:hAnsi="Times New Roman"/>
          <w:sz w:val="28"/>
          <w:szCs w:val="28"/>
        </w:rPr>
        <w:t>и</w:t>
      </w:r>
      <w:r w:rsidRPr="00E44760">
        <w:rPr>
          <w:rFonts w:ascii="Times New Roman" w:hAnsi="Times New Roman"/>
          <w:sz w:val="28"/>
          <w:szCs w:val="28"/>
        </w:rPr>
        <w:t xml:space="preserve">стемы для улучшения пенсионного обеспечения граждан. В соответствии с новой моделью пенсия граждан РФ формируется из трех частей: базовая часть пенсии (она фиксирована и с 01.04.2013 составляет 3610руб. 31 коп.); страховая и накопительная. </w:t>
      </w:r>
      <w:r w:rsidRPr="00E44760">
        <w:rPr>
          <w:rFonts w:ascii="Times New Roman" w:hAnsi="Times New Roman"/>
          <w:sz w:val="28"/>
          <w:szCs w:val="28"/>
          <w:shd w:val="clear" w:color="auto" w:fill="FFFFFF"/>
        </w:rPr>
        <w:t>Согласно последним изменениям и </w:t>
      </w:r>
      <w:hyperlink r:id="rId8" w:history="1">
        <w:r w:rsidRPr="00E44760">
          <w:rPr>
            <w:rFonts w:ascii="Times New Roman" w:hAnsi="Times New Roman"/>
            <w:sz w:val="28"/>
            <w:szCs w:val="28"/>
            <w:shd w:val="clear" w:color="auto" w:fill="FFFFFF"/>
          </w:rPr>
          <w:t>федеральным законом</w:t>
        </w:r>
      </w:hyperlink>
      <w:r w:rsidRPr="00E44760">
        <w:rPr>
          <w:rFonts w:ascii="Times New Roman" w:hAnsi="Times New Roman"/>
          <w:sz w:val="28"/>
          <w:szCs w:val="28"/>
          <w:shd w:val="clear" w:color="auto" w:fill="FFFFFF"/>
        </w:rPr>
        <w:t xml:space="preserve"> от 04.12.13 ФЗ №351,  гражданам </w:t>
      </w:r>
      <w:smartTag w:uri="urn:schemas-microsoft-com:office:smarttags" w:element="metricconverter">
        <w:smartTagPr>
          <w:attr w:name="ProductID" w:val="1967 г"/>
        </w:smartTagPr>
        <w:r w:rsidRPr="00E44760">
          <w:rPr>
            <w:rFonts w:ascii="Times New Roman" w:hAnsi="Times New Roman"/>
            <w:sz w:val="28"/>
            <w:szCs w:val="28"/>
            <w:shd w:val="clear" w:color="auto" w:fill="FFFFFF"/>
          </w:rPr>
          <w:t>1967 г</w:t>
        </w:r>
      </w:smartTag>
      <w:r w:rsidRPr="00E44760">
        <w:rPr>
          <w:rFonts w:ascii="Times New Roman" w:hAnsi="Times New Roman"/>
          <w:sz w:val="28"/>
          <w:szCs w:val="28"/>
          <w:shd w:val="clear" w:color="auto" w:fill="FFFFFF"/>
        </w:rPr>
        <w:t>. рожд</w:t>
      </w:r>
      <w:r w:rsidRPr="00E44760">
        <w:rPr>
          <w:rFonts w:ascii="Times New Roman" w:hAnsi="Times New Roman"/>
          <w:sz w:val="28"/>
          <w:szCs w:val="28"/>
          <w:shd w:val="clear" w:color="auto" w:fill="FFFFFF"/>
        </w:rPr>
        <w:t>е</w:t>
      </w:r>
      <w:r w:rsidRPr="00E44760">
        <w:rPr>
          <w:rFonts w:ascii="Times New Roman" w:hAnsi="Times New Roman"/>
          <w:sz w:val="28"/>
          <w:szCs w:val="28"/>
          <w:shd w:val="clear" w:color="auto" w:fill="FFFFFF"/>
        </w:rPr>
        <w:t xml:space="preserve">ния и моложе, зарегистрированным в системе обязательного пенсионного </w:t>
      </w:r>
      <w:r w:rsidRPr="00E44760">
        <w:rPr>
          <w:rFonts w:ascii="Times New Roman" w:hAnsi="Times New Roman"/>
          <w:sz w:val="28"/>
          <w:szCs w:val="28"/>
          <w:shd w:val="clear" w:color="auto" w:fill="FFFFFF"/>
        </w:rPr>
        <w:lastRenderedPageBreak/>
        <w:t>страхования в 2014 - 2015 гг., предоставлена возможность выбора тарифа страхового взноса на накопительную часть трудовой пенсии: оставить де</w:t>
      </w:r>
      <w:r w:rsidRPr="00E44760">
        <w:rPr>
          <w:rFonts w:ascii="Times New Roman" w:hAnsi="Times New Roman"/>
          <w:sz w:val="28"/>
          <w:szCs w:val="28"/>
          <w:shd w:val="clear" w:color="auto" w:fill="FFFFFF"/>
        </w:rPr>
        <w:t>й</w:t>
      </w:r>
      <w:r w:rsidRPr="00E44760">
        <w:rPr>
          <w:rFonts w:ascii="Times New Roman" w:hAnsi="Times New Roman"/>
          <w:sz w:val="28"/>
          <w:szCs w:val="28"/>
          <w:shd w:val="clear" w:color="auto" w:fill="FFFFFF"/>
        </w:rPr>
        <w:t>ствующие 6%, либо отказаться от дальнейшего формирования накопител</w:t>
      </w:r>
      <w:r w:rsidRPr="00E44760">
        <w:rPr>
          <w:rFonts w:ascii="Times New Roman" w:hAnsi="Times New Roman"/>
          <w:sz w:val="28"/>
          <w:szCs w:val="28"/>
          <w:shd w:val="clear" w:color="auto" w:fill="FFFFFF"/>
        </w:rPr>
        <w:t>ь</w:t>
      </w:r>
      <w:r w:rsidRPr="00E44760">
        <w:rPr>
          <w:rFonts w:ascii="Times New Roman" w:hAnsi="Times New Roman"/>
          <w:sz w:val="28"/>
          <w:szCs w:val="28"/>
          <w:shd w:val="clear" w:color="auto" w:fill="FFFFFF"/>
        </w:rPr>
        <w:t>ной части пенсии, тем самым направив все страховые взносы, уплачива</w:t>
      </w:r>
      <w:r w:rsidRPr="00E44760">
        <w:rPr>
          <w:rFonts w:ascii="Times New Roman" w:hAnsi="Times New Roman"/>
          <w:sz w:val="28"/>
          <w:szCs w:val="28"/>
          <w:shd w:val="clear" w:color="auto" w:fill="FFFFFF"/>
        </w:rPr>
        <w:t>е</w:t>
      </w:r>
      <w:r w:rsidRPr="00E44760">
        <w:rPr>
          <w:rFonts w:ascii="Times New Roman" w:hAnsi="Times New Roman"/>
          <w:sz w:val="28"/>
          <w:szCs w:val="28"/>
          <w:shd w:val="clear" w:color="auto" w:fill="FFFFFF"/>
        </w:rPr>
        <w:t>мые работодателем в размере 22% от заработной платы, на формирование страховой</w:t>
      </w:r>
      <w:r w:rsidRPr="00E44760">
        <w:rPr>
          <w:rFonts w:ascii="Times New Roman" w:hAnsi="Times New Roman"/>
          <w:sz w:val="28"/>
          <w:szCs w:val="28"/>
        </w:rPr>
        <w:t xml:space="preserve"> части пенсии. В этом случае все ранее сформированные пенс</w:t>
      </w:r>
      <w:r w:rsidRPr="00E44760">
        <w:rPr>
          <w:rFonts w:ascii="Times New Roman" w:hAnsi="Times New Roman"/>
          <w:sz w:val="28"/>
          <w:szCs w:val="28"/>
        </w:rPr>
        <w:t>и</w:t>
      </w:r>
      <w:r w:rsidRPr="00E44760">
        <w:rPr>
          <w:rFonts w:ascii="Times New Roman" w:hAnsi="Times New Roman"/>
          <w:sz w:val="28"/>
          <w:szCs w:val="28"/>
        </w:rPr>
        <w:t>онные накопления граждан подлежат инвестированию и выплате в полном объеме с учетом инвестиционного дохода. </w:t>
      </w:r>
    </w:p>
    <w:p w:rsidR="00991A3C" w:rsidRPr="00E44760" w:rsidRDefault="00991A3C" w:rsidP="006C6B50">
      <w:pPr>
        <w:pStyle w:val="a6"/>
        <w:shd w:val="clear" w:color="auto" w:fill="FFFFFF"/>
        <w:spacing w:before="0" w:beforeAutospacing="0" w:after="0" w:afterAutospacing="0" w:line="360" w:lineRule="auto"/>
        <w:ind w:firstLine="680"/>
        <w:jc w:val="both"/>
        <w:rPr>
          <w:sz w:val="28"/>
          <w:szCs w:val="28"/>
          <w:lang w:eastAsia="en-US"/>
        </w:rPr>
      </w:pPr>
      <w:r w:rsidRPr="00E44760">
        <w:rPr>
          <w:sz w:val="28"/>
          <w:szCs w:val="28"/>
          <w:lang w:eastAsia="en-US"/>
        </w:rPr>
        <w:t>Для сохранения накопительной части пенсии необходимо выбрать управляющую компанию (УК) либо НПФИ и подписать с ними договора. Такая возможность сохраняется до 31.12.2015г. Для тех, кто не выбрал пенсионный институт, прекращается формирование пенсионных накопл</w:t>
      </w:r>
      <w:r w:rsidRPr="00E44760">
        <w:rPr>
          <w:sz w:val="28"/>
          <w:szCs w:val="28"/>
          <w:lang w:eastAsia="en-US"/>
        </w:rPr>
        <w:t>е</w:t>
      </w:r>
      <w:r w:rsidRPr="00E44760">
        <w:rPr>
          <w:sz w:val="28"/>
          <w:szCs w:val="28"/>
          <w:lang w:eastAsia="en-US"/>
        </w:rPr>
        <w:t>ний, страховые взносы будут пополнять страховую часть пенсии.</w:t>
      </w:r>
    </w:p>
    <w:p w:rsidR="00991A3C" w:rsidRPr="00E44760" w:rsidRDefault="00991A3C" w:rsidP="006C6B50">
      <w:pPr>
        <w:pStyle w:val="a6"/>
        <w:shd w:val="clear" w:color="auto" w:fill="FFFFFF"/>
        <w:spacing w:before="0" w:beforeAutospacing="0" w:after="0" w:afterAutospacing="0" w:line="360" w:lineRule="auto"/>
        <w:ind w:firstLine="680"/>
        <w:jc w:val="both"/>
        <w:rPr>
          <w:sz w:val="28"/>
          <w:szCs w:val="28"/>
        </w:rPr>
      </w:pPr>
      <w:r w:rsidRPr="00E44760">
        <w:rPr>
          <w:sz w:val="28"/>
          <w:szCs w:val="28"/>
          <w:lang w:eastAsia="en-US"/>
        </w:rPr>
        <w:t>Современные характеристики рынка негосударственных пенсионных услуг формируются состоянием финансовой системы России, в рамках к</w:t>
      </w:r>
      <w:r w:rsidRPr="00E44760">
        <w:rPr>
          <w:sz w:val="28"/>
          <w:szCs w:val="28"/>
          <w:lang w:eastAsia="en-US"/>
        </w:rPr>
        <w:t>о</w:t>
      </w:r>
      <w:r w:rsidRPr="00E44760">
        <w:rPr>
          <w:sz w:val="28"/>
          <w:szCs w:val="28"/>
          <w:lang w:eastAsia="en-US"/>
        </w:rPr>
        <w:t>торой наблюдается жесткая конкуренция между ее субъектами за возмо</w:t>
      </w:r>
      <w:r w:rsidRPr="00E44760">
        <w:rPr>
          <w:sz w:val="28"/>
          <w:szCs w:val="28"/>
          <w:lang w:eastAsia="en-US"/>
        </w:rPr>
        <w:t>ж</w:t>
      </w:r>
      <w:r w:rsidRPr="00E44760">
        <w:rPr>
          <w:sz w:val="28"/>
          <w:szCs w:val="28"/>
          <w:lang w:eastAsia="en-US"/>
        </w:rPr>
        <w:t xml:space="preserve">ность привлечения накоплений инвесторов, макроэкономической среды, описываемой нестабильностью, господством понижательных трендов и неблагоприятной для деятельности НПФ демографической статистики </w:t>
      </w:r>
      <w:r w:rsidRPr="00E44760">
        <w:rPr>
          <w:sz w:val="28"/>
          <w:szCs w:val="28"/>
        </w:rPr>
        <w:t>России.  2012-1230гг. характеризуется снижением рождаемости, повыш</w:t>
      </w:r>
      <w:r w:rsidRPr="00E44760">
        <w:rPr>
          <w:sz w:val="28"/>
          <w:szCs w:val="28"/>
        </w:rPr>
        <w:t>е</w:t>
      </w:r>
      <w:r w:rsidRPr="00E44760">
        <w:rPr>
          <w:sz w:val="28"/>
          <w:szCs w:val="28"/>
        </w:rPr>
        <w:t>нием ожидаемой продолжительности жизни, выходом на пенсию мног</w:t>
      </w:r>
      <w:r w:rsidRPr="00E44760">
        <w:rPr>
          <w:sz w:val="28"/>
          <w:szCs w:val="28"/>
        </w:rPr>
        <w:t>о</w:t>
      </w:r>
      <w:r w:rsidRPr="00E44760">
        <w:rPr>
          <w:sz w:val="28"/>
          <w:szCs w:val="28"/>
        </w:rPr>
        <w:t>численного поколения 1950-х и снижение численности населения труд</w:t>
      </w:r>
      <w:r w:rsidRPr="00E44760">
        <w:rPr>
          <w:sz w:val="28"/>
          <w:szCs w:val="28"/>
        </w:rPr>
        <w:t>о</w:t>
      </w:r>
      <w:r w:rsidRPr="00E44760">
        <w:rPr>
          <w:sz w:val="28"/>
          <w:szCs w:val="28"/>
        </w:rPr>
        <w:t>способного возраста (рис.1).</w:t>
      </w:r>
    </w:p>
    <w:p w:rsidR="00991A3C" w:rsidRPr="00E44760" w:rsidRDefault="00DE7A8B" w:rsidP="00DE7A8B">
      <w:pPr>
        <w:pStyle w:val="a6"/>
        <w:shd w:val="clear" w:color="auto" w:fill="FFFFFF"/>
        <w:spacing w:before="0" w:beforeAutospacing="0" w:after="0" w:afterAutospacing="0" w:line="360" w:lineRule="auto"/>
        <w:rPr>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4pt;height:214pt;visibility:visible">
            <v:imagedata r:id="rId9" o:title=""/>
          </v:shape>
        </w:pict>
      </w:r>
      <w:r w:rsidR="00991A3C" w:rsidRPr="00E44760">
        <w:rPr>
          <w:noProof/>
        </w:rPr>
        <w:t xml:space="preserve"> </w:t>
      </w:r>
    </w:p>
    <w:p w:rsidR="00991A3C" w:rsidRPr="00E44760" w:rsidRDefault="00991A3C" w:rsidP="006C6B50">
      <w:pPr>
        <w:pStyle w:val="a6"/>
        <w:shd w:val="clear" w:color="auto" w:fill="FFFFFF"/>
        <w:spacing w:before="0" w:beforeAutospacing="0" w:after="0" w:afterAutospacing="0" w:line="360" w:lineRule="auto"/>
        <w:ind w:firstLine="680"/>
        <w:jc w:val="both"/>
        <w:rPr>
          <w:sz w:val="28"/>
          <w:szCs w:val="28"/>
        </w:rPr>
      </w:pPr>
    </w:p>
    <w:p w:rsidR="00991A3C" w:rsidRPr="00E44760" w:rsidRDefault="00991A3C" w:rsidP="0023581E">
      <w:pPr>
        <w:shd w:val="clear" w:color="auto" w:fill="FFFFFF"/>
        <w:spacing w:after="0" w:line="240" w:lineRule="auto"/>
        <w:jc w:val="center"/>
        <w:rPr>
          <w:rFonts w:ascii="Times New Roman" w:hAnsi="Times New Roman"/>
          <w:sz w:val="28"/>
          <w:szCs w:val="28"/>
        </w:rPr>
      </w:pPr>
      <w:r w:rsidRPr="00E44760">
        <w:rPr>
          <w:rFonts w:ascii="Times New Roman" w:hAnsi="Times New Roman"/>
          <w:sz w:val="28"/>
          <w:szCs w:val="28"/>
        </w:rPr>
        <w:t xml:space="preserve">Рисунок 1 – Прогноз численности населения РФ в рабочем и пенсионном </w:t>
      </w:r>
    </w:p>
    <w:p w:rsidR="00991A3C" w:rsidRPr="00E44760" w:rsidRDefault="00991A3C" w:rsidP="0023581E">
      <w:pPr>
        <w:shd w:val="clear" w:color="auto" w:fill="FFFFFF"/>
        <w:spacing w:after="0" w:line="240" w:lineRule="auto"/>
        <w:jc w:val="center"/>
        <w:rPr>
          <w:rFonts w:ascii="Arial" w:hAnsi="Arial" w:cs="Arial"/>
          <w:i/>
          <w:iCs/>
          <w:sz w:val="19"/>
          <w:szCs w:val="19"/>
          <w:u w:val="single"/>
          <w:shd w:val="clear" w:color="auto" w:fill="F6F5F3"/>
        </w:rPr>
      </w:pPr>
      <w:r w:rsidRPr="00E44760">
        <w:rPr>
          <w:rFonts w:ascii="Times New Roman" w:hAnsi="Times New Roman"/>
          <w:sz w:val="28"/>
          <w:szCs w:val="28"/>
        </w:rPr>
        <w:t xml:space="preserve">возрасте </w:t>
      </w:r>
      <w:r w:rsidRPr="00E44760">
        <w:rPr>
          <w:rFonts w:ascii="Times New Roman" w:hAnsi="Times New Roman"/>
          <w:sz w:val="24"/>
          <w:szCs w:val="24"/>
        </w:rPr>
        <w:t>[7]</w:t>
      </w:r>
    </w:p>
    <w:p w:rsidR="00991A3C" w:rsidRPr="00E44760" w:rsidRDefault="00991A3C" w:rsidP="00C40AD3">
      <w:pPr>
        <w:shd w:val="clear" w:color="auto" w:fill="FFFFFF"/>
        <w:spacing w:after="0" w:line="360" w:lineRule="auto"/>
        <w:jc w:val="both"/>
        <w:rPr>
          <w:rFonts w:ascii="Arial" w:hAnsi="Arial" w:cs="Arial"/>
          <w:i/>
          <w:iCs/>
          <w:sz w:val="19"/>
          <w:szCs w:val="19"/>
          <w:u w:val="single"/>
          <w:shd w:val="clear" w:color="auto" w:fill="F6F5F3"/>
        </w:rPr>
      </w:pPr>
    </w:p>
    <w:p w:rsidR="00991A3C" w:rsidRPr="00E44760" w:rsidRDefault="00991A3C" w:rsidP="00304212">
      <w:pPr>
        <w:shd w:val="clear" w:color="auto" w:fill="FFFFFF"/>
        <w:spacing w:after="0" w:line="360" w:lineRule="auto"/>
        <w:ind w:firstLine="709"/>
        <w:jc w:val="both"/>
        <w:rPr>
          <w:rFonts w:ascii="Times New Roman" w:hAnsi="Times New Roman"/>
          <w:sz w:val="28"/>
          <w:szCs w:val="28"/>
          <w:lang w:eastAsia="ru-RU"/>
        </w:rPr>
      </w:pPr>
      <w:r w:rsidRPr="00E44760">
        <w:rPr>
          <w:rFonts w:ascii="Times New Roman" w:hAnsi="Times New Roman"/>
          <w:sz w:val="28"/>
          <w:szCs w:val="28"/>
          <w:lang w:eastAsia="ru-RU"/>
        </w:rPr>
        <w:t xml:space="preserve">Отмеченные тенденции приведут к старению населения России и внесут </w:t>
      </w:r>
    </w:p>
    <w:p w:rsidR="00991A3C" w:rsidRPr="00E44760" w:rsidRDefault="00991A3C" w:rsidP="00304212">
      <w:pPr>
        <w:shd w:val="clear" w:color="auto" w:fill="FFFFFF"/>
        <w:spacing w:after="0" w:line="360" w:lineRule="auto"/>
        <w:jc w:val="both"/>
        <w:rPr>
          <w:rFonts w:ascii="Times New Roman" w:hAnsi="Times New Roman"/>
          <w:sz w:val="28"/>
          <w:szCs w:val="28"/>
          <w:lang w:eastAsia="ru-RU"/>
        </w:rPr>
      </w:pPr>
      <w:r w:rsidRPr="00E44760">
        <w:rPr>
          <w:rFonts w:ascii="Times New Roman" w:hAnsi="Times New Roman"/>
          <w:sz w:val="28"/>
          <w:szCs w:val="28"/>
          <w:lang w:eastAsia="ru-RU"/>
        </w:rPr>
        <w:t>отрицательную динамику подушевого ВВП в размере 1,5-2,3 п.п. ежего</w:t>
      </w:r>
      <w:r w:rsidRPr="00E44760">
        <w:rPr>
          <w:rFonts w:ascii="Times New Roman" w:hAnsi="Times New Roman"/>
          <w:sz w:val="28"/>
          <w:szCs w:val="28"/>
          <w:lang w:eastAsia="ru-RU"/>
        </w:rPr>
        <w:t>д</w:t>
      </w:r>
      <w:r w:rsidRPr="00E44760">
        <w:rPr>
          <w:rFonts w:ascii="Times New Roman" w:hAnsi="Times New Roman"/>
          <w:sz w:val="28"/>
          <w:szCs w:val="28"/>
          <w:lang w:eastAsia="ru-RU"/>
        </w:rPr>
        <w:t>но.</w:t>
      </w:r>
    </w:p>
    <w:p w:rsidR="00991A3C" w:rsidRPr="00E44760" w:rsidRDefault="00991A3C" w:rsidP="00304212">
      <w:pPr>
        <w:shd w:val="clear" w:color="auto" w:fill="FFFFFF"/>
        <w:spacing w:after="0" w:line="360" w:lineRule="auto"/>
        <w:ind w:firstLine="709"/>
        <w:jc w:val="both"/>
        <w:rPr>
          <w:rFonts w:ascii="Times New Roman" w:hAnsi="Times New Roman"/>
          <w:sz w:val="28"/>
          <w:szCs w:val="28"/>
          <w:lang w:eastAsia="ru-RU"/>
        </w:rPr>
      </w:pPr>
      <w:r w:rsidRPr="00E44760">
        <w:rPr>
          <w:rFonts w:ascii="Times New Roman" w:hAnsi="Times New Roman"/>
          <w:sz w:val="28"/>
          <w:szCs w:val="28"/>
          <w:lang w:eastAsia="ru-RU"/>
        </w:rPr>
        <w:t xml:space="preserve">По экспертным оценкам ВБ повышение пенсионного возраста для мужчин и женщин до 65 лет нейтрализует эффект старения и позволит обеспечить положительный вклад в динамику ВВП до 2050г. при условии реализации ряда мероприятий по повышению занятости пожилых людей, содействию их обучения, пропаганде здорового образа жизни, развития превентивной медицины и других [7]. Для сравнения следует отметить, что </w:t>
      </w:r>
      <w:r w:rsidRPr="00E44760">
        <w:rPr>
          <w:rFonts w:ascii="Times New Roman" w:hAnsi="Times New Roman"/>
          <w:sz w:val="28"/>
          <w:szCs w:val="28"/>
        </w:rPr>
        <w:t>средний возраст выхода на пенсию в странах ОЭСР составляет 63,1 года для женщин и 64,2. В России с учетом того, что значительная часть нас</w:t>
      </w:r>
      <w:r w:rsidRPr="00E44760">
        <w:rPr>
          <w:rFonts w:ascii="Times New Roman" w:hAnsi="Times New Roman"/>
          <w:sz w:val="28"/>
          <w:szCs w:val="28"/>
        </w:rPr>
        <w:t>е</w:t>
      </w:r>
      <w:r w:rsidRPr="00E44760">
        <w:rPr>
          <w:rFonts w:ascii="Times New Roman" w:hAnsi="Times New Roman"/>
          <w:sz w:val="28"/>
          <w:szCs w:val="28"/>
        </w:rPr>
        <w:t>ления имеет право на досрочный выход на пенсию средний фактический возраст начала получения пенсии ниже установленного законодательством и  составляет для женщин 52-54 г. и  54-58 лет для мужчин (по оценкам МВФ) [6].</w:t>
      </w:r>
    </w:p>
    <w:p w:rsidR="00991A3C" w:rsidRPr="00E44760" w:rsidRDefault="00991A3C" w:rsidP="00DE7A8B">
      <w:pPr>
        <w:shd w:val="clear" w:color="auto" w:fill="FFFFFF"/>
        <w:spacing w:after="0" w:line="480" w:lineRule="auto"/>
        <w:ind w:firstLine="709"/>
        <w:jc w:val="both"/>
        <w:rPr>
          <w:rFonts w:ascii="Times New Roman" w:hAnsi="Times New Roman"/>
          <w:sz w:val="28"/>
          <w:szCs w:val="28"/>
          <w:shd w:val="clear" w:color="auto" w:fill="FFFFFF"/>
        </w:rPr>
      </w:pPr>
      <w:r w:rsidRPr="00E44760">
        <w:rPr>
          <w:rFonts w:ascii="Times New Roman" w:hAnsi="Times New Roman"/>
          <w:sz w:val="28"/>
          <w:szCs w:val="28"/>
          <w:shd w:val="clear" w:color="auto" w:fill="FFFFFF"/>
        </w:rPr>
        <w:lastRenderedPageBreak/>
        <w:t>По данным Минфина, на 01.07.2015г. объем пенсионных накоплений в пенсионной системе России составлял 3,6 трлн. руб., из которых 1,9 трлн. руб. находилось в ВЭБе, а 1,7 трлн. руб. - в НПФ. За второй квартал 2015г. накопления в НПФ увеличились на 564,6 млрд. руб., в основном за счет перевода из Пенсионного фонда России накоплений граждан, которые в 2013-2014 годах решили сменить фонд. За второй квартал 2015 г. НПФ вложили 128,8 млрд. руб. в ценные бумаги компаний реального сектора экономики, в том числе 112,9 млрд. руб. составили инвестиции в инфр</w:t>
      </w:r>
      <w:r w:rsidRPr="00E44760">
        <w:rPr>
          <w:rFonts w:ascii="Times New Roman" w:hAnsi="Times New Roman"/>
          <w:sz w:val="28"/>
          <w:szCs w:val="28"/>
          <w:shd w:val="clear" w:color="auto" w:fill="FFFFFF"/>
        </w:rPr>
        <w:t>а</w:t>
      </w:r>
      <w:r w:rsidRPr="00E44760">
        <w:rPr>
          <w:rFonts w:ascii="Times New Roman" w:hAnsi="Times New Roman"/>
          <w:sz w:val="28"/>
          <w:szCs w:val="28"/>
          <w:shd w:val="clear" w:color="auto" w:fill="FFFFFF"/>
        </w:rPr>
        <w:t>структурные проекты [</w:t>
      </w:r>
      <w:r w:rsidRPr="00E44760">
        <w:rPr>
          <w:rFonts w:ascii="Times New Roman" w:hAnsi="Times New Roman"/>
          <w:sz w:val="24"/>
          <w:szCs w:val="24"/>
          <w:shd w:val="clear" w:color="auto" w:fill="FFFFFF"/>
        </w:rPr>
        <w:t>9</w:t>
      </w:r>
      <w:r w:rsidRPr="00E44760">
        <w:rPr>
          <w:rFonts w:ascii="Times New Roman" w:hAnsi="Times New Roman"/>
          <w:sz w:val="28"/>
          <w:szCs w:val="28"/>
          <w:shd w:val="clear" w:color="auto" w:fill="FFFFFF"/>
        </w:rPr>
        <w:t xml:space="preserve">]. </w:t>
      </w:r>
    </w:p>
    <w:p w:rsidR="00991A3C" w:rsidRPr="00E44760" w:rsidRDefault="00991A3C" w:rsidP="00DE7A8B">
      <w:pPr>
        <w:shd w:val="clear" w:color="auto" w:fill="FFFFFF"/>
        <w:spacing w:after="0" w:line="480" w:lineRule="auto"/>
        <w:ind w:firstLine="709"/>
        <w:jc w:val="both"/>
        <w:rPr>
          <w:rFonts w:ascii="Times New Roman" w:hAnsi="Times New Roman"/>
          <w:sz w:val="28"/>
          <w:szCs w:val="28"/>
        </w:rPr>
      </w:pPr>
      <w:r w:rsidRPr="00E44760">
        <w:rPr>
          <w:rFonts w:ascii="Times New Roman" w:hAnsi="Times New Roman"/>
          <w:sz w:val="28"/>
          <w:szCs w:val="28"/>
          <w:shd w:val="clear" w:color="auto" w:fill="FFFFFF"/>
        </w:rPr>
        <w:t>В таблице 1 представлены данные, характеризующие потенциал наиболее крупных НПФ РФ в качестве поставщиков инвестиционных р</w:t>
      </w:r>
      <w:r w:rsidRPr="00E44760">
        <w:rPr>
          <w:rFonts w:ascii="Times New Roman" w:hAnsi="Times New Roman"/>
          <w:sz w:val="28"/>
          <w:szCs w:val="28"/>
          <w:shd w:val="clear" w:color="auto" w:fill="FFFFFF"/>
        </w:rPr>
        <w:t>е</w:t>
      </w:r>
      <w:r w:rsidRPr="00E44760">
        <w:rPr>
          <w:rFonts w:ascii="Times New Roman" w:hAnsi="Times New Roman"/>
          <w:sz w:val="28"/>
          <w:szCs w:val="28"/>
          <w:shd w:val="clear" w:color="auto" w:fill="FFFFFF"/>
        </w:rPr>
        <w:t>сурсов. Ключевые показатели деятельности свидетельствуют об успешном развитии бизнеса крупных фондов, чему в немалой степени способствов</w:t>
      </w:r>
      <w:r w:rsidRPr="00E44760">
        <w:rPr>
          <w:rFonts w:ascii="Times New Roman" w:hAnsi="Times New Roman"/>
          <w:sz w:val="28"/>
          <w:szCs w:val="28"/>
          <w:shd w:val="clear" w:color="auto" w:fill="FFFFFF"/>
        </w:rPr>
        <w:t>а</w:t>
      </w:r>
      <w:r w:rsidRPr="00E44760">
        <w:rPr>
          <w:rFonts w:ascii="Times New Roman" w:hAnsi="Times New Roman"/>
          <w:sz w:val="28"/>
          <w:szCs w:val="28"/>
          <w:shd w:val="clear" w:color="auto" w:fill="FFFFFF"/>
        </w:rPr>
        <w:t>ло вступление реформы в 2015г. в завершающую стадию. Обращают вн</w:t>
      </w:r>
      <w:r w:rsidRPr="00E44760">
        <w:rPr>
          <w:rFonts w:ascii="Times New Roman" w:hAnsi="Times New Roman"/>
          <w:sz w:val="28"/>
          <w:szCs w:val="28"/>
          <w:shd w:val="clear" w:color="auto" w:fill="FFFFFF"/>
        </w:rPr>
        <w:t>и</w:t>
      </w:r>
      <w:r w:rsidRPr="00E44760">
        <w:rPr>
          <w:rFonts w:ascii="Times New Roman" w:hAnsi="Times New Roman"/>
          <w:sz w:val="28"/>
          <w:szCs w:val="28"/>
          <w:shd w:val="clear" w:color="auto" w:fill="FFFFFF"/>
        </w:rPr>
        <w:t xml:space="preserve">мание стремительные темпы развития НПФ </w:t>
      </w:r>
      <w:hyperlink r:id="rId10" w:history="1">
        <w:r w:rsidRPr="00E44760">
          <w:rPr>
            <w:rFonts w:ascii="Times New Roman" w:hAnsi="Times New Roman"/>
            <w:sz w:val="28"/>
            <w:szCs w:val="28"/>
          </w:rPr>
          <w:t>Сбербанка АО</w:t>
        </w:r>
      </w:hyperlink>
      <w:r w:rsidRPr="00E44760">
        <w:rPr>
          <w:rFonts w:ascii="Times New Roman" w:hAnsi="Times New Roman"/>
          <w:sz w:val="28"/>
          <w:szCs w:val="28"/>
        </w:rPr>
        <w:t>, который с м</w:t>
      </w:r>
      <w:r w:rsidRPr="00E44760">
        <w:rPr>
          <w:rFonts w:ascii="Times New Roman" w:hAnsi="Times New Roman"/>
          <w:sz w:val="28"/>
          <w:szCs w:val="28"/>
        </w:rPr>
        <w:t>о</w:t>
      </w:r>
      <w:r w:rsidRPr="00E44760">
        <w:rPr>
          <w:rFonts w:ascii="Times New Roman" w:hAnsi="Times New Roman"/>
          <w:sz w:val="28"/>
          <w:szCs w:val="28"/>
        </w:rPr>
        <w:t>мента создания в 1995г. придерживается сбалансированной инвестицио</w:t>
      </w:r>
      <w:r w:rsidRPr="00E44760">
        <w:rPr>
          <w:rFonts w:ascii="Times New Roman" w:hAnsi="Times New Roman"/>
          <w:sz w:val="28"/>
          <w:szCs w:val="28"/>
        </w:rPr>
        <w:t>н</w:t>
      </w:r>
      <w:r w:rsidRPr="00E44760">
        <w:rPr>
          <w:rFonts w:ascii="Times New Roman" w:hAnsi="Times New Roman"/>
          <w:sz w:val="28"/>
          <w:szCs w:val="28"/>
        </w:rPr>
        <w:t>ной стратегии, ориентированной на достижение оптимального соотнош</w:t>
      </w:r>
      <w:r w:rsidRPr="00E44760">
        <w:rPr>
          <w:rFonts w:ascii="Times New Roman" w:hAnsi="Times New Roman"/>
          <w:sz w:val="28"/>
          <w:szCs w:val="28"/>
        </w:rPr>
        <w:t>е</w:t>
      </w:r>
      <w:r w:rsidRPr="00E44760">
        <w:rPr>
          <w:rFonts w:ascii="Times New Roman" w:hAnsi="Times New Roman"/>
          <w:sz w:val="28"/>
          <w:szCs w:val="28"/>
        </w:rPr>
        <w:t>ния доходности и надежности финансовых инструментов на базе иннов</w:t>
      </w:r>
      <w:r w:rsidRPr="00E44760">
        <w:rPr>
          <w:rFonts w:ascii="Times New Roman" w:hAnsi="Times New Roman"/>
          <w:sz w:val="28"/>
          <w:szCs w:val="28"/>
        </w:rPr>
        <w:t>а</w:t>
      </w:r>
      <w:r w:rsidRPr="00E44760">
        <w:rPr>
          <w:rFonts w:ascii="Times New Roman" w:hAnsi="Times New Roman"/>
          <w:sz w:val="28"/>
          <w:szCs w:val="28"/>
        </w:rPr>
        <w:t xml:space="preserve">ционных технологий инвестирования. </w:t>
      </w:r>
    </w:p>
    <w:p w:rsidR="00991A3C" w:rsidRPr="00E44760" w:rsidRDefault="00991A3C" w:rsidP="00DE7A8B">
      <w:pPr>
        <w:shd w:val="clear" w:color="auto" w:fill="FFFFFF"/>
        <w:spacing w:after="0" w:line="480" w:lineRule="auto"/>
        <w:ind w:firstLine="709"/>
        <w:jc w:val="both"/>
        <w:rPr>
          <w:rFonts w:ascii="Times New Roman" w:hAnsi="Times New Roman"/>
          <w:sz w:val="28"/>
          <w:szCs w:val="28"/>
        </w:rPr>
        <w:sectPr w:rsidR="00991A3C" w:rsidRPr="00E44760" w:rsidSect="00E5722D">
          <w:headerReference w:type="even" r:id="rId11"/>
          <w:headerReference w:type="default" r:id="rId12"/>
          <w:footerReference w:type="default" r:id="rId13"/>
          <w:pgSz w:w="11906" w:h="16838"/>
          <w:pgMar w:top="1418" w:right="1418" w:bottom="1418" w:left="1418" w:header="709" w:footer="709" w:gutter="0"/>
          <w:pgNumType w:start="1"/>
          <w:cols w:space="708"/>
          <w:docGrid w:linePitch="360"/>
        </w:sectPr>
      </w:pPr>
    </w:p>
    <w:p w:rsidR="00991A3C" w:rsidRPr="00E44760" w:rsidRDefault="00991A3C" w:rsidP="00776576">
      <w:pPr>
        <w:rPr>
          <w:rFonts w:ascii="Times New Roman" w:hAnsi="Times New Roman"/>
          <w:sz w:val="28"/>
          <w:szCs w:val="28"/>
        </w:rPr>
      </w:pPr>
      <w:r w:rsidRPr="00E44760">
        <w:rPr>
          <w:rFonts w:ascii="Times New Roman" w:hAnsi="Times New Roman"/>
          <w:sz w:val="28"/>
          <w:szCs w:val="28"/>
        </w:rPr>
        <w:lastRenderedPageBreak/>
        <w:t>Таблица 1-  Характеристика инвестиционного потенциала наиболее крупных НПФ РФ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3"/>
        <w:gridCol w:w="1140"/>
        <w:gridCol w:w="1473"/>
        <w:gridCol w:w="1473"/>
        <w:gridCol w:w="1296"/>
        <w:gridCol w:w="1455"/>
        <w:gridCol w:w="1455"/>
        <w:gridCol w:w="1041"/>
        <w:gridCol w:w="1455"/>
        <w:gridCol w:w="1455"/>
      </w:tblGrid>
      <w:tr w:rsidR="00991A3C" w:rsidRPr="009C1324" w:rsidTr="009C1324">
        <w:trPr>
          <w:trHeight w:val="158"/>
        </w:trPr>
        <w:tc>
          <w:tcPr>
            <w:tcW w:w="2543" w:type="dxa"/>
            <w:vMerge w:val="restart"/>
          </w:tcPr>
          <w:p w:rsidR="00991A3C" w:rsidRPr="009C1324" w:rsidRDefault="00991A3C" w:rsidP="009C1324">
            <w:pPr>
              <w:spacing w:after="0" w:line="240" w:lineRule="auto"/>
              <w:rPr>
                <w:rFonts w:ascii="Times New Roman" w:hAnsi="Times New Roman"/>
                <w:sz w:val="24"/>
                <w:szCs w:val="24"/>
              </w:rPr>
            </w:pPr>
            <w:r w:rsidRPr="009C1324">
              <w:rPr>
                <w:rFonts w:ascii="Times New Roman" w:hAnsi="Times New Roman"/>
                <w:sz w:val="24"/>
                <w:szCs w:val="24"/>
              </w:rPr>
              <w:t>Наименование НПФ</w:t>
            </w:r>
          </w:p>
        </w:tc>
        <w:tc>
          <w:tcPr>
            <w:tcW w:w="4086" w:type="dxa"/>
            <w:gridSpan w:val="3"/>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Резервы, млрд. руб., на</w:t>
            </w:r>
          </w:p>
        </w:tc>
        <w:tc>
          <w:tcPr>
            <w:tcW w:w="4206" w:type="dxa"/>
            <w:gridSpan w:val="3"/>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Накопления, млн. руб., на</w:t>
            </w:r>
          </w:p>
        </w:tc>
        <w:tc>
          <w:tcPr>
            <w:tcW w:w="3951" w:type="dxa"/>
            <w:gridSpan w:val="3"/>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Застраховано лиц, тыс. чел. на</w:t>
            </w:r>
          </w:p>
        </w:tc>
      </w:tr>
      <w:tr w:rsidR="00991A3C" w:rsidRPr="009C1324" w:rsidTr="009C1324">
        <w:trPr>
          <w:trHeight w:val="157"/>
        </w:trPr>
        <w:tc>
          <w:tcPr>
            <w:tcW w:w="2543" w:type="dxa"/>
            <w:vMerge/>
          </w:tcPr>
          <w:p w:rsidR="00991A3C" w:rsidRPr="009C1324" w:rsidRDefault="00991A3C" w:rsidP="009C1324">
            <w:pPr>
              <w:spacing w:after="0" w:line="240" w:lineRule="auto"/>
              <w:rPr>
                <w:rFonts w:ascii="Times New Roman" w:hAnsi="Times New Roman"/>
                <w:sz w:val="24"/>
                <w:szCs w:val="24"/>
              </w:rPr>
            </w:pPr>
          </w:p>
        </w:tc>
        <w:tc>
          <w:tcPr>
            <w:tcW w:w="1140" w:type="dxa"/>
          </w:tcPr>
          <w:p w:rsidR="00991A3C" w:rsidRPr="009C1324" w:rsidRDefault="00991A3C" w:rsidP="009C1324">
            <w:pPr>
              <w:spacing w:after="0" w:line="240" w:lineRule="auto"/>
              <w:ind w:left="-192" w:right="-219" w:firstLine="59"/>
              <w:jc w:val="center"/>
              <w:rPr>
                <w:rFonts w:ascii="Times New Roman" w:hAnsi="Times New Roman"/>
                <w:sz w:val="24"/>
                <w:szCs w:val="24"/>
              </w:rPr>
            </w:pPr>
            <w:r w:rsidRPr="009C1324">
              <w:rPr>
                <w:rFonts w:ascii="Times New Roman" w:hAnsi="Times New Roman"/>
                <w:sz w:val="24"/>
                <w:szCs w:val="24"/>
              </w:rPr>
              <w:t>01.01.2010</w:t>
            </w:r>
          </w:p>
        </w:tc>
        <w:tc>
          <w:tcPr>
            <w:tcW w:w="147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01.01.2014г.</w:t>
            </w:r>
          </w:p>
        </w:tc>
        <w:tc>
          <w:tcPr>
            <w:tcW w:w="147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01.07.2015г.</w:t>
            </w:r>
          </w:p>
        </w:tc>
        <w:tc>
          <w:tcPr>
            <w:tcW w:w="1296"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01.01.2010</w:t>
            </w:r>
          </w:p>
        </w:tc>
        <w:tc>
          <w:tcPr>
            <w:tcW w:w="1455"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01.01.2014г.</w:t>
            </w:r>
          </w:p>
        </w:tc>
        <w:tc>
          <w:tcPr>
            <w:tcW w:w="1455"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01.07.2015г.</w:t>
            </w:r>
          </w:p>
        </w:tc>
        <w:tc>
          <w:tcPr>
            <w:tcW w:w="1041" w:type="dxa"/>
          </w:tcPr>
          <w:p w:rsidR="00991A3C" w:rsidRPr="009C1324" w:rsidRDefault="00991A3C" w:rsidP="009C1324">
            <w:pPr>
              <w:spacing w:after="0" w:line="240" w:lineRule="auto"/>
              <w:ind w:left="-173" w:right="-82"/>
              <w:jc w:val="center"/>
              <w:rPr>
                <w:rFonts w:ascii="Times New Roman" w:hAnsi="Times New Roman"/>
                <w:sz w:val="24"/>
                <w:szCs w:val="24"/>
              </w:rPr>
            </w:pPr>
            <w:r w:rsidRPr="009C1324">
              <w:rPr>
                <w:rFonts w:ascii="Times New Roman" w:hAnsi="Times New Roman"/>
                <w:sz w:val="24"/>
                <w:szCs w:val="24"/>
              </w:rPr>
              <w:t>01.01.2010</w:t>
            </w:r>
          </w:p>
        </w:tc>
        <w:tc>
          <w:tcPr>
            <w:tcW w:w="1455"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01.01.2014г.</w:t>
            </w:r>
          </w:p>
        </w:tc>
        <w:tc>
          <w:tcPr>
            <w:tcW w:w="1455"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01.07.2015г.</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14" w:history="1">
              <w:r w:rsidR="00991A3C" w:rsidRPr="009C1324">
                <w:rPr>
                  <w:rStyle w:val="a3"/>
                  <w:rFonts w:ascii="Times New Roman" w:hAnsi="Times New Roman"/>
                  <w:color w:val="auto"/>
                  <w:sz w:val="24"/>
                  <w:szCs w:val="24"/>
                  <w:u w:val="none"/>
                  <w:shd w:val="clear" w:color="auto" w:fill="FDFDFD"/>
                </w:rPr>
                <w:t>ГАЗФОНД НПФ</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290,0</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325,4</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335, 3</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w:t>
            </w:r>
          </w:p>
        </w:tc>
        <w:tc>
          <w:tcPr>
            <w:tcW w:w="1455" w:type="dxa"/>
            <w:vAlign w:val="bottom"/>
          </w:tcPr>
          <w:p w:rsidR="00991A3C" w:rsidRPr="009C1324" w:rsidRDefault="00991A3C" w:rsidP="009C1324">
            <w:pPr>
              <w:spacing w:after="0" w:line="240" w:lineRule="auto"/>
              <w:ind w:left="-83" w:right="-96"/>
              <w:jc w:val="center"/>
              <w:rPr>
                <w:rFonts w:ascii="Times New Roman" w:hAnsi="Times New Roman"/>
                <w:sz w:val="24"/>
                <w:szCs w:val="24"/>
              </w:rPr>
            </w:pPr>
            <w:r w:rsidRPr="009C1324">
              <w:rPr>
                <w:rFonts w:ascii="Times New Roman" w:hAnsi="Times New Roman"/>
                <w:sz w:val="24"/>
                <w:szCs w:val="24"/>
              </w:rPr>
              <w:t>63,2</w:t>
            </w:r>
          </w:p>
        </w:tc>
        <w:tc>
          <w:tcPr>
            <w:tcW w:w="1455" w:type="dxa"/>
            <w:vAlign w:val="bottom"/>
          </w:tcPr>
          <w:p w:rsidR="00991A3C" w:rsidRPr="009C1324" w:rsidRDefault="00991A3C" w:rsidP="009C1324">
            <w:pPr>
              <w:spacing w:after="0" w:line="240" w:lineRule="auto"/>
              <w:ind w:left="-120" w:right="-200"/>
              <w:jc w:val="center"/>
              <w:rPr>
                <w:rFonts w:ascii="Times New Roman" w:hAnsi="Times New Roman"/>
                <w:sz w:val="24"/>
                <w:szCs w:val="24"/>
              </w:rPr>
            </w:pPr>
            <w:r w:rsidRPr="009C1324">
              <w:rPr>
                <w:rFonts w:ascii="Times New Roman" w:hAnsi="Times New Roman"/>
                <w:sz w:val="24"/>
                <w:szCs w:val="24"/>
              </w:rPr>
              <w:t>108,6</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232,9</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15" w:history="1">
              <w:r w:rsidR="00991A3C" w:rsidRPr="009C1324">
                <w:rPr>
                  <w:rStyle w:val="a3"/>
                  <w:rFonts w:ascii="Times New Roman" w:hAnsi="Times New Roman"/>
                  <w:color w:val="auto"/>
                  <w:sz w:val="24"/>
                  <w:szCs w:val="24"/>
                  <w:u w:val="none"/>
                </w:rPr>
                <w:t>БЛАГОСОСТОЯНИЕ НПФ</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136,3</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247, 1</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271,8</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26,9</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0,00</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0,00</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shd w:val="clear" w:color="auto" w:fill="FDFDFD"/>
              </w:rPr>
            </w:pPr>
          </w:p>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 xml:space="preserve">1 042,7 </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16" w:history="1">
              <w:r w:rsidR="00991A3C" w:rsidRPr="009C1324">
                <w:rPr>
                  <w:rStyle w:val="a3"/>
                  <w:rFonts w:ascii="Times New Roman" w:hAnsi="Times New Roman"/>
                  <w:color w:val="auto"/>
                  <w:sz w:val="24"/>
                  <w:szCs w:val="24"/>
                  <w:u w:val="none"/>
                  <w:shd w:val="clear" w:color="auto" w:fill="FDFDFD"/>
                </w:rPr>
                <w:t>Транснефть НПФ</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27,3</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56, 7</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62,2</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0,9</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6, 4</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6, 6</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21,3</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48,8</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47, 3</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17" w:history="1">
              <w:r w:rsidR="00991A3C" w:rsidRPr="009C1324">
                <w:rPr>
                  <w:rStyle w:val="a3"/>
                  <w:rFonts w:ascii="Times New Roman" w:hAnsi="Times New Roman"/>
                  <w:color w:val="auto"/>
                  <w:sz w:val="24"/>
                  <w:szCs w:val="24"/>
                  <w:u w:val="none"/>
                </w:rPr>
                <w:t>НПФ электроэнерг</w:t>
              </w:r>
              <w:r w:rsidR="00991A3C" w:rsidRPr="009C1324">
                <w:rPr>
                  <w:rStyle w:val="a3"/>
                  <w:rFonts w:ascii="Times New Roman" w:hAnsi="Times New Roman"/>
                  <w:color w:val="auto"/>
                  <w:sz w:val="24"/>
                  <w:szCs w:val="24"/>
                  <w:u w:val="none"/>
                </w:rPr>
                <w:t>е</w:t>
              </w:r>
              <w:r w:rsidR="00991A3C" w:rsidRPr="009C1324">
                <w:rPr>
                  <w:rStyle w:val="a3"/>
                  <w:rFonts w:ascii="Times New Roman" w:hAnsi="Times New Roman"/>
                  <w:color w:val="auto"/>
                  <w:sz w:val="24"/>
                  <w:szCs w:val="24"/>
                  <w:u w:val="none"/>
                </w:rPr>
                <w:t>тики ОАО</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26,4</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38, 9</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39,9</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shd w:val="clear" w:color="auto" w:fill="FDFDFD"/>
              </w:rPr>
            </w:pPr>
          </w:p>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9, 5</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72, 9</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94, 3</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434, 0</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1 092, 5</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1 258, 5</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18" w:history="1">
              <w:r w:rsidR="00991A3C" w:rsidRPr="009C1324">
                <w:rPr>
                  <w:rStyle w:val="a3"/>
                  <w:rFonts w:ascii="Times New Roman" w:hAnsi="Times New Roman"/>
                  <w:color w:val="auto"/>
                  <w:sz w:val="24"/>
                  <w:szCs w:val="24"/>
                  <w:u w:val="none"/>
                  <w:shd w:val="clear" w:color="auto" w:fill="FDFDFD"/>
                </w:rPr>
                <w:t>Нефтегарант НПФ</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13, 2</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31, 3</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36, 8</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0,3</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0,00</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0,00</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472, 6</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1 025, 8</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881,3</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19" w:history="1">
              <w:r w:rsidR="00991A3C" w:rsidRPr="009C1324">
                <w:rPr>
                  <w:rStyle w:val="a3"/>
                  <w:rFonts w:ascii="Times New Roman" w:hAnsi="Times New Roman"/>
                  <w:color w:val="auto"/>
                  <w:sz w:val="24"/>
                  <w:szCs w:val="24"/>
                  <w:u w:val="none"/>
                </w:rPr>
                <w:t>Телеком-Союз НПФ ОАО</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15, 8</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21,0</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22, 5</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0,7</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1, 7</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1,8</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19, 7</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20, 9</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19,5</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20" w:history="1">
              <w:r w:rsidR="00991A3C" w:rsidRPr="009C1324">
                <w:rPr>
                  <w:rStyle w:val="a3"/>
                  <w:rFonts w:ascii="Times New Roman" w:hAnsi="Times New Roman"/>
                  <w:color w:val="auto"/>
                  <w:sz w:val="24"/>
                  <w:szCs w:val="24"/>
                  <w:u w:val="none"/>
                </w:rPr>
                <w:t>Ханты-Мансийский НПФ ОАО</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21, 5</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16, 3</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16, 7</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shd w:val="clear" w:color="auto" w:fill="ECF2DC"/>
              </w:rPr>
            </w:pPr>
          </w:p>
          <w:p w:rsidR="00991A3C" w:rsidRPr="009C1324" w:rsidRDefault="00991A3C" w:rsidP="009C1324">
            <w:pPr>
              <w:spacing w:after="0" w:line="240" w:lineRule="auto"/>
              <w:ind w:left="-62"/>
              <w:jc w:val="center"/>
              <w:rPr>
                <w:rFonts w:ascii="Times New Roman" w:hAnsi="Times New Roman"/>
                <w:sz w:val="24"/>
                <w:szCs w:val="24"/>
              </w:rPr>
            </w:pPr>
            <w:r w:rsidRPr="009C1324">
              <w:rPr>
                <w:rFonts w:ascii="Times New Roman" w:hAnsi="Times New Roman"/>
                <w:sz w:val="24"/>
                <w:szCs w:val="24"/>
                <w:shd w:val="clear" w:color="auto" w:fill="ECF2DC"/>
              </w:rPr>
              <w:t>4,0</w:t>
            </w:r>
          </w:p>
        </w:tc>
        <w:tc>
          <w:tcPr>
            <w:tcW w:w="1455" w:type="dxa"/>
            <w:vAlign w:val="bottom"/>
          </w:tcPr>
          <w:p w:rsidR="00991A3C" w:rsidRPr="009C1324" w:rsidRDefault="00991A3C" w:rsidP="009C1324">
            <w:pPr>
              <w:spacing w:after="0" w:line="240" w:lineRule="auto"/>
              <w:ind w:left="-83" w:right="-96"/>
              <w:jc w:val="center"/>
              <w:rPr>
                <w:rFonts w:ascii="Times New Roman" w:hAnsi="Times New Roman"/>
                <w:sz w:val="24"/>
                <w:szCs w:val="24"/>
              </w:rPr>
            </w:pPr>
            <w:r w:rsidRPr="009C1324">
              <w:rPr>
                <w:rFonts w:ascii="Times New Roman" w:hAnsi="Times New Roman"/>
                <w:sz w:val="24"/>
                <w:szCs w:val="24"/>
              </w:rPr>
              <w:t>10, 0</w:t>
            </w:r>
          </w:p>
        </w:tc>
        <w:tc>
          <w:tcPr>
            <w:tcW w:w="1455" w:type="dxa"/>
            <w:vAlign w:val="bottom"/>
          </w:tcPr>
          <w:p w:rsidR="00991A3C" w:rsidRPr="009C1324" w:rsidRDefault="00991A3C" w:rsidP="009C1324">
            <w:pPr>
              <w:spacing w:after="0" w:line="240" w:lineRule="auto"/>
              <w:ind w:left="-120" w:right="-58" w:firstLine="120"/>
              <w:jc w:val="center"/>
              <w:rPr>
                <w:rFonts w:ascii="Times New Roman" w:hAnsi="Times New Roman"/>
                <w:sz w:val="24"/>
                <w:szCs w:val="24"/>
              </w:rPr>
            </w:pPr>
            <w:r w:rsidRPr="009C1324">
              <w:rPr>
                <w:rFonts w:ascii="Times New Roman" w:hAnsi="Times New Roman"/>
                <w:sz w:val="24"/>
                <w:szCs w:val="24"/>
              </w:rPr>
              <w:t>9,5</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110, 1</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137,4</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118, 1</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21" w:history="1">
              <w:r w:rsidR="00991A3C" w:rsidRPr="009C1324">
                <w:rPr>
                  <w:rStyle w:val="a3"/>
                  <w:rFonts w:ascii="Times New Roman" w:hAnsi="Times New Roman"/>
                  <w:color w:val="auto"/>
                  <w:sz w:val="24"/>
                  <w:szCs w:val="24"/>
                  <w:u w:val="none"/>
                  <w:shd w:val="clear" w:color="auto" w:fill="FDFDFD"/>
                </w:rPr>
                <w:t>Наследие НПФ ЗАО</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9, 4</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14, 1</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14, 5</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29, 7</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48, 1</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50,5</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22" w:history="1">
              <w:r w:rsidR="00991A3C" w:rsidRPr="009C1324">
                <w:rPr>
                  <w:rStyle w:val="a3"/>
                  <w:rFonts w:ascii="Times New Roman" w:hAnsi="Times New Roman"/>
                  <w:color w:val="auto"/>
                  <w:sz w:val="24"/>
                  <w:szCs w:val="24"/>
                  <w:u w:val="none"/>
                </w:rPr>
                <w:t>Национальный НПФ ЗАО</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8,5</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11, 0</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12,0</w:t>
            </w:r>
          </w:p>
        </w:tc>
        <w:tc>
          <w:tcPr>
            <w:tcW w:w="1296"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3,2</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13,5</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16, 7</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FDFDFD"/>
              </w:rPr>
              <w:t>134, 2</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323,3</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338, 7</w:t>
            </w:r>
          </w:p>
        </w:tc>
      </w:tr>
      <w:tr w:rsidR="00991A3C" w:rsidRPr="009C1324" w:rsidTr="009C1324">
        <w:tc>
          <w:tcPr>
            <w:tcW w:w="2543" w:type="dxa"/>
          </w:tcPr>
          <w:p w:rsidR="00991A3C" w:rsidRPr="009C1324" w:rsidRDefault="00C80516" w:rsidP="009C1324">
            <w:pPr>
              <w:spacing w:after="0" w:line="240" w:lineRule="auto"/>
              <w:rPr>
                <w:rFonts w:ascii="Times New Roman" w:hAnsi="Times New Roman"/>
                <w:sz w:val="24"/>
                <w:szCs w:val="24"/>
              </w:rPr>
            </w:pPr>
            <w:hyperlink r:id="rId23" w:history="1">
              <w:r w:rsidR="00991A3C" w:rsidRPr="009C1324">
                <w:rPr>
                  <w:rStyle w:val="a3"/>
                  <w:rFonts w:ascii="Times New Roman" w:hAnsi="Times New Roman"/>
                  <w:color w:val="auto"/>
                  <w:sz w:val="24"/>
                  <w:szCs w:val="24"/>
                  <w:u w:val="none"/>
                </w:rPr>
                <w:t>Сбербанка НПФ АО</w:t>
              </w:r>
            </w:hyperlink>
          </w:p>
        </w:tc>
        <w:tc>
          <w:tcPr>
            <w:tcW w:w="114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shd w:val="clear" w:color="auto" w:fill="ECF2DC"/>
              </w:rPr>
              <w:t>2,4</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10, 2</w:t>
            </w:r>
          </w:p>
        </w:tc>
        <w:tc>
          <w:tcPr>
            <w:tcW w:w="147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11,1</w:t>
            </w:r>
          </w:p>
        </w:tc>
        <w:tc>
          <w:tcPr>
            <w:tcW w:w="1296" w:type="dxa"/>
            <w:vAlign w:val="bottom"/>
          </w:tcPr>
          <w:p w:rsidR="00991A3C" w:rsidRPr="009C1324" w:rsidRDefault="00991A3C" w:rsidP="009C1324">
            <w:pPr>
              <w:spacing w:after="0" w:line="240" w:lineRule="auto"/>
              <w:ind w:left="-62" w:right="-133"/>
              <w:jc w:val="center"/>
              <w:rPr>
                <w:rFonts w:ascii="Times New Roman" w:hAnsi="Times New Roman"/>
                <w:sz w:val="24"/>
                <w:szCs w:val="24"/>
              </w:rPr>
            </w:pPr>
            <w:r w:rsidRPr="009C1324">
              <w:rPr>
                <w:rFonts w:ascii="Times New Roman" w:hAnsi="Times New Roman"/>
                <w:sz w:val="24"/>
                <w:szCs w:val="24"/>
                <w:shd w:val="clear" w:color="auto" w:fill="FDFDFD"/>
              </w:rPr>
              <w:t xml:space="preserve">6,7 </w:t>
            </w:r>
          </w:p>
        </w:tc>
        <w:tc>
          <w:tcPr>
            <w:tcW w:w="1455" w:type="dxa"/>
            <w:vAlign w:val="bottom"/>
          </w:tcPr>
          <w:p w:rsidR="00991A3C" w:rsidRPr="009C1324" w:rsidRDefault="00991A3C" w:rsidP="009C1324">
            <w:pPr>
              <w:spacing w:after="0" w:line="240" w:lineRule="auto"/>
              <w:ind w:left="-83" w:right="-96"/>
              <w:jc w:val="center"/>
              <w:rPr>
                <w:rFonts w:ascii="Times New Roman" w:hAnsi="Times New Roman"/>
                <w:sz w:val="24"/>
                <w:szCs w:val="24"/>
              </w:rPr>
            </w:pPr>
            <w:r w:rsidRPr="009C1324">
              <w:rPr>
                <w:rFonts w:ascii="Times New Roman" w:hAnsi="Times New Roman"/>
                <w:sz w:val="24"/>
                <w:szCs w:val="24"/>
              </w:rPr>
              <w:t>74, 2</w:t>
            </w:r>
          </w:p>
        </w:tc>
        <w:tc>
          <w:tcPr>
            <w:tcW w:w="1455" w:type="dxa"/>
            <w:vAlign w:val="bottom"/>
          </w:tcPr>
          <w:p w:rsidR="00991A3C" w:rsidRPr="009C1324" w:rsidRDefault="00991A3C" w:rsidP="009C1324">
            <w:pPr>
              <w:spacing w:after="0" w:line="240" w:lineRule="auto"/>
              <w:ind w:left="-120" w:right="-200"/>
              <w:jc w:val="center"/>
              <w:rPr>
                <w:rFonts w:ascii="Times New Roman" w:hAnsi="Times New Roman"/>
                <w:sz w:val="24"/>
                <w:szCs w:val="24"/>
              </w:rPr>
            </w:pPr>
            <w:r w:rsidRPr="009C1324">
              <w:rPr>
                <w:rFonts w:ascii="Times New Roman" w:hAnsi="Times New Roman"/>
                <w:sz w:val="24"/>
                <w:szCs w:val="24"/>
              </w:rPr>
              <w:t>233,9</w:t>
            </w:r>
          </w:p>
        </w:tc>
        <w:tc>
          <w:tcPr>
            <w:tcW w:w="1041"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69, 1</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1 673, 8</w:t>
            </w:r>
          </w:p>
        </w:tc>
        <w:tc>
          <w:tcPr>
            <w:tcW w:w="1455"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2 372, 3</w:t>
            </w:r>
          </w:p>
        </w:tc>
      </w:tr>
    </w:tbl>
    <w:p w:rsidR="00991A3C" w:rsidRPr="00E44760" w:rsidRDefault="00991A3C" w:rsidP="00484FD0">
      <w:pPr>
        <w:shd w:val="clear" w:color="auto" w:fill="FFFFFF"/>
        <w:spacing w:after="0" w:line="360" w:lineRule="auto"/>
        <w:ind w:firstLine="709"/>
        <w:jc w:val="both"/>
        <w:rPr>
          <w:rFonts w:ascii="Times New Roman" w:hAnsi="Times New Roman"/>
          <w:sz w:val="28"/>
          <w:szCs w:val="28"/>
        </w:rPr>
        <w:sectPr w:rsidR="00991A3C" w:rsidRPr="00E44760" w:rsidSect="00683097">
          <w:pgSz w:w="16838" w:h="11906" w:orient="landscape"/>
          <w:pgMar w:top="1701" w:right="1134" w:bottom="567" w:left="1134" w:header="709" w:footer="709" w:gutter="0"/>
          <w:cols w:space="708"/>
          <w:docGrid w:linePitch="360"/>
        </w:sectPr>
      </w:pPr>
    </w:p>
    <w:p w:rsidR="00991A3C" w:rsidRPr="00DE7A8B" w:rsidRDefault="00DE7A8B" w:rsidP="00DE7A8B">
      <w:pPr>
        <w:shd w:val="clear" w:color="auto" w:fill="FFFFFF"/>
        <w:spacing w:after="0" w:line="360" w:lineRule="auto"/>
        <w:jc w:val="both"/>
        <w:rPr>
          <w:rFonts w:ascii="Times New Roman" w:hAnsi="Times New Roman"/>
          <w:sz w:val="28"/>
          <w:szCs w:val="28"/>
        </w:rPr>
      </w:pPr>
      <w:r>
        <w:rPr>
          <w:rFonts w:ascii="Times New Roman" w:hAnsi="Times New Roman"/>
          <w:sz w:val="28"/>
          <w:szCs w:val="28"/>
        </w:rPr>
        <w:lastRenderedPageBreak/>
        <w:t xml:space="preserve">К </w:t>
      </w:r>
      <w:r w:rsidR="00991A3C" w:rsidRPr="00E44760">
        <w:rPr>
          <w:rFonts w:ascii="Times New Roman" w:hAnsi="Times New Roman"/>
          <w:sz w:val="28"/>
          <w:szCs w:val="28"/>
        </w:rPr>
        <w:t>факторам успеха следует отнести и авторитет бренда Сбербанка, кот</w:t>
      </w:r>
      <w:r w:rsidR="00991A3C" w:rsidRPr="00E44760">
        <w:rPr>
          <w:rFonts w:ascii="Times New Roman" w:hAnsi="Times New Roman"/>
          <w:sz w:val="28"/>
          <w:szCs w:val="28"/>
        </w:rPr>
        <w:t>о</w:t>
      </w:r>
      <w:r w:rsidR="00991A3C" w:rsidRPr="00DE7A8B">
        <w:rPr>
          <w:rFonts w:ascii="Times New Roman" w:hAnsi="Times New Roman"/>
          <w:sz w:val="28"/>
          <w:szCs w:val="28"/>
        </w:rPr>
        <w:t xml:space="preserve">рый ассоциирует у массового инвестора с надежностью, стабильностью и вызывает доверие к институту. </w:t>
      </w:r>
      <w:r w:rsidR="00991A3C" w:rsidRPr="00DE7A8B">
        <w:rPr>
          <w:rFonts w:ascii="Times New Roman" w:hAnsi="Times New Roman"/>
          <w:sz w:val="28"/>
          <w:szCs w:val="28"/>
          <w:shd w:val="clear" w:color="auto" w:fill="FFFFFF"/>
        </w:rPr>
        <w:t>Доля рынка обязательного пенсионного страхования НПФ Сбербанка удвоилась и составила на 01.01.2015г. 13,7%.</w:t>
      </w:r>
      <w:r w:rsidR="00991A3C" w:rsidRPr="00DE7A8B">
        <w:rPr>
          <w:rFonts w:ascii="Times New Roman" w:hAnsi="Times New Roman"/>
          <w:sz w:val="28"/>
          <w:szCs w:val="28"/>
        </w:rPr>
        <w:br/>
        <w:t xml:space="preserve">            Размещение средств пенсионных резервов и инвестирование пенс</w:t>
      </w:r>
      <w:r w:rsidR="00991A3C" w:rsidRPr="00DE7A8B">
        <w:rPr>
          <w:rFonts w:ascii="Times New Roman" w:hAnsi="Times New Roman"/>
          <w:sz w:val="28"/>
          <w:szCs w:val="28"/>
        </w:rPr>
        <w:t>и</w:t>
      </w:r>
      <w:r w:rsidR="00991A3C" w:rsidRPr="00DE7A8B">
        <w:rPr>
          <w:rFonts w:ascii="Times New Roman" w:hAnsi="Times New Roman"/>
          <w:sz w:val="28"/>
          <w:szCs w:val="28"/>
        </w:rPr>
        <w:t>онных накоплений на возмездной основе осуществляют управляющая компания (УК) фонда или НПФ самостоятельно, если объектом инвест</w:t>
      </w:r>
      <w:r w:rsidR="00991A3C" w:rsidRPr="00DE7A8B">
        <w:rPr>
          <w:rFonts w:ascii="Times New Roman" w:hAnsi="Times New Roman"/>
          <w:sz w:val="28"/>
          <w:szCs w:val="28"/>
        </w:rPr>
        <w:t>и</w:t>
      </w:r>
      <w:r w:rsidR="00991A3C" w:rsidRPr="00DE7A8B">
        <w:rPr>
          <w:rFonts w:ascii="Times New Roman" w:hAnsi="Times New Roman"/>
          <w:sz w:val="28"/>
          <w:szCs w:val="28"/>
        </w:rPr>
        <w:t>рования являются низкорискованные активы – государственные и муниц</w:t>
      </w:r>
      <w:r w:rsidR="00991A3C" w:rsidRPr="00DE7A8B">
        <w:rPr>
          <w:rFonts w:ascii="Times New Roman" w:hAnsi="Times New Roman"/>
          <w:sz w:val="28"/>
          <w:szCs w:val="28"/>
        </w:rPr>
        <w:t>и</w:t>
      </w:r>
      <w:r w:rsidR="00991A3C" w:rsidRPr="00DE7A8B">
        <w:rPr>
          <w:rFonts w:ascii="Times New Roman" w:hAnsi="Times New Roman"/>
          <w:sz w:val="28"/>
          <w:szCs w:val="28"/>
        </w:rPr>
        <w:t>пальные бумаги, банковский депозит и недвижимость. В целях защиты и</w:t>
      </w:r>
      <w:r w:rsidR="00991A3C" w:rsidRPr="00DE7A8B">
        <w:rPr>
          <w:rFonts w:ascii="Times New Roman" w:hAnsi="Times New Roman"/>
          <w:sz w:val="28"/>
          <w:szCs w:val="28"/>
        </w:rPr>
        <w:t>н</w:t>
      </w:r>
      <w:r w:rsidR="00991A3C" w:rsidRPr="00DE7A8B">
        <w:rPr>
          <w:rFonts w:ascii="Times New Roman" w:hAnsi="Times New Roman"/>
          <w:sz w:val="28"/>
          <w:szCs w:val="28"/>
        </w:rPr>
        <w:t>тересов вкладчиков регулятор  ограничивает величину вознаграждения фонда, УК и специализированного депозитария 15% от полученного инв</w:t>
      </w:r>
      <w:r w:rsidR="00991A3C" w:rsidRPr="00DE7A8B">
        <w:rPr>
          <w:rFonts w:ascii="Times New Roman" w:hAnsi="Times New Roman"/>
          <w:sz w:val="28"/>
          <w:szCs w:val="28"/>
        </w:rPr>
        <w:t>е</w:t>
      </w:r>
      <w:r w:rsidR="00991A3C" w:rsidRPr="00DE7A8B">
        <w:rPr>
          <w:rFonts w:ascii="Times New Roman" w:hAnsi="Times New Roman"/>
          <w:sz w:val="28"/>
          <w:szCs w:val="28"/>
        </w:rPr>
        <w:t>стиц</w:t>
      </w:r>
      <w:r w:rsidR="00991A3C" w:rsidRPr="00DE7A8B">
        <w:rPr>
          <w:rFonts w:ascii="Times New Roman" w:hAnsi="Times New Roman"/>
          <w:sz w:val="28"/>
          <w:szCs w:val="28"/>
        </w:rPr>
        <w:t>и</w:t>
      </w:r>
      <w:r w:rsidR="00991A3C" w:rsidRPr="00DE7A8B">
        <w:rPr>
          <w:rFonts w:ascii="Times New Roman" w:hAnsi="Times New Roman"/>
          <w:sz w:val="28"/>
          <w:szCs w:val="28"/>
        </w:rPr>
        <w:t>онного дохода (ст. 27 ФЗ).</w:t>
      </w:r>
    </w:p>
    <w:p w:rsidR="00991A3C" w:rsidRPr="00E44760" w:rsidRDefault="00991A3C" w:rsidP="00084533">
      <w:pPr>
        <w:pStyle w:val="s15"/>
        <w:shd w:val="clear" w:color="auto" w:fill="FFFFFF"/>
        <w:spacing w:before="0" w:beforeAutospacing="0" w:after="0" w:afterAutospacing="0" w:line="360" w:lineRule="auto"/>
        <w:ind w:firstLine="709"/>
        <w:jc w:val="both"/>
        <w:rPr>
          <w:sz w:val="28"/>
          <w:szCs w:val="28"/>
        </w:rPr>
      </w:pPr>
      <w:r w:rsidRPr="00DE7A8B">
        <w:rPr>
          <w:sz w:val="28"/>
          <w:szCs w:val="28"/>
        </w:rPr>
        <w:t>Структура инвестиционных портфелей НПФ, УК и ВЭБ представл</w:t>
      </w:r>
      <w:r w:rsidRPr="00DE7A8B">
        <w:rPr>
          <w:sz w:val="28"/>
          <w:szCs w:val="28"/>
        </w:rPr>
        <w:t>е</w:t>
      </w:r>
      <w:r w:rsidRPr="00DE7A8B">
        <w:rPr>
          <w:sz w:val="28"/>
          <w:szCs w:val="28"/>
        </w:rPr>
        <w:t>на данными таблицы 2, из которой видны отличия инвестиционных страт</w:t>
      </w:r>
      <w:r w:rsidRPr="00DE7A8B">
        <w:rPr>
          <w:sz w:val="28"/>
          <w:szCs w:val="28"/>
        </w:rPr>
        <w:t>е</w:t>
      </w:r>
      <w:r w:rsidRPr="00E44760">
        <w:rPr>
          <w:sz w:val="28"/>
          <w:szCs w:val="28"/>
        </w:rPr>
        <w:t>гий субъектов рынка. Основной объем инвестиций ВЭБ направил в гос</w:t>
      </w:r>
      <w:r w:rsidRPr="00E44760">
        <w:rPr>
          <w:sz w:val="28"/>
          <w:szCs w:val="28"/>
        </w:rPr>
        <w:t>у</w:t>
      </w:r>
      <w:r w:rsidRPr="00E44760">
        <w:rPr>
          <w:sz w:val="28"/>
          <w:szCs w:val="28"/>
        </w:rPr>
        <w:t>дарствен</w:t>
      </w:r>
      <w:r w:rsidR="00DE7A8B" w:rsidRPr="00E44760">
        <w:rPr>
          <w:sz w:val="28"/>
          <w:szCs w:val="28"/>
        </w:rPr>
        <w:t>ные бумаги федерального уровня и корпоративные облигации.</w:t>
      </w:r>
    </w:p>
    <w:p w:rsidR="00991A3C" w:rsidRPr="00E44760" w:rsidRDefault="00991A3C" w:rsidP="00484FD0">
      <w:pPr>
        <w:shd w:val="clear" w:color="auto" w:fill="FFFFFF"/>
        <w:spacing w:after="0" w:line="240" w:lineRule="auto"/>
        <w:jc w:val="both"/>
        <w:rPr>
          <w:rFonts w:ascii="Times New Roman" w:hAnsi="Times New Roman"/>
          <w:sz w:val="28"/>
          <w:szCs w:val="28"/>
        </w:rPr>
      </w:pPr>
    </w:p>
    <w:p w:rsidR="00991A3C" w:rsidRPr="00E44760" w:rsidRDefault="00991A3C" w:rsidP="00DE7A8B">
      <w:pPr>
        <w:shd w:val="clear" w:color="auto" w:fill="FFFFFF"/>
        <w:spacing w:after="0" w:line="240" w:lineRule="auto"/>
        <w:jc w:val="both"/>
        <w:rPr>
          <w:rFonts w:ascii="Times New Roman" w:hAnsi="Times New Roman"/>
          <w:sz w:val="28"/>
          <w:szCs w:val="28"/>
        </w:rPr>
      </w:pPr>
      <w:r w:rsidRPr="00E44760">
        <w:rPr>
          <w:rFonts w:ascii="Times New Roman" w:hAnsi="Times New Roman"/>
          <w:sz w:val="28"/>
          <w:szCs w:val="28"/>
        </w:rPr>
        <w:t>Таблица 2 – Структура инвестиционных портфелей институциональных инвесторов на рынке пенсионных услуг, 2014г., % [</w:t>
      </w:r>
      <w:r w:rsidRPr="00E44760">
        <w:rPr>
          <w:rFonts w:ascii="Times New Roman" w:hAnsi="Times New Roman"/>
          <w:sz w:val="24"/>
          <w:szCs w:val="24"/>
        </w:rPr>
        <w:t>13</w:t>
      </w:r>
      <w:r w:rsidRPr="00E44760">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7"/>
        <w:gridCol w:w="2303"/>
        <w:gridCol w:w="2303"/>
        <w:gridCol w:w="2303"/>
      </w:tblGrid>
      <w:tr w:rsidR="00991A3C" w:rsidRPr="009C1324" w:rsidTr="009C1324">
        <w:tc>
          <w:tcPr>
            <w:tcW w:w="2392" w:type="dxa"/>
          </w:tcPr>
          <w:p w:rsidR="00991A3C" w:rsidRPr="009C1324" w:rsidRDefault="00991A3C" w:rsidP="009C1324">
            <w:pPr>
              <w:spacing w:after="0" w:line="240" w:lineRule="auto"/>
              <w:jc w:val="both"/>
              <w:rPr>
                <w:rFonts w:ascii="Times New Roman" w:hAnsi="Times New Roman"/>
                <w:sz w:val="24"/>
                <w:szCs w:val="24"/>
              </w:rPr>
            </w:pPr>
            <w:r w:rsidRPr="009C1324">
              <w:rPr>
                <w:rFonts w:ascii="Times New Roman" w:hAnsi="Times New Roman"/>
                <w:sz w:val="24"/>
                <w:szCs w:val="24"/>
              </w:rPr>
              <w:t>Направление ра</w:t>
            </w:r>
            <w:r w:rsidRPr="009C1324">
              <w:rPr>
                <w:rFonts w:ascii="Times New Roman" w:hAnsi="Times New Roman"/>
                <w:sz w:val="24"/>
                <w:szCs w:val="24"/>
              </w:rPr>
              <w:t>з</w:t>
            </w:r>
            <w:r w:rsidRPr="009C1324">
              <w:rPr>
                <w:rFonts w:ascii="Times New Roman" w:hAnsi="Times New Roman"/>
                <w:sz w:val="24"/>
                <w:szCs w:val="24"/>
              </w:rPr>
              <w:t>мещения</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ГУК ВЭБ</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НПФ</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УК НПФ</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Федеральные облиг</w:t>
            </w:r>
            <w:r w:rsidRPr="009C1324">
              <w:rPr>
                <w:rFonts w:ascii="Times New Roman" w:hAnsi="Times New Roman"/>
                <w:sz w:val="24"/>
                <w:szCs w:val="24"/>
              </w:rPr>
              <w:t>а</w:t>
            </w:r>
            <w:r w:rsidRPr="009C1324">
              <w:rPr>
                <w:rFonts w:ascii="Times New Roman" w:hAnsi="Times New Roman"/>
                <w:sz w:val="24"/>
                <w:szCs w:val="24"/>
              </w:rPr>
              <w:t>ции</w:t>
            </w:r>
          </w:p>
        </w:tc>
        <w:tc>
          <w:tcPr>
            <w:tcW w:w="2393" w:type="dxa"/>
          </w:tcPr>
          <w:p w:rsidR="00991A3C" w:rsidRPr="009C1324" w:rsidRDefault="00991A3C" w:rsidP="009C1324">
            <w:pPr>
              <w:spacing w:after="0" w:line="240" w:lineRule="auto"/>
              <w:jc w:val="center"/>
              <w:rPr>
                <w:rFonts w:ascii="Times New Roman" w:hAnsi="Times New Roman"/>
                <w:sz w:val="24"/>
                <w:szCs w:val="24"/>
              </w:rPr>
            </w:pPr>
          </w:p>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45,4</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1,8</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6,5</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Субфедеральные облигации</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0,4</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5,2</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14,7</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Негосударственные облигации</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31,8</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37,2</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62,5</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Ипотечные ценные бумаги</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4,2</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7,4</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0,00</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Акции</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0,0</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6,7</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2,9</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Депозиты</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14,8</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31,8</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10,0</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Средства на счетах</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0,4</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2,4</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0,6</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Прочие активы</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3,0</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7,4</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2,8</w:t>
            </w:r>
          </w:p>
        </w:tc>
      </w:tr>
      <w:tr w:rsidR="00991A3C" w:rsidRPr="009C1324" w:rsidTr="009C1324">
        <w:tc>
          <w:tcPr>
            <w:tcW w:w="2392" w:type="dxa"/>
          </w:tcPr>
          <w:p w:rsidR="00991A3C" w:rsidRPr="009C1324" w:rsidRDefault="00991A3C" w:rsidP="009C1324">
            <w:pPr>
              <w:spacing w:after="0" w:line="240" w:lineRule="auto"/>
              <w:ind w:left="-142"/>
              <w:jc w:val="both"/>
              <w:rPr>
                <w:rFonts w:ascii="Times New Roman" w:hAnsi="Times New Roman"/>
                <w:sz w:val="24"/>
                <w:szCs w:val="24"/>
              </w:rPr>
            </w:pPr>
            <w:r w:rsidRPr="009C1324">
              <w:rPr>
                <w:rFonts w:ascii="Times New Roman" w:hAnsi="Times New Roman"/>
                <w:sz w:val="24"/>
                <w:szCs w:val="24"/>
              </w:rPr>
              <w:t>Итого</w:t>
            </w:r>
          </w:p>
        </w:tc>
        <w:tc>
          <w:tcPr>
            <w:tcW w:w="2393" w:type="dxa"/>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100,0</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100,0</w:t>
            </w:r>
          </w:p>
        </w:tc>
        <w:tc>
          <w:tcPr>
            <w:tcW w:w="239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100,0</w:t>
            </w:r>
          </w:p>
        </w:tc>
      </w:tr>
    </w:tbl>
    <w:p w:rsidR="00991A3C" w:rsidRPr="00E44760" w:rsidRDefault="00991A3C" w:rsidP="00384308">
      <w:pPr>
        <w:shd w:val="clear" w:color="auto" w:fill="FFFFFF"/>
        <w:spacing w:after="0" w:line="360" w:lineRule="auto"/>
        <w:jc w:val="both"/>
        <w:rPr>
          <w:rFonts w:ascii="Times New Roman" w:hAnsi="Times New Roman"/>
          <w:sz w:val="28"/>
          <w:szCs w:val="28"/>
        </w:rPr>
      </w:pPr>
    </w:p>
    <w:p w:rsidR="00991A3C" w:rsidRPr="00E44760" w:rsidRDefault="00991A3C" w:rsidP="00DE7A8B">
      <w:pPr>
        <w:pStyle w:val="s15"/>
        <w:shd w:val="clear" w:color="auto" w:fill="FFFFFF"/>
        <w:spacing w:before="0" w:beforeAutospacing="0" w:after="0" w:afterAutospacing="0" w:line="336" w:lineRule="auto"/>
        <w:jc w:val="both"/>
        <w:rPr>
          <w:sz w:val="28"/>
          <w:szCs w:val="28"/>
        </w:rPr>
      </w:pPr>
      <w:r w:rsidRPr="00E44760">
        <w:rPr>
          <w:sz w:val="28"/>
          <w:szCs w:val="28"/>
        </w:rPr>
        <w:lastRenderedPageBreak/>
        <w:t>Около 15 % инвестиционного портфеля было размещено на банковские депозиты по критерию риск-доходность. В целом можно оценить инвест</w:t>
      </w:r>
      <w:r w:rsidRPr="00E44760">
        <w:rPr>
          <w:sz w:val="28"/>
          <w:szCs w:val="28"/>
        </w:rPr>
        <w:t>и</w:t>
      </w:r>
      <w:r w:rsidRPr="00E44760">
        <w:rPr>
          <w:sz w:val="28"/>
          <w:szCs w:val="28"/>
        </w:rPr>
        <w:t>ционную политику ГУК ВЭБ, как консервативную. В инвестиционных стратегиях НПФ упор делается на облигации корпоративного сектора и размещение на банковские депозиты. Управляющие компании, многие из которых имеют региональную принадлежность, концентрировались на н</w:t>
      </w:r>
      <w:r w:rsidRPr="00E44760">
        <w:rPr>
          <w:sz w:val="28"/>
          <w:szCs w:val="28"/>
        </w:rPr>
        <w:t>е</w:t>
      </w:r>
      <w:r w:rsidRPr="00E44760">
        <w:rPr>
          <w:sz w:val="28"/>
          <w:szCs w:val="28"/>
        </w:rPr>
        <w:t>государственных облигациях и субфедеральных бумагах. В первом пол</w:t>
      </w:r>
      <w:r w:rsidRPr="00E44760">
        <w:rPr>
          <w:sz w:val="28"/>
          <w:szCs w:val="28"/>
        </w:rPr>
        <w:t>у</w:t>
      </w:r>
      <w:r w:rsidRPr="00E44760">
        <w:rPr>
          <w:sz w:val="28"/>
          <w:szCs w:val="28"/>
        </w:rPr>
        <w:t>годии 2015г. по данным Банка России в структуре портфеля пенсионных резе</w:t>
      </w:r>
      <w:r w:rsidRPr="00E44760">
        <w:rPr>
          <w:sz w:val="28"/>
          <w:szCs w:val="28"/>
        </w:rPr>
        <w:t>р</w:t>
      </w:r>
      <w:r w:rsidRPr="00E44760">
        <w:rPr>
          <w:sz w:val="28"/>
          <w:szCs w:val="28"/>
        </w:rPr>
        <w:t>вов существенных изменений не произошло: основная часть средств вложена в  акции и  корпоративные облигации, показавшие совокупный прирост 13,3 млрд. руб. и достигшие объема в 230,0 и  213,5  млрд. руб. с</w:t>
      </w:r>
      <w:r w:rsidRPr="00E44760">
        <w:rPr>
          <w:sz w:val="28"/>
          <w:szCs w:val="28"/>
        </w:rPr>
        <w:t>о</w:t>
      </w:r>
      <w:r w:rsidRPr="00E44760">
        <w:rPr>
          <w:sz w:val="28"/>
          <w:szCs w:val="28"/>
        </w:rPr>
        <w:t>ответственно. Среди прочих вложений наибольший прирост показали и</w:t>
      </w:r>
      <w:r w:rsidRPr="00E44760">
        <w:rPr>
          <w:sz w:val="28"/>
          <w:szCs w:val="28"/>
        </w:rPr>
        <w:t>н</w:t>
      </w:r>
      <w:r w:rsidRPr="00E44760">
        <w:rPr>
          <w:sz w:val="28"/>
          <w:szCs w:val="28"/>
        </w:rPr>
        <w:t xml:space="preserve">вестиционные паи (+18,6 млрд. руб., рост на 12,9%), объем вложений в которые составил 162,6 млрд. рублей [6]. </w:t>
      </w:r>
    </w:p>
    <w:p w:rsidR="00991A3C" w:rsidRPr="00E44760" w:rsidRDefault="00991A3C" w:rsidP="00DE7A8B">
      <w:pPr>
        <w:pStyle w:val="s15"/>
        <w:shd w:val="clear" w:color="auto" w:fill="FFFFFF"/>
        <w:spacing w:before="0" w:beforeAutospacing="0" w:after="0" w:afterAutospacing="0" w:line="336" w:lineRule="auto"/>
        <w:ind w:firstLine="709"/>
        <w:jc w:val="both"/>
        <w:rPr>
          <w:sz w:val="28"/>
          <w:szCs w:val="28"/>
        </w:rPr>
      </w:pPr>
      <w:r w:rsidRPr="00E44760">
        <w:rPr>
          <w:sz w:val="28"/>
          <w:szCs w:val="28"/>
        </w:rPr>
        <w:t>В соответствии с ФЗ от 24 июля 2002г. №111 «Об инвестировании средств для финансирования накопительной части трудовой пенсии в РФ», Постановлением Правительства РФ №379 от 30.06.2003 законодательно разрешенная доля секьюритизационных сделок  в структуре инвестицио</w:t>
      </w:r>
      <w:r w:rsidRPr="00E44760">
        <w:rPr>
          <w:sz w:val="28"/>
          <w:szCs w:val="28"/>
        </w:rPr>
        <w:t>н</w:t>
      </w:r>
      <w:r w:rsidRPr="00E44760">
        <w:rPr>
          <w:sz w:val="28"/>
          <w:szCs w:val="28"/>
        </w:rPr>
        <w:t>ных портфелей пенсионных накоплений должна составлять не более 40%. Текущая структура портфеля свидетельствует о значительном потенциале секьюритизированных сделок при инвестировании пенсионных накопл</w:t>
      </w:r>
      <w:r w:rsidRPr="00E44760">
        <w:rPr>
          <w:sz w:val="28"/>
          <w:szCs w:val="28"/>
        </w:rPr>
        <w:t>е</w:t>
      </w:r>
      <w:r w:rsidRPr="00E44760">
        <w:rPr>
          <w:sz w:val="28"/>
          <w:szCs w:val="28"/>
        </w:rPr>
        <w:t>ний. По мнению экспертов финансового рынка его величина только в 2014г. оценивалась  1065 млрд. руб.[11] Можно выделить несколько пр</w:t>
      </w:r>
      <w:r w:rsidRPr="00E44760">
        <w:rPr>
          <w:sz w:val="28"/>
          <w:szCs w:val="28"/>
        </w:rPr>
        <w:t>и</w:t>
      </w:r>
      <w:r w:rsidRPr="00E44760">
        <w:rPr>
          <w:sz w:val="28"/>
          <w:szCs w:val="28"/>
        </w:rPr>
        <w:t>чин сохранения сложившегося положения: недостаточность информации индикативного характера о рыночных размещениях ипотечных бумаг, что вынуждает участников рынка самостоятельно рассчитывать показатели доходности, дюрации, а это под силу только крупным участникам рынка. Узость информационного поля усиливает риски, которые не желательны для участников среднего и более низких эшелонов. Препятствием является и низкая ликвидность данного сегмента, так как покупатели придержив</w:t>
      </w:r>
      <w:r w:rsidRPr="00E44760">
        <w:rPr>
          <w:sz w:val="28"/>
          <w:szCs w:val="28"/>
        </w:rPr>
        <w:t>а</w:t>
      </w:r>
      <w:r w:rsidRPr="00E44760">
        <w:rPr>
          <w:sz w:val="28"/>
          <w:szCs w:val="28"/>
        </w:rPr>
        <w:t xml:space="preserve">ются консервативной стратегии удерживания активов до погашения. Не </w:t>
      </w:r>
      <w:r w:rsidRPr="00E44760">
        <w:rPr>
          <w:sz w:val="28"/>
          <w:szCs w:val="28"/>
        </w:rPr>
        <w:lastRenderedPageBreak/>
        <w:t>смотря на отмеченные проблемы, ипотечные бумаги относятся к потенц</w:t>
      </w:r>
      <w:r w:rsidRPr="00E44760">
        <w:rPr>
          <w:sz w:val="28"/>
          <w:szCs w:val="28"/>
        </w:rPr>
        <w:t>и</w:t>
      </w:r>
      <w:r w:rsidRPr="00E44760">
        <w:rPr>
          <w:sz w:val="28"/>
          <w:szCs w:val="28"/>
        </w:rPr>
        <w:t>альным видам активов по критериям риска и долгосрочность инвестиций.</w:t>
      </w:r>
    </w:p>
    <w:p w:rsidR="00991A3C" w:rsidRPr="00E44760" w:rsidRDefault="00991A3C" w:rsidP="00DE7A8B">
      <w:pPr>
        <w:pStyle w:val="s15"/>
        <w:shd w:val="clear" w:color="auto" w:fill="FFFFFF"/>
        <w:spacing w:before="0" w:beforeAutospacing="0" w:after="0" w:afterAutospacing="0" w:line="336" w:lineRule="auto"/>
        <w:ind w:firstLine="709"/>
        <w:jc w:val="both"/>
        <w:rPr>
          <w:sz w:val="28"/>
          <w:szCs w:val="28"/>
        </w:rPr>
      </w:pPr>
      <w:r w:rsidRPr="00E44760">
        <w:rPr>
          <w:sz w:val="28"/>
          <w:szCs w:val="28"/>
        </w:rPr>
        <w:t>Учитывая жесткую регламентацию регулятором структуры инвест</w:t>
      </w:r>
      <w:r w:rsidRPr="00E44760">
        <w:rPr>
          <w:sz w:val="28"/>
          <w:szCs w:val="28"/>
        </w:rPr>
        <w:t>и</w:t>
      </w:r>
      <w:r>
        <w:rPr>
          <w:sz w:val="28"/>
          <w:szCs w:val="28"/>
        </w:rPr>
        <w:t>цион</w:t>
      </w:r>
      <w:r w:rsidRPr="00E44760">
        <w:rPr>
          <w:sz w:val="28"/>
          <w:szCs w:val="28"/>
        </w:rPr>
        <w:t>ных портфелей ПИФ, реализуемые стратеги</w:t>
      </w:r>
      <w:r>
        <w:rPr>
          <w:sz w:val="28"/>
          <w:szCs w:val="28"/>
        </w:rPr>
        <w:t>и, которые в основном носят кон</w:t>
      </w:r>
      <w:r w:rsidRPr="00E44760">
        <w:rPr>
          <w:sz w:val="28"/>
          <w:szCs w:val="28"/>
        </w:rPr>
        <w:t>сервативный характер, не обеспечили большинству субъектов рынка, результаты, превышающие уровень инфляции за сопоставимые п</w:t>
      </w:r>
      <w:r w:rsidRPr="00E44760">
        <w:rPr>
          <w:sz w:val="28"/>
          <w:szCs w:val="28"/>
        </w:rPr>
        <w:t>е</w:t>
      </w:r>
      <w:r w:rsidRPr="00E44760">
        <w:rPr>
          <w:sz w:val="28"/>
          <w:szCs w:val="28"/>
        </w:rPr>
        <w:t>риоды времени.</w:t>
      </w:r>
    </w:p>
    <w:p w:rsidR="00991A3C" w:rsidRPr="00E44760" w:rsidRDefault="00991A3C" w:rsidP="00DE7A8B">
      <w:pPr>
        <w:pStyle w:val="s15"/>
        <w:shd w:val="clear" w:color="auto" w:fill="FFFFFF"/>
        <w:spacing w:before="0" w:beforeAutospacing="0" w:after="0" w:afterAutospacing="0" w:line="336" w:lineRule="auto"/>
        <w:ind w:firstLine="709"/>
        <w:jc w:val="both"/>
        <w:rPr>
          <w:sz w:val="28"/>
          <w:szCs w:val="28"/>
        </w:rPr>
      </w:pPr>
      <w:r w:rsidRPr="00E44760">
        <w:rPr>
          <w:sz w:val="28"/>
          <w:szCs w:val="28"/>
        </w:rPr>
        <w:t>Доходность инвестиционной деятельности НПФ представлена да</w:t>
      </w:r>
      <w:r w:rsidRPr="00E44760">
        <w:rPr>
          <w:sz w:val="28"/>
          <w:szCs w:val="28"/>
        </w:rPr>
        <w:t>н</w:t>
      </w:r>
      <w:r w:rsidRPr="00E44760">
        <w:rPr>
          <w:sz w:val="28"/>
          <w:szCs w:val="28"/>
        </w:rPr>
        <w:t>ными таблицы  по 10 наиболее результативным фондам в сравнении с п</w:t>
      </w:r>
      <w:r w:rsidRPr="00E44760">
        <w:rPr>
          <w:sz w:val="28"/>
          <w:szCs w:val="28"/>
        </w:rPr>
        <w:t>о</w:t>
      </w:r>
      <w:r w:rsidRPr="00E44760">
        <w:rPr>
          <w:sz w:val="28"/>
          <w:szCs w:val="28"/>
        </w:rPr>
        <w:t>казателями  ГУК ВЭБ и уровнем инфляции.</w:t>
      </w:r>
    </w:p>
    <w:p w:rsidR="00991A3C" w:rsidRPr="00E44760" w:rsidRDefault="00991A3C" w:rsidP="00B21F1F">
      <w:pPr>
        <w:pStyle w:val="s15"/>
        <w:shd w:val="clear" w:color="auto" w:fill="FFFFFF"/>
        <w:spacing w:before="0" w:beforeAutospacing="0" w:after="0" w:afterAutospacing="0"/>
        <w:jc w:val="both"/>
        <w:rPr>
          <w:sz w:val="28"/>
          <w:szCs w:val="28"/>
        </w:rPr>
      </w:pPr>
    </w:p>
    <w:p w:rsidR="00991A3C" w:rsidRPr="00E44760" w:rsidRDefault="00991A3C" w:rsidP="00DE7A8B">
      <w:pPr>
        <w:pStyle w:val="s15"/>
        <w:shd w:val="clear" w:color="auto" w:fill="FFFFFF"/>
        <w:spacing w:before="0" w:beforeAutospacing="0" w:after="0" w:afterAutospacing="0"/>
        <w:jc w:val="both"/>
        <w:rPr>
          <w:sz w:val="28"/>
          <w:szCs w:val="28"/>
        </w:rPr>
      </w:pPr>
      <w:r w:rsidRPr="00E44760">
        <w:rPr>
          <w:sz w:val="28"/>
          <w:szCs w:val="28"/>
        </w:rPr>
        <w:t>Таблица 2 - Сравнительная доходность инвестиционных накоплений  НПФ РФ, ГУК ВЭБ и уровня инфляции, %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8"/>
        <w:gridCol w:w="2373"/>
        <w:gridCol w:w="2397"/>
        <w:gridCol w:w="2398"/>
      </w:tblGrid>
      <w:tr w:rsidR="00991A3C" w:rsidRPr="009C1324" w:rsidTr="009C1324">
        <w:tc>
          <w:tcPr>
            <w:tcW w:w="2120" w:type="dxa"/>
          </w:tcPr>
          <w:p w:rsidR="00991A3C" w:rsidRPr="00E44760" w:rsidRDefault="00991A3C" w:rsidP="009C1324">
            <w:pPr>
              <w:pStyle w:val="s15"/>
              <w:spacing w:before="0" w:beforeAutospacing="0" w:after="0" w:afterAutospacing="0"/>
              <w:jc w:val="both"/>
            </w:pPr>
            <w:r w:rsidRPr="00E44760">
              <w:t>Наименование фонда</w:t>
            </w:r>
          </w:p>
        </w:tc>
        <w:tc>
          <w:tcPr>
            <w:tcW w:w="2383" w:type="dxa"/>
          </w:tcPr>
          <w:p w:rsidR="00991A3C" w:rsidRPr="00E44760" w:rsidRDefault="00991A3C" w:rsidP="009C1324">
            <w:pPr>
              <w:pStyle w:val="s15"/>
              <w:spacing w:before="0" w:beforeAutospacing="0" w:after="0" w:afterAutospacing="0"/>
              <w:jc w:val="both"/>
            </w:pPr>
            <w:r w:rsidRPr="00E44760">
              <w:t>Накопленная дохо</w:t>
            </w:r>
            <w:r w:rsidRPr="00E44760">
              <w:t>д</w:t>
            </w:r>
            <w:r w:rsidRPr="00E44760">
              <w:t>ность, 2009-2014гг.</w:t>
            </w:r>
          </w:p>
        </w:tc>
        <w:tc>
          <w:tcPr>
            <w:tcW w:w="2409" w:type="dxa"/>
          </w:tcPr>
          <w:p w:rsidR="00991A3C" w:rsidRPr="00E44760" w:rsidRDefault="00991A3C" w:rsidP="009C1324">
            <w:pPr>
              <w:pStyle w:val="s15"/>
              <w:spacing w:before="0" w:beforeAutospacing="0" w:after="0" w:afterAutospacing="0"/>
              <w:jc w:val="both"/>
            </w:pPr>
            <w:r w:rsidRPr="00E44760">
              <w:t>Текущая дохо</w:t>
            </w:r>
            <w:r w:rsidRPr="00E44760">
              <w:t>д</w:t>
            </w:r>
            <w:r w:rsidRPr="00E44760">
              <w:t>ность, на 01.01.2015г.</w:t>
            </w:r>
          </w:p>
        </w:tc>
        <w:tc>
          <w:tcPr>
            <w:tcW w:w="2410" w:type="dxa"/>
          </w:tcPr>
          <w:p w:rsidR="00991A3C" w:rsidRPr="00E44760" w:rsidRDefault="00991A3C" w:rsidP="009C1324">
            <w:pPr>
              <w:pStyle w:val="s15"/>
              <w:spacing w:before="0" w:beforeAutospacing="0" w:after="0" w:afterAutospacing="0"/>
              <w:jc w:val="both"/>
            </w:pPr>
            <w:r w:rsidRPr="00E44760">
              <w:t>Текущая дохо</w:t>
            </w:r>
            <w:r w:rsidRPr="00E44760">
              <w:t>д</w:t>
            </w:r>
            <w:r w:rsidRPr="00E44760">
              <w:t>ность, на 01.07.2015г.</w:t>
            </w:r>
          </w:p>
        </w:tc>
      </w:tr>
      <w:tr w:rsidR="00991A3C" w:rsidRPr="009C1324" w:rsidTr="009C1324">
        <w:tc>
          <w:tcPr>
            <w:tcW w:w="2120" w:type="dxa"/>
          </w:tcPr>
          <w:p w:rsidR="00991A3C" w:rsidRPr="009C1324" w:rsidRDefault="00991A3C" w:rsidP="009C1324">
            <w:pPr>
              <w:pStyle w:val="s15"/>
              <w:spacing w:before="0" w:beforeAutospacing="0" w:after="0" w:afterAutospacing="0"/>
              <w:jc w:val="both"/>
              <w:rPr>
                <w:shd w:val="clear" w:color="auto" w:fill="FFFF66"/>
              </w:rPr>
            </w:pPr>
            <w:r w:rsidRPr="009C1324">
              <w:rPr>
                <w:shd w:val="clear" w:color="auto" w:fill="FFFFFF"/>
              </w:rPr>
              <w:t>АО НПФ Башко</w:t>
            </w:r>
            <w:r w:rsidRPr="009C1324">
              <w:rPr>
                <w:shd w:val="clear" w:color="auto" w:fill="FFFFFF"/>
              </w:rPr>
              <w:t>р</w:t>
            </w:r>
            <w:r w:rsidRPr="009C1324">
              <w:rPr>
                <w:shd w:val="clear" w:color="auto" w:fill="FFFFFF"/>
              </w:rPr>
              <w:t>тостан</w:t>
            </w:r>
          </w:p>
        </w:tc>
        <w:tc>
          <w:tcPr>
            <w:tcW w:w="2383" w:type="dxa"/>
            <w:vAlign w:val="bottom"/>
          </w:tcPr>
          <w:p w:rsidR="00991A3C" w:rsidRPr="00E44760" w:rsidRDefault="00991A3C" w:rsidP="009C1324">
            <w:pPr>
              <w:pStyle w:val="s15"/>
              <w:spacing w:before="0" w:beforeAutospacing="0" w:after="0" w:afterAutospacing="0"/>
              <w:jc w:val="center"/>
            </w:pPr>
            <w:r w:rsidRPr="00E44760">
              <w:t>130,0</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42,24</w:t>
            </w:r>
          </w:p>
        </w:tc>
        <w:tc>
          <w:tcPr>
            <w:tcW w:w="2410" w:type="dxa"/>
            <w:vAlign w:val="bottom"/>
          </w:tcPr>
          <w:p w:rsidR="00991A3C" w:rsidRPr="00E44760" w:rsidRDefault="00991A3C" w:rsidP="009C1324">
            <w:pPr>
              <w:pStyle w:val="s15"/>
              <w:spacing w:before="0" w:beforeAutospacing="0" w:after="0" w:afterAutospacing="0"/>
              <w:jc w:val="center"/>
            </w:pPr>
            <w:r w:rsidRPr="00E44760">
              <w:t>-4,33</w:t>
            </w:r>
          </w:p>
        </w:tc>
      </w:tr>
      <w:tr w:rsidR="00991A3C" w:rsidRPr="009C1324" w:rsidTr="009C1324">
        <w:tc>
          <w:tcPr>
            <w:tcW w:w="2120" w:type="dxa"/>
          </w:tcPr>
          <w:p w:rsidR="00991A3C" w:rsidRPr="009C1324" w:rsidRDefault="00991A3C" w:rsidP="009C1324">
            <w:pPr>
              <w:pStyle w:val="s15"/>
              <w:spacing w:before="0" w:beforeAutospacing="0" w:after="0" w:afterAutospacing="0"/>
              <w:jc w:val="both"/>
              <w:rPr>
                <w:shd w:val="clear" w:color="auto" w:fill="FFFFFF"/>
              </w:rPr>
            </w:pPr>
            <w:r w:rsidRPr="009C1324">
              <w:rPr>
                <w:shd w:val="clear" w:color="auto" w:fill="FFFFFF"/>
              </w:rPr>
              <w:t>АО НПФ  Санкт-Петербург </w:t>
            </w:r>
          </w:p>
        </w:tc>
        <w:tc>
          <w:tcPr>
            <w:tcW w:w="2383" w:type="dxa"/>
            <w:vAlign w:val="bottom"/>
          </w:tcPr>
          <w:p w:rsidR="00991A3C" w:rsidRPr="00E44760" w:rsidRDefault="00991A3C" w:rsidP="009C1324">
            <w:pPr>
              <w:pStyle w:val="s15"/>
              <w:spacing w:before="0" w:beforeAutospacing="0" w:after="0" w:afterAutospacing="0"/>
              <w:jc w:val="center"/>
            </w:pPr>
            <w:r w:rsidRPr="00E44760">
              <w:t>113,59</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2,04</w:t>
            </w:r>
          </w:p>
        </w:tc>
        <w:tc>
          <w:tcPr>
            <w:tcW w:w="2410" w:type="dxa"/>
            <w:vAlign w:val="bottom"/>
          </w:tcPr>
          <w:p w:rsidR="00991A3C" w:rsidRPr="00E44760" w:rsidRDefault="00991A3C" w:rsidP="009C1324">
            <w:pPr>
              <w:pStyle w:val="s15"/>
              <w:spacing w:before="0" w:beforeAutospacing="0" w:after="0" w:afterAutospacing="0"/>
              <w:jc w:val="center"/>
            </w:pPr>
            <w:r w:rsidRPr="00E44760">
              <w:t>15,97</w:t>
            </w:r>
          </w:p>
        </w:tc>
      </w:tr>
      <w:tr w:rsidR="00991A3C" w:rsidRPr="009C1324" w:rsidTr="009C1324">
        <w:tc>
          <w:tcPr>
            <w:tcW w:w="2120" w:type="dxa"/>
          </w:tcPr>
          <w:p w:rsidR="00991A3C" w:rsidRPr="009C1324" w:rsidRDefault="00991A3C" w:rsidP="009C1324">
            <w:pPr>
              <w:pStyle w:val="s15"/>
              <w:spacing w:before="0" w:beforeAutospacing="0" w:after="0" w:afterAutospacing="0"/>
              <w:jc w:val="both"/>
              <w:rPr>
                <w:shd w:val="clear" w:color="auto" w:fill="FFFFFF"/>
              </w:rPr>
            </w:pPr>
            <w:r w:rsidRPr="009C1324">
              <w:rPr>
                <w:shd w:val="clear" w:color="auto" w:fill="FFFFFF"/>
              </w:rPr>
              <w:t>АО НПФ  ТПП фонд</w:t>
            </w:r>
          </w:p>
        </w:tc>
        <w:tc>
          <w:tcPr>
            <w:tcW w:w="2383" w:type="dxa"/>
            <w:vAlign w:val="bottom"/>
          </w:tcPr>
          <w:p w:rsidR="00991A3C" w:rsidRPr="00E44760" w:rsidRDefault="00991A3C" w:rsidP="009C1324">
            <w:pPr>
              <w:pStyle w:val="s15"/>
              <w:spacing w:before="0" w:beforeAutospacing="0" w:after="0" w:afterAutospacing="0"/>
              <w:jc w:val="center"/>
            </w:pPr>
            <w:r w:rsidRPr="00E44760">
              <w:t>103,17</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0,67</w:t>
            </w:r>
          </w:p>
        </w:tc>
        <w:tc>
          <w:tcPr>
            <w:tcW w:w="2410" w:type="dxa"/>
            <w:vAlign w:val="bottom"/>
          </w:tcPr>
          <w:p w:rsidR="00991A3C" w:rsidRPr="00E44760" w:rsidRDefault="00991A3C" w:rsidP="009C1324">
            <w:pPr>
              <w:pStyle w:val="s15"/>
              <w:spacing w:before="0" w:beforeAutospacing="0" w:after="0" w:afterAutospacing="0"/>
              <w:jc w:val="center"/>
            </w:pPr>
            <w:r w:rsidRPr="00E44760">
              <w:t>8,92</w:t>
            </w:r>
          </w:p>
        </w:tc>
      </w:tr>
      <w:tr w:rsidR="00991A3C" w:rsidRPr="009C1324" w:rsidTr="009C1324">
        <w:trPr>
          <w:trHeight w:val="229"/>
        </w:trPr>
        <w:tc>
          <w:tcPr>
            <w:tcW w:w="2120" w:type="dxa"/>
          </w:tcPr>
          <w:p w:rsidR="00991A3C" w:rsidRPr="009C1324" w:rsidRDefault="00991A3C" w:rsidP="009C1324">
            <w:pPr>
              <w:pStyle w:val="s15"/>
              <w:spacing w:before="0" w:beforeAutospacing="0" w:after="0" w:afterAutospacing="0"/>
              <w:jc w:val="both"/>
              <w:rPr>
                <w:shd w:val="clear" w:color="auto" w:fill="FFFF66"/>
              </w:rPr>
            </w:pPr>
            <w:r w:rsidRPr="009C1324">
              <w:rPr>
                <w:shd w:val="clear" w:color="auto" w:fill="FFFFFF"/>
              </w:rPr>
              <w:t>АО НПФ ОПК</w:t>
            </w:r>
          </w:p>
        </w:tc>
        <w:tc>
          <w:tcPr>
            <w:tcW w:w="2383" w:type="dxa"/>
          </w:tcPr>
          <w:p w:rsidR="00991A3C" w:rsidRPr="00E44760" w:rsidRDefault="00991A3C" w:rsidP="009C1324">
            <w:pPr>
              <w:pStyle w:val="s15"/>
              <w:spacing w:before="0" w:beforeAutospacing="0" w:after="0" w:afterAutospacing="0"/>
              <w:jc w:val="center"/>
            </w:pPr>
            <w:r w:rsidRPr="00E44760">
              <w:t>102,91</w:t>
            </w:r>
          </w:p>
        </w:tc>
        <w:tc>
          <w:tcPr>
            <w:tcW w:w="2409" w:type="dxa"/>
          </w:tcPr>
          <w:p w:rsidR="00991A3C" w:rsidRPr="00E44760" w:rsidRDefault="00991A3C" w:rsidP="009C1324">
            <w:pPr>
              <w:pStyle w:val="s15"/>
              <w:spacing w:before="0" w:beforeAutospacing="0" w:after="0" w:afterAutospacing="0"/>
              <w:jc w:val="center"/>
            </w:pPr>
            <w:r w:rsidRPr="00E44760">
              <w:t>1,73</w:t>
            </w:r>
          </w:p>
        </w:tc>
        <w:tc>
          <w:tcPr>
            <w:tcW w:w="2410" w:type="dxa"/>
          </w:tcPr>
          <w:p w:rsidR="00991A3C" w:rsidRPr="00E44760" w:rsidRDefault="00991A3C" w:rsidP="009C1324">
            <w:pPr>
              <w:pStyle w:val="s15"/>
              <w:spacing w:before="0" w:beforeAutospacing="0" w:after="0" w:afterAutospacing="0"/>
              <w:jc w:val="center"/>
            </w:pPr>
            <w:r w:rsidRPr="00E44760">
              <w:t>16,30</w:t>
            </w:r>
          </w:p>
        </w:tc>
      </w:tr>
      <w:tr w:rsidR="00991A3C" w:rsidRPr="009C1324" w:rsidTr="009C1324">
        <w:tc>
          <w:tcPr>
            <w:tcW w:w="2120" w:type="dxa"/>
            <w:shd w:val="clear" w:color="auto" w:fill="FFFFFF"/>
          </w:tcPr>
          <w:p w:rsidR="00991A3C" w:rsidRPr="009C1324" w:rsidRDefault="00991A3C" w:rsidP="009C1324">
            <w:pPr>
              <w:spacing w:after="0" w:line="240" w:lineRule="auto"/>
              <w:rPr>
                <w:rFonts w:ascii="Times New Roman" w:hAnsi="Times New Roman"/>
                <w:sz w:val="24"/>
                <w:szCs w:val="24"/>
              </w:rPr>
            </w:pPr>
            <w:r w:rsidRPr="009C1324">
              <w:rPr>
                <w:rFonts w:ascii="Times New Roman" w:hAnsi="Times New Roman"/>
                <w:sz w:val="24"/>
                <w:szCs w:val="24"/>
              </w:rPr>
              <w:t>ОАО МНПФ А</w:t>
            </w:r>
            <w:r w:rsidRPr="009C1324">
              <w:rPr>
                <w:rFonts w:ascii="Times New Roman" w:hAnsi="Times New Roman"/>
                <w:sz w:val="24"/>
                <w:szCs w:val="24"/>
              </w:rPr>
              <w:t>К</w:t>
            </w:r>
            <w:r w:rsidRPr="009C1324">
              <w:rPr>
                <w:rFonts w:ascii="Times New Roman" w:hAnsi="Times New Roman"/>
                <w:sz w:val="24"/>
                <w:szCs w:val="24"/>
              </w:rPr>
              <w:t>ВИЛОН</w:t>
            </w:r>
          </w:p>
        </w:tc>
        <w:tc>
          <w:tcPr>
            <w:tcW w:w="238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94,22</w:t>
            </w:r>
          </w:p>
        </w:tc>
        <w:tc>
          <w:tcPr>
            <w:tcW w:w="2409" w:type="dxa"/>
          </w:tcPr>
          <w:p w:rsidR="00991A3C" w:rsidRPr="009C1324" w:rsidRDefault="00991A3C" w:rsidP="009C1324">
            <w:pPr>
              <w:spacing w:after="0" w:line="240" w:lineRule="auto"/>
              <w:jc w:val="center"/>
              <w:rPr>
                <w:rFonts w:ascii="Times New Roman" w:hAnsi="Times New Roman"/>
                <w:sz w:val="24"/>
                <w:szCs w:val="24"/>
              </w:rPr>
            </w:pPr>
          </w:p>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6,69</w:t>
            </w:r>
          </w:p>
        </w:tc>
        <w:tc>
          <w:tcPr>
            <w:tcW w:w="241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2,31</w:t>
            </w:r>
          </w:p>
        </w:tc>
      </w:tr>
      <w:tr w:rsidR="00991A3C" w:rsidRPr="009C1324" w:rsidTr="009C1324">
        <w:tc>
          <w:tcPr>
            <w:tcW w:w="2120" w:type="dxa"/>
            <w:shd w:val="clear" w:color="auto" w:fill="FFFFFF"/>
          </w:tcPr>
          <w:p w:rsidR="00991A3C" w:rsidRPr="00E44760" w:rsidRDefault="00991A3C" w:rsidP="009C1324">
            <w:pPr>
              <w:pStyle w:val="s15"/>
              <w:spacing w:before="0" w:beforeAutospacing="0" w:after="0" w:afterAutospacing="0"/>
              <w:jc w:val="both"/>
            </w:pPr>
            <w:r w:rsidRPr="00E44760">
              <w:t>ОАО НПФ Тел</w:t>
            </w:r>
            <w:r w:rsidRPr="00E44760">
              <w:t>е</w:t>
            </w:r>
            <w:r w:rsidRPr="00E44760">
              <w:t>ком-Союз</w:t>
            </w:r>
          </w:p>
        </w:tc>
        <w:tc>
          <w:tcPr>
            <w:tcW w:w="2383" w:type="dxa"/>
            <w:vAlign w:val="bottom"/>
          </w:tcPr>
          <w:p w:rsidR="00991A3C" w:rsidRPr="00E44760" w:rsidRDefault="00991A3C" w:rsidP="009C1324">
            <w:pPr>
              <w:pStyle w:val="s15"/>
              <w:spacing w:before="0" w:beforeAutospacing="0" w:after="0" w:afterAutospacing="0"/>
              <w:jc w:val="center"/>
            </w:pPr>
            <w:r w:rsidRPr="00E44760">
              <w:t>91,24</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2,29</w:t>
            </w:r>
          </w:p>
        </w:tc>
        <w:tc>
          <w:tcPr>
            <w:tcW w:w="2410" w:type="dxa"/>
            <w:vAlign w:val="bottom"/>
          </w:tcPr>
          <w:p w:rsidR="00991A3C" w:rsidRPr="00E44760" w:rsidRDefault="00991A3C" w:rsidP="009C1324">
            <w:pPr>
              <w:pStyle w:val="s15"/>
              <w:spacing w:before="0" w:beforeAutospacing="0" w:after="0" w:afterAutospacing="0"/>
              <w:jc w:val="center"/>
            </w:pPr>
            <w:r w:rsidRPr="00E44760">
              <w:t>9,99</w:t>
            </w:r>
          </w:p>
        </w:tc>
      </w:tr>
      <w:tr w:rsidR="00991A3C" w:rsidRPr="009C1324" w:rsidTr="009C1324">
        <w:tc>
          <w:tcPr>
            <w:tcW w:w="2120" w:type="dxa"/>
          </w:tcPr>
          <w:p w:rsidR="00991A3C" w:rsidRPr="009C1324" w:rsidRDefault="00991A3C" w:rsidP="009C1324">
            <w:pPr>
              <w:spacing w:after="0" w:line="240" w:lineRule="auto"/>
              <w:rPr>
                <w:rFonts w:ascii="Times New Roman" w:hAnsi="Times New Roman"/>
                <w:sz w:val="24"/>
                <w:szCs w:val="24"/>
              </w:rPr>
            </w:pPr>
            <w:r w:rsidRPr="009C1324">
              <w:rPr>
                <w:rFonts w:ascii="Times New Roman" w:hAnsi="Times New Roman"/>
                <w:sz w:val="24"/>
                <w:szCs w:val="24"/>
                <w:shd w:val="clear" w:color="auto" w:fill="FFFFFF"/>
              </w:rPr>
              <w:t>ОАО НПФ Благ</w:t>
            </w:r>
            <w:r w:rsidRPr="009C1324">
              <w:rPr>
                <w:rFonts w:ascii="Times New Roman" w:hAnsi="Times New Roman"/>
                <w:sz w:val="24"/>
                <w:szCs w:val="24"/>
                <w:shd w:val="clear" w:color="auto" w:fill="FFFFFF"/>
              </w:rPr>
              <w:t>о</w:t>
            </w:r>
            <w:r w:rsidRPr="009C1324">
              <w:rPr>
                <w:rFonts w:ascii="Times New Roman" w:hAnsi="Times New Roman"/>
                <w:sz w:val="24"/>
                <w:szCs w:val="24"/>
                <w:shd w:val="clear" w:color="auto" w:fill="FFFFFF"/>
              </w:rPr>
              <w:t>денствие</w:t>
            </w:r>
          </w:p>
        </w:tc>
        <w:tc>
          <w:tcPr>
            <w:tcW w:w="238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90,46</w:t>
            </w:r>
          </w:p>
        </w:tc>
        <w:tc>
          <w:tcPr>
            <w:tcW w:w="2409" w:type="dxa"/>
          </w:tcPr>
          <w:p w:rsidR="00991A3C" w:rsidRPr="009C1324" w:rsidRDefault="00991A3C" w:rsidP="009C1324">
            <w:pPr>
              <w:spacing w:after="0" w:line="240" w:lineRule="auto"/>
              <w:jc w:val="center"/>
              <w:rPr>
                <w:rFonts w:ascii="Times New Roman" w:hAnsi="Times New Roman"/>
                <w:sz w:val="24"/>
                <w:szCs w:val="24"/>
              </w:rPr>
            </w:pPr>
          </w:p>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4,43</w:t>
            </w:r>
          </w:p>
        </w:tc>
        <w:tc>
          <w:tcPr>
            <w:tcW w:w="241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13,06</w:t>
            </w:r>
          </w:p>
        </w:tc>
      </w:tr>
      <w:tr w:rsidR="00991A3C" w:rsidRPr="009C1324" w:rsidTr="009C1324">
        <w:tc>
          <w:tcPr>
            <w:tcW w:w="2120" w:type="dxa"/>
            <w:shd w:val="clear" w:color="auto" w:fill="FFFFFF"/>
          </w:tcPr>
          <w:p w:rsidR="00991A3C" w:rsidRPr="009C1324" w:rsidRDefault="00991A3C" w:rsidP="009C1324">
            <w:pPr>
              <w:spacing w:after="0" w:line="240" w:lineRule="auto"/>
              <w:rPr>
                <w:rFonts w:ascii="Times New Roman" w:hAnsi="Times New Roman"/>
                <w:sz w:val="24"/>
              </w:rPr>
            </w:pPr>
            <w:r w:rsidRPr="009C1324">
              <w:rPr>
                <w:rFonts w:ascii="Times New Roman" w:hAnsi="Times New Roman"/>
                <w:sz w:val="24"/>
              </w:rPr>
              <w:t>АО НПФ  УГМК-Перспектива</w:t>
            </w:r>
          </w:p>
        </w:tc>
        <w:tc>
          <w:tcPr>
            <w:tcW w:w="2383" w:type="dxa"/>
            <w:vAlign w:val="bottom"/>
          </w:tcPr>
          <w:p w:rsidR="00991A3C" w:rsidRPr="00E44760" w:rsidRDefault="00991A3C" w:rsidP="009C1324">
            <w:pPr>
              <w:pStyle w:val="s15"/>
              <w:spacing w:before="0" w:beforeAutospacing="0" w:after="0" w:afterAutospacing="0"/>
              <w:jc w:val="center"/>
            </w:pPr>
            <w:r w:rsidRPr="00E44760">
              <w:t>89,69</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2,19</w:t>
            </w:r>
          </w:p>
        </w:tc>
        <w:tc>
          <w:tcPr>
            <w:tcW w:w="2410" w:type="dxa"/>
            <w:vAlign w:val="bottom"/>
          </w:tcPr>
          <w:p w:rsidR="00991A3C" w:rsidRPr="00E44760" w:rsidRDefault="00991A3C" w:rsidP="009C1324">
            <w:pPr>
              <w:pStyle w:val="s15"/>
              <w:spacing w:before="0" w:beforeAutospacing="0" w:after="0" w:afterAutospacing="0"/>
              <w:jc w:val="center"/>
            </w:pPr>
            <w:r w:rsidRPr="00E44760">
              <w:t>17,00</w:t>
            </w:r>
          </w:p>
        </w:tc>
      </w:tr>
      <w:tr w:rsidR="00991A3C" w:rsidRPr="009C1324" w:rsidTr="009C1324">
        <w:tc>
          <w:tcPr>
            <w:tcW w:w="2120" w:type="dxa"/>
          </w:tcPr>
          <w:p w:rsidR="00991A3C" w:rsidRPr="009C1324" w:rsidRDefault="00991A3C" w:rsidP="009C1324">
            <w:pPr>
              <w:spacing w:after="0" w:line="240" w:lineRule="auto"/>
              <w:rPr>
                <w:rFonts w:ascii="Times New Roman" w:hAnsi="Times New Roman"/>
                <w:sz w:val="24"/>
                <w:szCs w:val="24"/>
                <w:shd w:val="clear" w:color="auto" w:fill="FFFFFF"/>
              </w:rPr>
            </w:pPr>
            <w:r w:rsidRPr="009C1324">
              <w:rPr>
                <w:rFonts w:ascii="Times New Roman" w:hAnsi="Times New Roman"/>
                <w:sz w:val="24"/>
                <w:szCs w:val="24"/>
                <w:shd w:val="clear" w:color="auto" w:fill="FFFFFF"/>
              </w:rPr>
              <w:t>АО НПФ  Урал</w:t>
            </w:r>
            <w:r w:rsidRPr="009C1324">
              <w:rPr>
                <w:rFonts w:ascii="Times New Roman" w:hAnsi="Times New Roman"/>
                <w:sz w:val="24"/>
                <w:szCs w:val="24"/>
                <w:shd w:val="clear" w:color="auto" w:fill="FFFFFF"/>
              </w:rPr>
              <w:t>ь</w:t>
            </w:r>
            <w:r w:rsidRPr="009C1324">
              <w:rPr>
                <w:rFonts w:ascii="Times New Roman" w:hAnsi="Times New Roman"/>
                <w:sz w:val="24"/>
                <w:szCs w:val="24"/>
                <w:shd w:val="clear" w:color="auto" w:fill="FFFFFF"/>
              </w:rPr>
              <w:t>ский ФД </w:t>
            </w:r>
          </w:p>
        </w:tc>
        <w:tc>
          <w:tcPr>
            <w:tcW w:w="238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89,59</w:t>
            </w:r>
          </w:p>
        </w:tc>
        <w:tc>
          <w:tcPr>
            <w:tcW w:w="2409" w:type="dxa"/>
          </w:tcPr>
          <w:p w:rsidR="00991A3C" w:rsidRPr="009C1324" w:rsidRDefault="00991A3C" w:rsidP="009C1324">
            <w:pPr>
              <w:spacing w:after="0" w:line="240" w:lineRule="auto"/>
              <w:jc w:val="center"/>
              <w:rPr>
                <w:rFonts w:ascii="Times New Roman" w:hAnsi="Times New Roman"/>
                <w:sz w:val="24"/>
                <w:szCs w:val="24"/>
              </w:rPr>
            </w:pPr>
          </w:p>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-5,23</w:t>
            </w:r>
          </w:p>
        </w:tc>
        <w:tc>
          <w:tcPr>
            <w:tcW w:w="241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13,01</w:t>
            </w:r>
          </w:p>
        </w:tc>
      </w:tr>
      <w:tr w:rsidR="00991A3C" w:rsidRPr="009C1324" w:rsidTr="009C1324">
        <w:tc>
          <w:tcPr>
            <w:tcW w:w="2120" w:type="dxa"/>
          </w:tcPr>
          <w:p w:rsidR="00991A3C" w:rsidRPr="009C1324" w:rsidRDefault="00991A3C" w:rsidP="009C1324">
            <w:pPr>
              <w:spacing w:after="0" w:line="240" w:lineRule="auto"/>
              <w:rPr>
                <w:rFonts w:ascii="Times New Roman" w:hAnsi="Times New Roman"/>
                <w:sz w:val="24"/>
                <w:szCs w:val="24"/>
                <w:shd w:val="clear" w:color="auto" w:fill="FFFFFF"/>
              </w:rPr>
            </w:pPr>
            <w:r w:rsidRPr="009C1324">
              <w:rPr>
                <w:rFonts w:ascii="Times New Roman" w:hAnsi="Times New Roman"/>
                <w:sz w:val="24"/>
                <w:szCs w:val="24"/>
                <w:shd w:val="clear" w:color="auto" w:fill="FFFFFF"/>
              </w:rPr>
              <w:t>АО НПФ Мечел-Фонд</w:t>
            </w:r>
          </w:p>
        </w:tc>
        <w:tc>
          <w:tcPr>
            <w:tcW w:w="2383"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89,57</w:t>
            </w:r>
          </w:p>
        </w:tc>
        <w:tc>
          <w:tcPr>
            <w:tcW w:w="2409" w:type="dxa"/>
          </w:tcPr>
          <w:p w:rsidR="00991A3C" w:rsidRPr="009C1324" w:rsidRDefault="00991A3C" w:rsidP="009C1324">
            <w:pPr>
              <w:spacing w:after="0" w:line="240" w:lineRule="auto"/>
              <w:jc w:val="center"/>
              <w:rPr>
                <w:rFonts w:ascii="Times New Roman" w:hAnsi="Times New Roman"/>
                <w:sz w:val="24"/>
                <w:szCs w:val="24"/>
              </w:rPr>
            </w:pPr>
          </w:p>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2,92</w:t>
            </w:r>
          </w:p>
        </w:tc>
        <w:tc>
          <w:tcPr>
            <w:tcW w:w="2410" w:type="dxa"/>
            <w:vAlign w:val="bottom"/>
          </w:tcPr>
          <w:p w:rsidR="00991A3C" w:rsidRPr="009C1324" w:rsidRDefault="00991A3C" w:rsidP="009C1324">
            <w:pPr>
              <w:spacing w:after="0" w:line="240" w:lineRule="auto"/>
              <w:jc w:val="center"/>
              <w:rPr>
                <w:rFonts w:ascii="Times New Roman" w:hAnsi="Times New Roman"/>
                <w:sz w:val="24"/>
                <w:szCs w:val="24"/>
              </w:rPr>
            </w:pPr>
            <w:r w:rsidRPr="009C1324">
              <w:rPr>
                <w:rFonts w:ascii="Times New Roman" w:hAnsi="Times New Roman"/>
                <w:sz w:val="24"/>
                <w:szCs w:val="24"/>
              </w:rPr>
              <w:t>9,94</w:t>
            </w:r>
          </w:p>
        </w:tc>
      </w:tr>
      <w:tr w:rsidR="00991A3C" w:rsidRPr="009C1324" w:rsidTr="009C1324">
        <w:tc>
          <w:tcPr>
            <w:tcW w:w="2120" w:type="dxa"/>
          </w:tcPr>
          <w:p w:rsidR="00991A3C" w:rsidRPr="00E44760" w:rsidRDefault="00991A3C" w:rsidP="009C1324">
            <w:pPr>
              <w:pStyle w:val="s15"/>
              <w:spacing w:before="0" w:beforeAutospacing="0" w:after="0" w:afterAutospacing="0"/>
              <w:jc w:val="both"/>
            </w:pPr>
            <w:r w:rsidRPr="00E44760">
              <w:t>УК ВЭБ (консе</w:t>
            </w:r>
            <w:r w:rsidRPr="00E44760">
              <w:t>р</w:t>
            </w:r>
            <w:r w:rsidRPr="00E44760">
              <w:t>вативный пор</w:t>
            </w:r>
            <w:r w:rsidRPr="00E44760">
              <w:t>т</w:t>
            </w:r>
            <w:r w:rsidRPr="00E44760">
              <w:t>фель)</w:t>
            </w:r>
          </w:p>
        </w:tc>
        <w:tc>
          <w:tcPr>
            <w:tcW w:w="2383" w:type="dxa"/>
            <w:vAlign w:val="bottom"/>
          </w:tcPr>
          <w:p w:rsidR="00991A3C" w:rsidRPr="00E44760" w:rsidRDefault="00991A3C" w:rsidP="009C1324">
            <w:pPr>
              <w:pStyle w:val="s15"/>
              <w:spacing w:before="0" w:beforeAutospacing="0" w:after="0" w:afterAutospacing="0"/>
              <w:jc w:val="center"/>
            </w:pPr>
            <w:r w:rsidRPr="00E44760">
              <w:t>44,19</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-2,05</w:t>
            </w:r>
          </w:p>
        </w:tc>
        <w:tc>
          <w:tcPr>
            <w:tcW w:w="2410" w:type="dxa"/>
            <w:vAlign w:val="bottom"/>
          </w:tcPr>
          <w:p w:rsidR="00991A3C" w:rsidRPr="00E44760" w:rsidRDefault="00991A3C" w:rsidP="009C1324">
            <w:pPr>
              <w:pStyle w:val="s15"/>
              <w:spacing w:before="0" w:beforeAutospacing="0" w:after="0" w:afterAutospacing="0"/>
              <w:jc w:val="center"/>
            </w:pPr>
            <w:r w:rsidRPr="00E44760">
              <w:t>17,47</w:t>
            </w:r>
          </w:p>
        </w:tc>
      </w:tr>
      <w:tr w:rsidR="00991A3C" w:rsidRPr="009C1324" w:rsidTr="009C1324">
        <w:tc>
          <w:tcPr>
            <w:tcW w:w="2120" w:type="dxa"/>
          </w:tcPr>
          <w:p w:rsidR="00991A3C" w:rsidRPr="00E44760" w:rsidRDefault="00991A3C" w:rsidP="009C1324">
            <w:pPr>
              <w:pStyle w:val="s15"/>
              <w:spacing w:before="0" w:beforeAutospacing="0" w:after="0" w:afterAutospacing="0"/>
              <w:jc w:val="both"/>
            </w:pPr>
            <w:r w:rsidRPr="00E44760">
              <w:t>УК ВЭБ (расш</w:t>
            </w:r>
            <w:r w:rsidRPr="00E44760">
              <w:t>и</w:t>
            </w:r>
            <w:r w:rsidRPr="00E44760">
              <w:t>ренный портфель)</w:t>
            </w:r>
          </w:p>
        </w:tc>
        <w:tc>
          <w:tcPr>
            <w:tcW w:w="2383" w:type="dxa"/>
            <w:vAlign w:val="bottom"/>
          </w:tcPr>
          <w:p w:rsidR="00991A3C" w:rsidRPr="00E44760" w:rsidRDefault="00991A3C" w:rsidP="009C1324">
            <w:pPr>
              <w:pStyle w:val="s15"/>
              <w:spacing w:before="0" w:beforeAutospacing="0" w:after="0" w:afterAutospacing="0"/>
              <w:jc w:val="center"/>
            </w:pPr>
            <w:r w:rsidRPr="00E44760">
              <w:t>41,90</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2,68</w:t>
            </w:r>
          </w:p>
        </w:tc>
        <w:tc>
          <w:tcPr>
            <w:tcW w:w="2410" w:type="dxa"/>
            <w:vAlign w:val="bottom"/>
          </w:tcPr>
          <w:p w:rsidR="00991A3C" w:rsidRPr="00E44760" w:rsidRDefault="00991A3C" w:rsidP="009C1324">
            <w:pPr>
              <w:pStyle w:val="s15"/>
              <w:spacing w:before="0" w:beforeAutospacing="0" w:after="0" w:afterAutospacing="0"/>
              <w:jc w:val="center"/>
            </w:pPr>
            <w:r w:rsidRPr="00E44760">
              <w:t>12,2</w:t>
            </w:r>
          </w:p>
        </w:tc>
      </w:tr>
      <w:tr w:rsidR="00991A3C" w:rsidRPr="009C1324" w:rsidTr="009C1324">
        <w:tc>
          <w:tcPr>
            <w:tcW w:w="2120" w:type="dxa"/>
          </w:tcPr>
          <w:p w:rsidR="00991A3C" w:rsidRPr="00E44760" w:rsidRDefault="00991A3C" w:rsidP="009C1324">
            <w:pPr>
              <w:pStyle w:val="s15"/>
              <w:spacing w:before="0" w:beforeAutospacing="0" w:after="0" w:afterAutospacing="0"/>
              <w:jc w:val="both"/>
            </w:pPr>
          </w:p>
          <w:p w:rsidR="00991A3C" w:rsidRPr="00E44760" w:rsidRDefault="00991A3C" w:rsidP="009C1324">
            <w:pPr>
              <w:pStyle w:val="s15"/>
              <w:spacing w:before="0" w:beforeAutospacing="0" w:after="0" w:afterAutospacing="0"/>
              <w:jc w:val="both"/>
            </w:pPr>
            <w:r w:rsidRPr="00E44760">
              <w:t>Инфляция</w:t>
            </w:r>
          </w:p>
        </w:tc>
        <w:tc>
          <w:tcPr>
            <w:tcW w:w="2383" w:type="dxa"/>
            <w:vAlign w:val="bottom"/>
          </w:tcPr>
          <w:p w:rsidR="00991A3C" w:rsidRPr="00E44760" w:rsidRDefault="00991A3C" w:rsidP="009C1324">
            <w:pPr>
              <w:pStyle w:val="s15"/>
              <w:spacing w:before="0" w:beforeAutospacing="0" w:after="0" w:afterAutospacing="0"/>
              <w:jc w:val="center"/>
            </w:pPr>
            <w:r w:rsidRPr="00E44760">
              <w:t>58,84</w:t>
            </w:r>
          </w:p>
        </w:tc>
        <w:tc>
          <w:tcPr>
            <w:tcW w:w="2409" w:type="dxa"/>
          </w:tcPr>
          <w:p w:rsidR="00991A3C" w:rsidRPr="00E44760" w:rsidRDefault="00991A3C" w:rsidP="009C1324">
            <w:pPr>
              <w:pStyle w:val="s15"/>
              <w:spacing w:before="0" w:beforeAutospacing="0" w:after="0" w:afterAutospacing="0"/>
              <w:jc w:val="center"/>
            </w:pPr>
          </w:p>
          <w:p w:rsidR="00991A3C" w:rsidRPr="00E44760" w:rsidRDefault="00991A3C" w:rsidP="009C1324">
            <w:pPr>
              <w:pStyle w:val="s15"/>
              <w:spacing w:before="0" w:beforeAutospacing="0" w:after="0" w:afterAutospacing="0"/>
              <w:jc w:val="center"/>
            </w:pPr>
            <w:r w:rsidRPr="00E44760">
              <w:t>11,4</w:t>
            </w:r>
          </w:p>
        </w:tc>
        <w:tc>
          <w:tcPr>
            <w:tcW w:w="2410" w:type="dxa"/>
            <w:vAlign w:val="bottom"/>
          </w:tcPr>
          <w:p w:rsidR="00991A3C" w:rsidRPr="00E44760" w:rsidRDefault="00991A3C" w:rsidP="009C1324">
            <w:pPr>
              <w:pStyle w:val="s15"/>
              <w:spacing w:before="0" w:beforeAutospacing="0" w:after="0" w:afterAutospacing="0"/>
              <w:jc w:val="center"/>
            </w:pPr>
            <w:r w:rsidRPr="00E44760">
              <w:t>8,5</w:t>
            </w:r>
          </w:p>
        </w:tc>
      </w:tr>
    </w:tbl>
    <w:p w:rsidR="00991A3C" w:rsidRPr="00E44760" w:rsidRDefault="00991A3C" w:rsidP="00C65BC6"/>
    <w:p w:rsidR="00991A3C" w:rsidRPr="00E44760" w:rsidRDefault="00991A3C" w:rsidP="00673E2B">
      <w:pPr>
        <w:spacing w:after="0" w:line="360" w:lineRule="auto"/>
        <w:ind w:firstLine="709"/>
        <w:jc w:val="both"/>
        <w:textAlignment w:val="baseline"/>
        <w:rPr>
          <w:rFonts w:ascii="Times New Roman" w:hAnsi="Times New Roman"/>
          <w:sz w:val="28"/>
          <w:szCs w:val="28"/>
          <w:lang w:eastAsia="ru-RU"/>
        </w:rPr>
      </w:pPr>
      <w:r w:rsidRPr="00E44760">
        <w:rPr>
          <w:rFonts w:ascii="Times New Roman" w:hAnsi="Times New Roman"/>
          <w:sz w:val="28"/>
          <w:szCs w:val="28"/>
        </w:rPr>
        <w:lastRenderedPageBreak/>
        <w:t>Приведенные статистические данные отражают высокую результ</w:t>
      </w:r>
      <w:r w:rsidRPr="00E44760">
        <w:rPr>
          <w:rFonts w:ascii="Times New Roman" w:hAnsi="Times New Roman"/>
          <w:sz w:val="28"/>
          <w:szCs w:val="28"/>
        </w:rPr>
        <w:t>а</w:t>
      </w:r>
      <w:r w:rsidRPr="00E44760">
        <w:rPr>
          <w:rFonts w:ascii="Times New Roman" w:hAnsi="Times New Roman"/>
          <w:sz w:val="28"/>
          <w:szCs w:val="28"/>
        </w:rPr>
        <w:t>тивность работы частных фондов по сравнению с доходностью, получе</w:t>
      </w:r>
      <w:r w:rsidRPr="00E44760">
        <w:rPr>
          <w:rFonts w:ascii="Times New Roman" w:hAnsi="Times New Roman"/>
          <w:sz w:val="28"/>
          <w:szCs w:val="28"/>
        </w:rPr>
        <w:t>н</w:t>
      </w:r>
      <w:r w:rsidRPr="00E44760">
        <w:rPr>
          <w:rFonts w:ascii="Times New Roman" w:hAnsi="Times New Roman"/>
          <w:sz w:val="28"/>
          <w:szCs w:val="28"/>
        </w:rPr>
        <w:t>ной УК ВЭБ по консервативному и расширенному портфелям, и уровнем инфляции. Пенсионные накопления, находящиеся под управлением УК ВЭБ, за период 2009-2014гг. обесценились  на 14,65-16,94%. Такой разрыв в доходности обусловлен особенностями инвестиционной стратегии гос</w:t>
      </w:r>
      <w:r w:rsidRPr="00E44760">
        <w:rPr>
          <w:rFonts w:ascii="Times New Roman" w:hAnsi="Times New Roman"/>
          <w:sz w:val="28"/>
          <w:szCs w:val="28"/>
        </w:rPr>
        <w:t>у</w:t>
      </w:r>
      <w:r w:rsidRPr="00E44760">
        <w:rPr>
          <w:rFonts w:ascii="Times New Roman" w:hAnsi="Times New Roman"/>
          <w:sz w:val="28"/>
          <w:szCs w:val="28"/>
        </w:rPr>
        <w:t xml:space="preserve">дарственной управляющей компании: в консервативный портфель </w:t>
      </w:r>
      <w:r w:rsidRPr="00E44760">
        <w:rPr>
          <w:rFonts w:ascii="Times New Roman" w:hAnsi="Times New Roman"/>
          <w:sz w:val="28"/>
          <w:szCs w:val="28"/>
          <w:shd w:val="clear" w:color="auto" w:fill="FFFFFF"/>
        </w:rPr>
        <w:t>могут приобретаться исключительно государственные ценные бумаги РФ, а та</w:t>
      </w:r>
      <w:r w:rsidRPr="00E44760">
        <w:rPr>
          <w:rFonts w:ascii="Times New Roman" w:hAnsi="Times New Roman"/>
          <w:sz w:val="28"/>
          <w:szCs w:val="28"/>
          <w:shd w:val="clear" w:color="auto" w:fill="FFFFFF"/>
        </w:rPr>
        <w:t>к</w:t>
      </w:r>
      <w:r w:rsidRPr="00E44760">
        <w:rPr>
          <w:rFonts w:ascii="Times New Roman" w:hAnsi="Times New Roman"/>
          <w:sz w:val="28"/>
          <w:szCs w:val="28"/>
          <w:shd w:val="clear" w:color="auto" w:fill="FFFFFF"/>
        </w:rPr>
        <w:t>же облигации российских эмитентов, если исполнение обязательств по в</w:t>
      </w:r>
      <w:r w:rsidRPr="00E44760">
        <w:rPr>
          <w:rFonts w:ascii="Times New Roman" w:hAnsi="Times New Roman"/>
          <w:sz w:val="28"/>
          <w:szCs w:val="28"/>
          <w:shd w:val="clear" w:color="auto" w:fill="FFFFFF"/>
        </w:rPr>
        <w:t>ы</w:t>
      </w:r>
      <w:r w:rsidRPr="00E44760">
        <w:rPr>
          <w:rFonts w:ascii="Times New Roman" w:hAnsi="Times New Roman"/>
          <w:sz w:val="28"/>
          <w:szCs w:val="28"/>
          <w:shd w:val="clear" w:color="auto" w:fill="FFFFFF"/>
        </w:rPr>
        <w:t>плате номинальной стоимости облигаций либо по выплате номинальной стоимости облигаций и частично или полностью купонного дохода по ним обеспечено государственной гарантией РФ; расширенный портфель позв</w:t>
      </w:r>
      <w:r w:rsidRPr="00E44760">
        <w:rPr>
          <w:rFonts w:ascii="Times New Roman" w:hAnsi="Times New Roman"/>
          <w:sz w:val="28"/>
          <w:szCs w:val="28"/>
          <w:shd w:val="clear" w:color="auto" w:fill="FFFFFF"/>
        </w:rPr>
        <w:t>о</w:t>
      </w:r>
      <w:r w:rsidRPr="00E44760">
        <w:rPr>
          <w:rFonts w:ascii="Times New Roman" w:hAnsi="Times New Roman"/>
          <w:sz w:val="28"/>
          <w:szCs w:val="28"/>
          <w:shd w:val="clear" w:color="auto" w:fill="FFFFFF"/>
        </w:rPr>
        <w:t>ляет инвестировать наряду с государственными бумагами и в корпорати</w:t>
      </w:r>
      <w:r w:rsidRPr="00E44760">
        <w:rPr>
          <w:rFonts w:ascii="Times New Roman" w:hAnsi="Times New Roman"/>
          <w:sz w:val="28"/>
          <w:szCs w:val="28"/>
          <w:shd w:val="clear" w:color="auto" w:fill="FFFFFF"/>
        </w:rPr>
        <w:t>в</w:t>
      </w:r>
      <w:r w:rsidRPr="00E44760">
        <w:rPr>
          <w:rFonts w:ascii="Times New Roman" w:hAnsi="Times New Roman"/>
          <w:sz w:val="28"/>
          <w:szCs w:val="28"/>
          <w:shd w:val="clear" w:color="auto" w:fill="FFFFFF"/>
        </w:rPr>
        <w:t xml:space="preserve">ные с гарантией правительства РФ, </w:t>
      </w:r>
      <w:r w:rsidRPr="00E44760">
        <w:rPr>
          <w:rFonts w:ascii="Times New Roman" w:hAnsi="Times New Roman"/>
          <w:iCs/>
          <w:sz w:val="28"/>
          <w:szCs w:val="28"/>
          <w:lang w:eastAsia="ru-RU"/>
        </w:rPr>
        <w:t>банковские депозиты в рублях и ин</w:t>
      </w:r>
      <w:r w:rsidRPr="00E44760">
        <w:rPr>
          <w:rFonts w:ascii="Times New Roman" w:hAnsi="Times New Roman"/>
          <w:iCs/>
          <w:sz w:val="28"/>
          <w:szCs w:val="28"/>
          <w:lang w:eastAsia="ru-RU"/>
        </w:rPr>
        <w:t>о</w:t>
      </w:r>
      <w:r w:rsidRPr="00E44760">
        <w:rPr>
          <w:rFonts w:ascii="Times New Roman" w:hAnsi="Times New Roman"/>
          <w:iCs/>
          <w:sz w:val="28"/>
          <w:szCs w:val="28"/>
          <w:lang w:eastAsia="ru-RU"/>
        </w:rPr>
        <w:t xml:space="preserve">странной валюте; ипотечные ценные бумаги, облигации международных финансовых организаций. Особенности деятельности  </w:t>
      </w:r>
      <w:r w:rsidRPr="00E44760">
        <w:rPr>
          <w:rFonts w:ascii="Times New Roman" w:hAnsi="Times New Roman"/>
          <w:sz w:val="28"/>
          <w:szCs w:val="28"/>
        </w:rPr>
        <w:t>УК ВЭБ</w:t>
      </w:r>
      <w:r w:rsidRPr="00E44760">
        <w:rPr>
          <w:rFonts w:ascii="Times New Roman" w:hAnsi="Times New Roman"/>
          <w:iCs/>
          <w:sz w:val="28"/>
          <w:szCs w:val="28"/>
          <w:lang w:eastAsia="ru-RU"/>
        </w:rPr>
        <w:t xml:space="preserve"> проявляю</w:t>
      </w:r>
      <w:r w:rsidRPr="00E44760">
        <w:rPr>
          <w:rFonts w:ascii="Times New Roman" w:hAnsi="Times New Roman"/>
          <w:iCs/>
          <w:sz w:val="28"/>
          <w:szCs w:val="28"/>
          <w:lang w:eastAsia="ru-RU"/>
        </w:rPr>
        <w:t>т</w:t>
      </w:r>
      <w:r w:rsidRPr="00E44760">
        <w:rPr>
          <w:rFonts w:ascii="Times New Roman" w:hAnsi="Times New Roman"/>
          <w:iCs/>
          <w:sz w:val="28"/>
          <w:szCs w:val="28"/>
          <w:lang w:eastAsia="ru-RU"/>
        </w:rPr>
        <w:t>ся также в отсутствии возможности реализации спекулятивных стратегий на вторичных рынках, что сужает диапазон действий УК до возможности приобретения бумаг на первичных рынках и удерживания их до погаш</w:t>
      </w:r>
      <w:r w:rsidRPr="00E44760">
        <w:rPr>
          <w:rFonts w:ascii="Times New Roman" w:hAnsi="Times New Roman"/>
          <w:iCs/>
          <w:sz w:val="28"/>
          <w:szCs w:val="28"/>
          <w:lang w:eastAsia="ru-RU"/>
        </w:rPr>
        <w:t>е</w:t>
      </w:r>
      <w:r w:rsidRPr="00E44760">
        <w:rPr>
          <w:rFonts w:ascii="Times New Roman" w:hAnsi="Times New Roman"/>
          <w:iCs/>
          <w:sz w:val="28"/>
          <w:szCs w:val="28"/>
          <w:lang w:eastAsia="ru-RU"/>
        </w:rPr>
        <w:t>ния. 2015г. внес некоторые коррективы в отмеченные тенденции и изменил сложившейся паритет по показателю доходности. Государственная УК по консервативному портфелю получила максимальную доходность среди отмеченных фондов, что соответствует параметрам рынка государстве</w:t>
      </w:r>
      <w:r w:rsidRPr="00E44760">
        <w:rPr>
          <w:rFonts w:ascii="Times New Roman" w:hAnsi="Times New Roman"/>
          <w:iCs/>
          <w:sz w:val="28"/>
          <w:szCs w:val="28"/>
          <w:lang w:eastAsia="ru-RU"/>
        </w:rPr>
        <w:t>н</w:t>
      </w:r>
      <w:r w:rsidRPr="00E44760">
        <w:rPr>
          <w:rFonts w:ascii="Times New Roman" w:hAnsi="Times New Roman"/>
          <w:iCs/>
          <w:sz w:val="28"/>
          <w:szCs w:val="28"/>
          <w:lang w:eastAsia="ru-RU"/>
        </w:rPr>
        <w:t>ных долговых заимствований в текущем году. Подтверждает отмеченную тенденцию и динамика индексов пенсионных накоплений,</w:t>
      </w:r>
      <w:r w:rsidRPr="00E44760">
        <w:rPr>
          <w:rFonts w:ascii="Arial" w:hAnsi="Arial" w:cs="Arial"/>
          <w:sz w:val="20"/>
          <w:szCs w:val="20"/>
          <w:shd w:val="clear" w:color="auto" w:fill="FFFFFF"/>
        </w:rPr>
        <w:t xml:space="preserve"> </w:t>
      </w:r>
      <w:r w:rsidRPr="00E44760">
        <w:rPr>
          <w:rFonts w:ascii="Times New Roman" w:hAnsi="Times New Roman"/>
          <w:sz w:val="28"/>
          <w:szCs w:val="28"/>
          <w:shd w:val="clear" w:color="auto" w:fill="FFFFFF"/>
        </w:rPr>
        <w:t>отражающие три возможные стратегии инвестирования в зависимости от класса активов – консервативную, сбалансированную и агрессивную (рис.2). Консерв</w:t>
      </w:r>
      <w:r w:rsidRPr="00E44760">
        <w:rPr>
          <w:rFonts w:ascii="Times New Roman" w:hAnsi="Times New Roman"/>
          <w:sz w:val="28"/>
          <w:szCs w:val="28"/>
          <w:shd w:val="clear" w:color="auto" w:fill="FFFFFF"/>
        </w:rPr>
        <w:t>а</w:t>
      </w:r>
      <w:r w:rsidRPr="00E44760">
        <w:rPr>
          <w:rFonts w:ascii="Times New Roman" w:hAnsi="Times New Roman"/>
          <w:sz w:val="28"/>
          <w:szCs w:val="28"/>
          <w:shd w:val="clear" w:color="auto" w:fill="FFFFFF"/>
        </w:rPr>
        <w:t>тивный индекс (</w:t>
      </w:r>
      <w:r w:rsidRPr="00E44760">
        <w:rPr>
          <w:rFonts w:ascii="Times New Roman" w:hAnsi="Times New Roman"/>
          <w:sz w:val="28"/>
          <w:szCs w:val="28"/>
          <w:lang w:eastAsia="ru-RU"/>
        </w:rPr>
        <w:t>RUPCI) отражает результативность консервативной стр</w:t>
      </w:r>
      <w:r w:rsidRPr="00E44760">
        <w:rPr>
          <w:rFonts w:ascii="Times New Roman" w:hAnsi="Times New Roman"/>
          <w:sz w:val="28"/>
          <w:szCs w:val="28"/>
          <w:lang w:eastAsia="ru-RU"/>
        </w:rPr>
        <w:t>а</w:t>
      </w:r>
      <w:r w:rsidRPr="00E44760">
        <w:rPr>
          <w:rFonts w:ascii="Times New Roman" w:hAnsi="Times New Roman"/>
          <w:sz w:val="28"/>
          <w:szCs w:val="28"/>
          <w:lang w:eastAsia="ru-RU"/>
        </w:rPr>
        <w:t xml:space="preserve">тегии инвестирования в следующие виды активов: облигации российских </w:t>
      </w:r>
      <w:r w:rsidRPr="00E44760">
        <w:rPr>
          <w:rFonts w:ascii="Times New Roman" w:hAnsi="Times New Roman"/>
          <w:sz w:val="28"/>
          <w:szCs w:val="28"/>
          <w:lang w:eastAsia="ru-RU"/>
        </w:rPr>
        <w:lastRenderedPageBreak/>
        <w:t>корпоративных эмитентов, включая биржевые облигации, облигации суб</w:t>
      </w:r>
      <w:r w:rsidRPr="00E44760">
        <w:rPr>
          <w:rFonts w:ascii="Times New Roman" w:hAnsi="Times New Roman"/>
          <w:sz w:val="28"/>
          <w:szCs w:val="28"/>
          <w:lang w:eastAsia="ru-RU"/>
        </w:rPr>
        <w:t>ъ</w:t>
      </w:r>
      <w:r w:rsidRPr="00E44760">
        <w:rPr>
          <w:rFonts w:ascii="Times New Roman" w:hAnsi="Times New Roman"/>
          <w:sz w:val="28"/>
          <w:szCs w:val="28"/>
          <w:lang w:eastAsia="ru-RU"/>
        </w:rPr>
        <w:t>ектов РФ и муниципальных образований, а также облигации междунаро</w:t>
      </w:r>
      <w:r w:rsidRPr="00E44760">
        <w:rPr>
          <w:rFonts w:ascii="Times New Roman" w:hAnsi="Times New Roman"/>
          <w:sz w:val="28"/>
          <w:szCs w:val="28"/>
          <w:lang w:eastAsia="ru-RU"/>
        </w:rPr>
        <w:t>д</w:t>
      </w:r>
      <w:r w:rsidRPr="00E44760">
        <w:rPr>
          <w:rFonts w:ascii="Times New Roman" w:hAnsi="Times New Roman"/>
          <w:sz w:val="28"/>
          <w:szCs w:val="28"/>
          <w:lang w:eastAsia="ru-RU"/>
        </w:rPr>
        <w:t>ных финансовых организаций, допущенные к обращению в ЗАО "ФБ ММВБ" (85%) и Облигации федеральных займов России (за исключением еврооблигаций), допущенные к обращению в ЗАО "ФБ ММВБ" (15%).</w:t>
      </w:r>
    </w:p>
    <w:p w:rsidR="00991A3C" w:rsidRPr="00E44760" w:rsidRDefault="00991A3C" w:rsidP="003272B0">
      <w:pPr>
        <w:spacing w:after="0" w:line="360" w:lineRule="auto"/>
        <w:ind w:firstLine="709"/>
        <w:jc w:val="both"/>
        <w:textAlignment w:val="baseline"/>
        <w:rPr>
          <w:rFonts w:ascii="Times New Roman" w:hAnsi="Times New Roman"/>
          <w:sz w:val="28"/>
          <w:szCs w:val="28"/>
          <w:shd w:val="clear" w:color="auto" w:fill="FFFFFF"/>
        </w:rPr>
      </w:pPr>
      <w:r w:rsidRPr="00E44760">
        <w:rPr>
          <w:rFonts w:ascii="Times New Roman" w:hAnsi="Times New Roman"/>
          <w:sz w:val="28"/>
          <w:szCs w:val="28"/>
          <w:lang w:eastAsia="ru-RU"/>
        </w:rPr>
        <w:t xml:space="preserve">Сбалансированный </w:t>
      </w:r>
      <w:r w:rsidRPr="00E44760">
        <w:rPr>
          <w:rFonts w:ascii="Times New Roman" w:hAnsi="Times New Roman"/>
          <w:sz w:val="28"/>
          <w:szCs w:val="28"/>
          <w:shd w:val="clear" w:color="auto" w:fill="FFFFFF"/>
        </w:rPr>
        <w:t>(RUPMI) индекс рассчитывает по портфелю и</w:t>
      </w:r>
      <w:r w:rsidRPr="00E44760">
        <w:rPr>
          <w:rFonts w:ascii="Times New Roman" w:hAnsi="Times New Roman"/>
          <w:sz w:val="28"/>
          <w:szCs w:val="28"/>
          <w:shd w:val="clear" w:color="auto" w:fill="FFFFFF"/>
        </w:rPr>
        <w:t>н</w:t>
      </w:r>
      <w:r>
        <w:rPr>
          <w:rFonts w:ascii="Times New Roman" w:hAnsi="Times New Roman"/>
          <w:sz w:val="28"/>
          <w:szCs w:val="28"/>
          <w:shd w:val="clear" w:color="auto" w:fill="FFFFFF"/>
        </w:rPr>
        <w:t>вести</w:t>
      </w:r>
      <w:r w:rsidRPr="00E44760">
        <w:rPr>
          <w:rFonts w:ascii="Times New Roman" w:hAnsi="Times New Roman"/>
          <w:sz w:val="28"/>
          <w:szCs w:val="28"/>
          <w:shd w:val="clear" w:color="auto" w:fill="FFFFFF"/>
        </w:rPr>
        <w:t xml:space="preserve">ций в те же активы, но в пропорциях 70 и 10% соответственно и предусматривает возможность 20% средств направлять в </w:t>
      </w:r>
      <w:r w:rsidRPr="00E44760">
        <w:rPr>
          <w:rFonts w:ascii="Times New Roman" w:hAnsi="Times New Roman"/>
          <w:sz w:val="28"/>
          <w:szCs w:val="28"/>
          <w:lang w:eastAsia="ru-RU"/>
        </w:rPr>
        <w:t>акции российских эмитентов, допущенные к обращению в ЗАО "ФБ ММВБ". Агрессивный индекс (</w:t>
      </w:r>
      <w:r w:rsidRPr="00E44760">
        <w:rPr>
          <w:rFonts w:ascii="Times New Roman" w:hAnsi="Times New Roman"/>
          <w:sz w:val="28"/>
          <w:szCs w:val="28"/>
          <w:shd w:val="clear" w:color="auto" w:fill="FFFFFF"/>
        </w:rPr>
        <w:t>RUPAI) рассчитывается по портфелю, который на 45% состоит из акций, а оставшаяся часть представлена облигациями.</w:t>
      </w:r>
    </w:p>
    <w:p w:rsidR="00991A3C" w:rsidRPr="00E44760" w:rsidRDefault="00DE7A8B" w:rsidP="0083125C">
      <w:pPr>
        <w:spacing w:after="0" w:line="360" w:lineRule="auto"/>
        <w:jc w:val="both"/>
        <w:textAlignment w:val="baseline"/>
        <w:rPr>
          <w:rFonts w:ascii="Times New Roman" w:hAnsi="Times New Roman"/>
          <w:sz w:val="28"/>
          <w:szCs w:val="28"/>
          <w:shd w:val="clear" w:color="auto" w:fill="FFFFFF"/>
        </w:rPr>
      </w:pPr>
      <w:r>
        <w:rPr>
          <w:noProof/>
          <w:lang w:eastAsia="ru-RU"/>
        </w:rPr>
        <w:pict>
          <v:shape id="Рисунок 5" o:spid="_x0000_i1026" type="#_x0000_t75" style="width:406pt;height:210pt;visibility:visible">
            <v:imagedata r:id="rId24" o:title=""/>
          </v:shape>
        </w:pict>
      </w:r>
    </w:p>
    <w:p w:rsidR="00991A3C" w:rsidRPr="00E44760" w:rsidRDefault="00991A3C" w:rsidP="0023581E">
      <w:pPr>
        <w:spacing w:after="0" w:line="360" w:lineRule="auto"/>
        <w:ind w:firstLine="680"/>
        <w:jc w:val="center"/>
        <w:rPr>
          <w:rFonts w:ascii="Times New Roman" w:hAnsi="Times New Roman"/>
          <w:sz w:val="28"/>
          <w:szCs w:val="28"/>
        </w:rPr>
      </w:pPr>
      <w:r w:rsidRPr="00E44760">
        <w:rPr>
          <w:rFonts w:ascii="Times New Roman" w:hAnsi="Times New Roman"/>
          <w:sz w:val="28"/>
          <w:szCs w:val="28"/>
        </w:rPr>
        <w:t>Рисунок 2 – Доходность базовых стратегий инвестирования пенсио</w:t>
      </w:r>
      <w:r w:rsidRPr="00E44760">
        <w:rPr>
          <w:rFonts w:ascii="Times New Roman" w:hAnsi="Times New Roman"/>
          <w:sz w:val="28"/>
          <w:szCs w:val="28"/>
        </w:rPr>
        <w:t>н</w:t>
      </w:r>
      <w:r w:rsidRPr="00E44760">
        <w:rPr>
          <w:rFonts w:ascii="Times New Roman" w:hAnsi="Times New Roman"/>
          <w:sz w:val="28"/>
          <w:szCs w:val="28"/>
        </w:rPr>
        <w:t>ных накоплений [10]</w:t>
      </w:r>
    </w:p>
    <w:p w:rsidR="00991A3C" w:rsidRPr="00E44760" w:rsidRDefault="00991A3C" w:rsidP="00304212">
      <w:pPr>
        <w:spacing w:after="0" w:line="240" w:lineRule="auto"/>
        <w:ind w:firstLine="680"/>
        <w:jc w:val="both"/>
        <w:rPr>
          <w:rFonts w:ascii="Times New Roman" w:hAnsi="Times New Roman"/>
          <w:sz w:val="28"/>
          <w:szCs w:val="28"/>
        </w:rPr>
      </w:pP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Важным условием развития пенсионного дела в России является  с</w:t>
      </w:r>
      <w:r w:rsidRPr="00E44760">
        <w:rPr>
          <w:rFonts w:ascii="Times New Roman" w:hAnsi="Times New Roman"/>
          <w:sz w:val="28"/>
          <w:szCs w:val="28"/>
        </w:rPr>
        <w:t>о</w:t>
      </w:r>
      <w:r w:rsidRPr="00E44760">
        <w:rPr>
          <w:rFonts w:ascii="Times New Roman" w:hAnsi="Times New Roman"/>
          <w:sz w:val="28"/>
          <w:szCs w:val="28"/>
        </w:rPr>
        <w:t>здание положительного имиджа деятельности НПФ. Основой для принятия инвестиционного решения о сотрудничестве с НПФ должно являться кач</w:t>
      </w:r>
      <w:r w:rsidRPr="00E44760">
        <w:rPr>
          <w:rFonts w:ascii="Times New Roman" w:hAnsi="Times New Roman"/>
          <w:sz w:val="28"/>
          <w:szCs w:val="28"/>
        </w:rPr>
        <w:t>е</w:t>
      </w:r>
      <w:r w:rsidRPr="00E44760">
        <w:rPr>
          <w:rFonts w:ascii="Times New Roman" w:hAnsi="Times New Roman"/>
          <w:sz w:val="28"/>
          <w:szCs w:val="28"/>
        </w:rPr>
        <w:t>ство его работы, измеряемое критериями объективной оценки.</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lastRenderedPageBreak/>
        <w:t xml:space="preserve">  Нами обоснован ряд критериев количественного и качественного характера для комплексного анализа фонда: состав учредителей, наличие внутреннего общественного контроля, накопленная доходность, колич</w:t>
      </w:r>
      <w:r w:rsidRPr="00E44760">
        <w:rPr>
          <w:rFonts w:ascii="Times New Roman" w:hAnsi="Times New Roman"/>
          <w:sz w:val="28"/>
          <w:szCs w:val="28"/>
        </w:rPr>
        <w:t>е</w:t>
      </w:r>
      <w:r w:rsidRPr="00E44760">
        <w:rPr>
          <w:rFonts w:ascii="Times New Roman" w:hAnsi="Times New Roman"/>
          <w:sz w:val="28"/>
          <w:szCs w:val="28"/>
        </w:rPr>
        <w:t xml:space="preserve">ство застрахованных лиц в фонде.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К первоочередным критериям выбора НПФ целесообразно отнести учре-</w:t>
      </w:r>
    </w:p>
    <w:p w:rsidR="00991A3C" w:rsidRPr="00E44760" w:rsidRDefault="00991A3C" w:rsidP="00663162">
      <w:pPr>
        <w:spacing w:after="0" w:line="360" w:lineRule="auto"/>
        <w:jc w:val="both"/>
        <w:rPr>
          <w:rFonts w:ascii="Times New Roman" w:hAnsi="Times New Roman"/>
          <w:sz w:val="28"/>
          <w:szCs w:val="28"/>
        </w:rPr>
      </w:pPr>
      <w:r w:rsidRPr="00E44760">
        <w:rPr>
          <w:rFonts w:ascii="Times New Roman" w:hAnsi="Times New Roman"/>
          <w:sz w:val="28"/>
          <w:szCs w:val="28"/>
        </w:rPr>
        <w:t>дительский состав. Действующие НПФ по критерию цели деятельности разделяются на две группы: одни создаются для обеспечения пенсионной поддержки сотрудников организации на уровне превышающем госуда</w:t>
      </w:r>
      <w:r w:rsidRPr="00E44760">
        <w:rPr>
          <w:rFonts w:ascii="Times New Roman" w:hAnsi="Times New Roman"/>
          <w:sz w:val="28"/>
          <w:szCs w:val="28"/>
        </w:rPr>
        <w:t>р</w:t>
      </w:r>
      <w:r w:rsidRPr="00E44760">
        <w:rPr>
          <w:rFonts w:ascii="Times New Roman" w:hAnsi="Times New Roman"/>
          <w:sz w:val="28"/>
          <w:szCs w:val="28"/>
        </w:rPr>
        <w:t>ственную пенсию (предприятия реального сектора экономики, профсою</w:t>
      </w:r>
      <w:r w:rsidRPr="00E44760">
        <w:rPr>
          <w:rFonts w:ascii="Times New Roman" w:hAnsi="Times New Roman"/>
          <w:sz w:val="28"/>
          <w:szCs w:val="28"/>
        </w:rPr>
        <w:t>з</w:t>
      </w:r>
      <w:r w:rsidRPr="00E44760">
        <w:rPr>
          <w:rFonts w:ascii="Times New Roman" w:hAnsi="Times New Roman"/>
          <w:sz w:val="28"/>
          <w:szCs w:val="28"/>
        </w:rPr>
        <w:t>ные и подобные им организации); другие осуществляют свою деятельность в коммерческих целях (частные лица, банки, коммерческие структуры, л</w:t>
      </w:r>
      <w:r w:rsidRPr="00E44760">
        <w:rPr>
          <w:rFonts w:ascii="Times New Roman" w:hAnsi="Times New Roman"/>
          <w:sz w:val="28"/>
          <w:szCs w:val="28"/>
        </w:rPr>
        <w:t>ю</w:t>
      </w:r>
      <w:r w:rsidRPr="00E44760">
        <w:rPr>
          <w:rFonts w:ascii="Times New Roman" w:hAnsi="Times New Roman"/>
          <w:sz w:val="28"/>
          <w:szCs w:val="28"/>
        </w:rPr>
        <w:t>бой учредитель в лице одного ООО). У коммерческих  фондов более агре</w:t>
      </w:r>
      <w:r w:rsidRPr="00E44760">
        <w:rPr>
          <w:rFonts w:ascii="Times New Roman" w:hAnsi="Times New Roman"/>
          <w:sz w:val="28"/>
          <w:szCs w:val="28"/>
        </w:rPr>
        <w:t>с</w:t>
      </w:r>
      <w:r w:rsidRPr="00E44760">
        <w:rPr>
          <w:rFonts w:ascii="Times New Roman" w:hAnsi="Times New Roman"/>
          <w:sz w:val="28"/>
          <w:szCs w:val="28"/>
        </w:rPr>
        <w:t>сивная рекламная и инвестиционная политика, активнее стимулируется работа агентов по сравнению с НПФ некоммерческой направленности.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Высокая рискованность деятельности НПФ при наличии одного либо нескольких доминирующих учредителей подтверждается опытом работы зарубежных фондов. На это обратил внимание еще в 1994 г. Дэвид Ка</w:t>
      </w:r>
      <w:r w:rsidRPr="00E44760">
        <w:rPr>
          <w:rFonts w:ascii="Times New Roman" w:hAnsi="Times New Roman"/>
          <w:sz w:val="28"/>
          <w:szCs w:val="28"/>
        </w:rPr>
        <w:t>л</w:t>
      </w:r>
      <w:r w:rsidRPr="00E44760">
        <w:rPr>
          <w:rFonts w:ascii="Times New Roman" w:hAnsi="Times New Roman"/>
          <w:sz w:val="28"/>
          <w:szCs w:val="28"/>
        </w:rPr>
        <w:t>лэнд - английский специалист по пенсионному реформированию.</w:t>
      </w:r>
    </w:p>
    <w:p w:rsidR="00991A3C" w:rsidRPr="00E44760" w:rsidRDefault="00991A3C" w:rsidP="00F53655">
      <w:pPr>
        <w:spacing w:after="0" w:line="360" w:lineRule="auto"/>
        <w:ind w:firstLine="680"/>
        <w:jc w:val="both"/>
        <w:rPr>
          <w:rFonts w:ascii="Times New Roman" w:hAnsi="Times New Roman"/>
          <w:sz w:val="28"/>
          <w:szCs w:val="28"/>
        </w:rPr>
      </w:pPr>
      <w:r w:rsidRPr="00E44760">
        <w:rPr>
          <w:rFonts w:ascii="Times New Roman" w:hAnsi="Times New Roman"/>
          <w:sz w:val="28"/>
          <w:szCs w:val="28"/>
        </w:rPr>
        <w:t>Возникает вопрос о добросовестности агентов фондов, которые н</w:t>
      </w:r>
      <w:r w:rsidRPr="00E44760">
        <w:rPr>
          <w:rFonts w:ascii="Times New Roman" w:hAnsi="Times New Roman"/>
          <w:sz w:val="28"/>
          <w:szCs w:val="28"/>
        </w:rPr>
        <w:t>е</w:t>
      </w:r>
      <w:r w:rsidRPr="00E44760">
        <w:rPr>
          <w:rFonts w:ascii="Times New Roman" w:hAnsi="Times New Roman"/>
          <w:sz w:val="28"/>
          <w:szCs w:val="28"/>
        </w:rPr>
        <w:t>редко, используя некомпетентность потенциальных вкладчиков, усилив</w:t>
      </w:r>
      <w:r w:rsidRPr="00E44760">
        <w:rPr>
          <w:rFonts w:ascii="Times New Roman" w:hAnsi="Times New Roman"/>
          <w:sz w:val="28"/>
          <w:szCs w:val="28"/>
        </w:rPr>
        <w:t>а</w:t>
      </w:r>
      <w:r w:rsidRPr="00E44760">
        <w:rPr>
          <w:rFonts w:ascii="Times New Roman" w:hAnsi="Times New Roman"/>
          <w:sz w:val="28"/>
          <w:szCs w:val="28"/>
        </w:rPr>
        <w:t>ют привлекательность НПФ использованием известных брендов. Напр</w:t>
      </w:r>
      <w:r w:rsidRPr="00E44760">
        <w:rPr>
          <w:rFonts w:ascii="Times New Roman" w:hAnsi="Times New Roman"/>
          <w:sz w:val="28"/>
          <w:szCs w:val="28"/>
        </w:rPr>
        <w:t>и</w:t>
      </w:r>
      <w:r w:rsidRPr="00E44760">
        <w:rPr>
          <w:rFonts w:ascii="Times New Roman" w:hAnsi="Times New Roman"/>
          <w:sz w:val="28"/>
          <w:szCs w:val="28"/>
        </w:rPr>
        <w:t>мер, агенты НПФ «КИТ Финанс», вводя в заблуждение своих клиентов, утверждают, что ОАО «РЖД» входит в состав учредителей фонда, что не соответствует действительности. Учредителем НПФ «КИТ Финанс» явл</w:t>
      </w:r>
      <w:r w:rsidRPr="00E44760">
        <w:rPr>
          <w:rFonts w:ascii="Times New Roman" w:hAnsi="Times New Roman"/>
          <w:sz w:val="28"/>
          <w:szCs w:val="28"/>
        </w:rPr>
        <w:t>я</w:t>
      </w:r>
      <w:r w:rsidRPr="00E44760">
        <w:rPr>
          <w:rFonts w:ascii="Times New Roman" w:hAnsi="Times New Roman"/>
          <w:sz w:val="28"/>
          <w:szCs w:val="28"/>
        </w:rPr>
        <w:t>ется ООО «КИТ Финанс пенсионный администратор» с учредительным капиталом всего 10 тыс. руб. Ранее это общество называлось «Профит и</w:t>
      </w:r>
      <w:r w:rsidRPr="00E44760">
        <w:rPr>
          <w:rFonts w:ascii="Times New Roman" w:hAnsi="Times New Roman"/>
          <w:sz w:val="28"/>
          <w:szCs w:val="28"/>
        </w:rPr>
        <w:t>н</w:t>
      </w:r>
      <w:r w:rsidRPr="00E44760">
        <w:rPr>
          <w:rFonts w:ascii="Times New Roman" w:hAnsi="Times New Roman"/>
          <w:sz w:val="28"/>
          <w:szCs w:val="28"/>
        </w:rPr>
        <w:t>вест». Доминирующем владельцем (99%) ООО «КИТ Финанс пенсионный администратор» является ООО "Техгаз [2].</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lastRenderedPageBreak/>
        <w:t>С 2004 г. в РФ были отозваны лицензии у 67 негосударственных пе</w:t>
      </w:r>
      <w:r w:rsidRPr="00E44760">
        <w:rPr>
          <w:rFonts w:ascii="Times New Roman" w:hAnsi="Times New Roman"/>
          <w:sz w:val="28"/>
          <w:szCs w:val="28"/>
        </w:rPr>
        <w:t>н</w:t>
      </w:r>
      <w:r w:rsidRPr="00E44760">
        <w:rPr>
          <w:rFonts w:ascii="Times New Roman" w:hAnsi="Times New Roman"/>
          <w:sz w:val="28"/>
          <w:szCs w:val="28"/>
        </w:rPr>
        <w:t xml:space="preserve">сионных фондов, в том числе с начала 2015г. Банк России приостановил деятельность семи НПФ - </w:t>
      </w:r>
      <w:r w:rsidRPr="00E44760">
        <w:rPr>
          <w:rFonts w:ascii="Times New Roman" w:hAnsi="Times New Roman"/>
          <w:sz w:val="28"/>
          <w:szCs w:val="28"/>
          <w:shd w:val="clear" w:color="auto" w:fill="FFFFFF"/>
        </w:rPr>
        <w:t>НПФ </w:t>
      </w:r>
      <w:hyperlink r:id="rId25" w:tgtFrame="_blank" w:history="1">
        <w:r w:rsidRPr="00E44760">
          <w:rPr>
            <w:rFonts w:ascii="Times New Roman" w:hAnsi="Times New Roman"/>
            <w:sz w:val="28"/>
            <w:szCs w:val="28"/>
            <w:shd w:val="clear" w:color="auto" w:fill="FFFFFF"/>
          </w:rPr>
          <w:t>«Солнце. Жизнь. Пенсия»</w:t>
        </w:r>
      </w:hyperlink>
      <w:r w:rsidRPr="00E44760">
        <w:rPr>
          <w:rFonts w:ascii="Times New Roman" w:hAnsi="Times New Roman"/>
          <w:sz w:val="28"/>
          <w:szCs w:val="28"/>
          <w:shd w:val="clear" w:color="auto" w:fill="FFFFFF"/>
        </w:rPr>
        <w:t>, </w:t>
      </w:r>
      <w:hyperlink r:id="rId26" w:tgtFrame="_blank" w:history="1">
        <w:r w:rsidRPr="00E44760">
          <w:rPr>
            <w:rFonts w:ascii="Times New Roman" w:hAnsi="Times New Roman"/>
            <w:sz w:val="28"/>
            <w:szCs w:val="28"/>
            <w:shd w:val="clear" w:color="auto" w:fill="FFFFFF"/>
          </w:rPr>
          <w:t>«Солнечное время»</w:t>
        </w:r>
      </w:hyperlink>
      <w:r w:rsidRPr="00E44760">
        <w:rPr>
          <w:rFonts w:ascii="Times New Roman" w:hAnsi="Times New Roman"/>
          <w:sz w:val="28"/>
          <w:szCs w:val="28"/>
          <w:shd w:val="clear" w:color="auto" w:fill="FFFFFF"/>
        </w:rPr>
        <w:t>, </w:t>
      </w:r>
      <w:hyperlink r:id="rId27" w:tgtFrame="_blank" w:history="1">
        <w:r w:rsidRPr="00E44760">
          <w:rPr>
            <w:rFonts w:ascii="Times New Roman" w:hAnsi="Times New Roman"/>
            <w:sz w:val="28"/>
            <w:szCs w:val="28"/>
            <w:shd w:val="clear" w:color="auto" w:fill="FFFFFF"/>
          </w:rPr>
          <w:t>«Защита будущего»</w:t>
        </w:r>
      </w:hyperlink>
      <w:r w:rsidRPr="00E44760">
        <w:rPr>
          <w:rFonts w:ascii="Times New Roman" w:hAnsi="Times New Roman"/>
          <w:sz w:val="28"/>
          <w:szCs w:val="28"/>
          <w:shd w:val="clear" w:color="auto" w:fill="FFFFFF"/>
        </w:rPr>
        <w:t>, </w:t>
      </w:r>
      <w:hyperlink r:id="rId28" w:tgtFrame="_blank" w:history="1">
        <w:r w:rsidRPr="00E44760">
          <w:rPr>
            <w:rFonts w:ascii="Times New Roman" w:hAnsi="Times New Roman"/>
            <w:sz w:val="28"/>
            <w:szCs w:val="28"/>
            <w:shd w:val="clear" w:color="auto" w:fill="FFFFFF"/>
          </w:rPr>
          <w:t>«Уралоборонзаводский»</w:t>
        </w:r>
      </w:hyperlink>
      <w:r w:rsidRPr="00E44760">
        <w:rPr>
          <w:rFonts w:ascii="Times New Roman" w:hAnsi="Times New Roman"/>
          <w:sz w:val="28"/>
          <w:szCs w:val="28"/>
        </w:rPr>
        <w:t>,</w:t>
      </w:r>
      <w:r w:rsidRPr="00E44760">
        <w:rPr>
          <w:rFonts w:ascii="Times New Roman" w:hAnsi="Times New Roman"/>
          <w:sz w:val="28"/>
          <w:szCs w:val="28"/>
          <w:shd w:val="clear" w:color="auto" w:fill="FFFFFF"/>
        </w:rPr>
        <w:t> </w:t>
      </w:r>
      <w:hyperlink r:id="rId29" w:tgtFrame="_blank" w:history="1">
        <w:r w:rsidRPr="00E44760">
          <w:rPr>
            <w:rFonts w:ascii="Times New Roman" w:hAnsi="Times New Roman"/>
            <w:sz w:val="28"/>
            <w:szCs w:val="28"/>
            <w:shd w:val="clear" w:color="auto" w:fill="FFFFFF"/>
          </w:rPr>
          <w:t>«Адекта-Пенсия»</w:t>
        </w:r>
      </w:hyperlink>
      <w:r w:rsidRPr="00E44760">
        <w:rPr>
          <w:rFonts w:ascii="Times New Roman" w:hAnsi="Times New Roman"/>
          <w:sz w:val="28"/>
          <w:szCs w:val="28"/>
          <w:shd w:val="clear" w:color="auto" w:fill="FFFFFF"/>
        </w:rPr>
        <w:t>, а также</w:t>
      </w:r>
      <w:hyperlink r:id="rId30" w:tgtFrame="_blank" w:history="1">
        <w:r w:rsidRPr="00E44760">
          <w:rPr>
            <w:rFonts w:ascii="Times New Roman" w:hAnsi="Times New Roman"/>
            <w:sz w:val="28"/>
            <w:szCs w:val="28"/>
            <w:shd w:val="clear" w:color="auto" w:fill="FFFFFF"/>
          </w:rPr>
          <w:t>«Сберегательный фонд "Солнечный берег"»</w:t>
        </w:r>
      </w:hyperlink>
      <w:r w:rsidRPr="00E44760">
        <w:rPr>
          <w:rFonts w:ascii="Times New Roman" w:hAnsi="Times New Roman"/>
          <w:sz w:val="28"/>
          <w:szCs w:val="28"/>
          <w:shd w:val="clear" w:color="auto" w:fill="FFFFFF"/>
        </w:rPr>
        <w:t> и </w:t>
      </w:r>
      <w:hyperlink r:id="rId31" w:tgtFrame="_blank" w:history="1">
        <w:r w:rsidRPr="00E44760">
          <w:rPr>
            <w:rFonts w:ascii="Times New Roman" w:hAnsi="Times New Roman"/>
            <w:sz w:val="28"/>
            <w:szCs w:val="28"/>
            <w:shd w:val="clear" w:color="auto" w:fill="FFFFFF"/>
          </w:rPr>
          <w:t>«Сберегательный»</w:t>
        </w:r>
      </w:hyperlink>
      <w:r w:rsidRPr="00E44760">
        <w:rPr>
          <w:rFonts w:ascii="Times New Roman" w:hAnsi="Times New Roman"/>
          <w:sz w:val="28"/>
          <w:szCs w:val="28"/>
          <w:shd w:val="clear" w:color="auto" w:fill="FFFFFF"/>
        </w:rPr>
        <w:t>.</w:t>
      </w:r>
      <w:r w:rsidRPr="00E44760">
        <w:rPr>
          <w:rFonts w:ascii="Times New Roman" w:hAnsi="Times New Roman"/>
          <w:sz w:val="28"/>
          <w:szCs w:val="28"/>
        </w:rPr>
        <w:t xml:space="preserve"> Статистика показывает, что их объединяло общая характеристика - нал</w:t>
      </w:r>
      <w:r w:rsidRPr="00E44760">
        <w:rPr>
          <w:rFonts w:ascii="Times New Roman" w:hAnsi="Times New Roman"/>
          <w:sz w:val="28"/>
          <w:szCs w:val="28"/>
        </w:rPr>
        <w:t>и</w:t>
      </w:r>
      <w:r w:rsidRPr="00E44760">
        <w:rPr>
          <w:rFonts w:ascii="Times New Roman" w:hAnsi="Times New Roman"/>
          <w:sz w:val="28"/>
          <w:szCs w:val="28"/>
        </w:rPr>
        <w:t xml:space="preserve">чие одного учредителя, либо доминирующее положение одного из них.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 xml:space="preserve"> Следовательно, при выборе НПФ обязательно необходимо обратить вни-</w:t>
      </w:r>
    </w:p>
    <w:p w:rsidR="00991A3C" w:rsidRPr="00E44760" w:rsidRDefault="00991A3C" w:rsidP="00663162">
      <w:pPr>
        <w:spacing w:after="0" w:line="360" w:lineRule="auto"/>
        <w:jc w:val="both"/>
        <w:rPr>
          <w:rFonts w:ascii="Times New Roman" w:hAnsi="Times New Roman"/>
          <w:sz w:val="28"/>
          <w:szCs w:val="28"/>
        </w:rPr>
      </w:pPr>
      <w:r w:rsidRPr="00E44760">
        <w:rPr>
          <w:rFonts w:ascii="Times New Roman" w:hAnsi="Times New Roman"/>
          <w:sz w:val="28"/>
          <w:szCs w:val="28"/>
        </w:rPr>
        <w:t xml:space="preserve">мание на наличие нескольких равноценных учредителей. Это значительно повышает надежность НПФ в долгосрочной перспективе.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 xml:space="preserve">Немаловажное значение для обеспечения стабильной работы, по нашему </w:t>
      </w:r>
    </w:p>
    <w:p w:rsidR="00991A3C" w:rsidRPr="00E44760" w:rsidRDefault="00991A3C" w:rsidP="0023581E">
      <w:pPr>
        <w:spacing w:after="0" w:line="360" w:lineRule="auto"/>
        <w:jc w:val="both"/>
        <w:rPr>
          <w:rFonts w:ascii="Times New Roman" w:hAnsi="Times New Roman"/>
          <w:sz w:val="28"/>
          <w:szCs w:val="28"/>
        </w:rPr>
      </w:pPr>
      <w:r w:rsidRPr="00E44760">
        <w:rPr>
          <w:rFonts w:ascii="Times New Roman" w:hAnsi="Times New Roman"/>
          <w:sz w:val="28"/>
          <w:szCs w:val="28"/>
        </w:rPr>
        <w:t>мнению, имеет наличие внутреннего общественного контроля над де</w:t>
      </w:r>
      <w:r w:rsidRPr="00E44760">
        <w:rPr>
          <w:rFonts w:ascii="Times New Roman" w:hAnsi="Times New Roman"/>
          <w:sz w:val="28"/>
          <w:szCs w:val="28"/>
        </w:rPr>
        <w:t>я</w:t>
      </w:r>
      <w:r w:rsidRPr="00E44760">
        <w:rPr>
          <w:rFonts w:ascii="Times New Roman" w:hAnsi="Times New Roman"/>
          <w:sz w:val="28"/>
          <w:szCs w:val="28"/>
        </w:rPr>
        <w:t>тельностью НПФ. Высокий уровень контроля обеспечивают профсоюзные организации учредителей, основной целью которых является улучшение социального обеспечения и защиты своих работников в процессе трудовой деятельности и при достижении ими пенсионного возраста. Данные табл</w:t>
      </w:r>
      <w:r w:rsidRPr="00E44760">
        <w:rPr>
          <w:rFonts w:ascii="Times New Roman" w:hAnsi="Times New Roman"/>
          <w:sz w:val="28"/>
          <w:szCs w:val="28"/>
        </w:rPr>
        <w:t>и</w:t>
      </w:r>
      <w:r w:rsidRPr="00E44760">
        <w:rPr>
          <w:rFonts w:ascii="Times New Roman" w:hAnsi="Times New Roman"/>
          <w:sz w:val="28"/>
          <w:szCs w:val="28"/>
        </w:rPr>
        <w:t>цы 2 подтверждают сделанный вывод: из десяти лучших по показателю накопленной доходности НПФ только</w:t>
      </w:r>
      <w:r w:rsidRPr="00E44760">
        <w:t xml:space="preserve"> </w:t>
      </w:r>
      <w:r w:rsidRPr="00E44760">
        <w:rPr>
          <w:rFonts w:ascii="Times New Roman" w:hAnsi="Times New Roman"/>
          <w:sz w:val="28"/>
          <w:szCs w:val="28"/>
        </w:rPr>
        <w:t>УК ВЭБ в период 2009-2014гг. пок</w:t>
      </w:r>
      <w:r w:rsidRPr="00E44760">
        <w:rPr>
          <w:rFonts w:ascii="Times New Roman" w:hAnsi="Times New Roman"/>
          <w:sz w:val="28"/>
          <w:szCs w:val="28"/>
        </w:rPr>
        <w:t>а</w:t>
      </w:r>
      <w:r w:rsidRPr="00E44760">
        <w:rPr>
          <w:rFonts w:ascii="Times New Roman" w:hAnsi="Times New Roman"/>
          <w:sz w:val="28"/>
          <w:szCs w:val="28"/>
        </w:rPr>
        <w:t>зало результат ниже значения инфляции.</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Для оценки эффективности НПФ также необходимо учитывать накопленную доходность  от инвестирования накопительной части пенсии. Особое внимание необходимо обратить на доходность последних лет раб</w:t>
      </w:r>
      <w:r w:rsidRPr="00E44760">
        <w:rPr>
          <w:rFonts w:ascii="Times New Roman" w:hAnsi="Times New Roman"/>
          <w:sz w:val="28"/>
          <w:szCs w:val="28"/>
        </w:rPr>
        <w:t>о</w:t>
      </w:r>
      <w:r w:rsidRPr="00E44760">
        <w:rPr>
          <w:rFonts w:ascii="Times New Roman" w:hAnsi="Times New Roman"/>
          <w:sz w:val="28"/>
          <w:szCs w:val="28"/>
        </w:rPr>
        <w:t>ты НПФ, ее превышение над уровнем инфляции, использование в сравн</w:t>
      </w:r>
      <w:r w:rsidRPr="00E44760">
        <w:rPr>
          <w:rFonts w:ascii="Times New Roman" w:hAnsi="Times New Roman"/>
          <w:sz w:val="28"/>
          <w:szCs w:val="28"/>
        </w:rPr>
        <w:t>и</w:t>
      </w:r>
      <w:r w:rsidRPr="00E44760">
        <w:rPr>
          <w:rFonts w:ascii="Times New Roman" w:hAnsi="Times New Roman"/>
          <w:sz w:val="28"/>
          <w:szCs w:val="28"/>
        </w:rPr>
        <w:t>тельном анализе сопоставимых временных периодов. Из материалов р</w:t>
      </w:r>
      <w:r w:rsidRPr="00E44760">
        <w:rPr>
          <w:rFonts w:ascii="Times New Roman" w:hAnsi="Times New Roman"/>
          <w:sz w:val="28"/>
          <w:szCs w:val="28"/>
        </w:rPr>
        <w:t>и</w:t>
      </w:r>
      <w:r w:rsidRPr="00E44760">
        <w:rPr>
          <w:rFonts w:ascii="Times New Roman" w:hAnsi="Times New Roman"/>
          <w:sz w:val="28"/>
          <w:szCs w:val="28"/>
        </w:rPr>
        <w:t>сунка 3 видно, что НПФ в исследуемом периоде показали доходность в</w:t>
      </w:r>
      <w:r w:rsidRPr="00E44760">
        <w:rPr>
          <w:rFonts w:ascii="Times New Roman" w:hAnsi="Times New Roman"/>
          <w:sz w:val="28"/>
          <w:szCs w:val="28"/>
        </w:rPr>
        <w:t>ы</w:t>
      </w:r>
      <w:r w:rsidRPr="00E44760">
        <w:rPr>
          <w:rFonts w:ascii="Times New Roman" w:hAnsi="Times New Roman"/>
          <w:sz w:val="28"/>
          <w:szCs w:val="28"/>
        </w:rPr>
        <w:t>ше уровня инфляции: в 2009-2014 гг. накопленная доходность НПФ сост</w:t>
      </w:r>
      <w:r w:rsidRPr="00E44760">
        <w:rPr>
          <w:rFonts w:ascii="Times New Roman" w:hAnsi="Times New Roman"/>
          <w:sz w:val="28"/>
          <w:szCs w:val="28"/>
        </w:rPr>
        <w:t>а</w:t>
      </w:r>
      <w:r w:rsidRPr="00E44760">
        <w:rPr>
          <w:rFonts w:ascii="Times New Roman" w:hAnsi="Times New Roman"/>
          <w:sz w:val="28"/>
          <w:szCs w:val="28"/>
        </w:rPr>
        <w:lastRenderedPageBreak/>
        <w:t>вила 60%, накопленная инфляция –</w:t>
      </w:r>
      <w:r w:rsidR="00DE7A8B">
        <w:rPr>
          <w:noProof/>
          <w:lang w:eastAsia="ru-RU"/>
        </w:rPr>
        <w:pict>
          <v:shape id="Рисунок 6" o:spid="_x0000_i1027" type="#_x0000_t75" style="width:448pt;height:222pt;visibility:visible">
            <v:imagedata r:id="rId32" o:title=""/>
          </v:shape>
        </w:pict>
      </w:r>
      <w:r w:rsidRPr="00E44760">
        <w:rPr>
          <w:noProof/>
          <w:lang w:eastAsia="ru-RU"/>
        </w:rPr>
        <w:t xml:space="preserve">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Рисунок 3 – Динамика накопленной доходности [15]</w:t>
      </w:r>
    </w:p>
    <w:p w:rsidR="00991A3C" w:rsidRPr="00E44760" w:rsidRDefault="00991A3C" w:rsidP="00663162">
      <w:pPr>
        <w:spacing w:after="0" w:line="360" w:lineRule="auto"/>
        <w:jc w:val="both"/>
        <w:rPr>
          <w:rFonts w:ascii="Times New Roman" w:hAnsi="Times New Roman"/>
          <w:sz w:val="28"/>
          <w:szCs w:val="28"/>
        </w:rPr>
      </w:pPr>
      <w:r w:rsidRPr="00E44760">
        <w:rPr>
          <w:rFonts w:ascii="Times New Roman" w:hAnsi="Times New Roman"/>
          <w:sz w:val="28"/>
          <w:szCs w:val="28"/>
        </w:rPr>
        <w:t>58,8%, доходность ВЭБ по расширенному портфелю – 48,8%, доходность ВЭБ по портфелю государственных ценных бумаг – 37,6%.</w:t>
      </w:r>
      <w:r w:rsidRPr="00E44760">
        <w:t xml:space="preserve"> </w:t>
      </w:r>
      <w:r w:rsidRPr="00E44760">
        <w:rPr>
          <w:rFonts w:ascii="Times New Roman" w:hAnsi="Times New Roman"/>
          <w:sz w:val="28"/>
          <w:szCs w:val="28"/>
        </w:rPr>
        <w:t>Получение корректных результатов осложняется отсутствием единой законодательно установленной и обоснованной методики расчета и сравнения доходности.</w:t>
      </w:r>
      <w:r w:rsidRPr="00E44760">
        <w:t xml:space="preserve">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Наши исследования выявили наличие взаимосвязи между показат</w:t>
      </w:r>
      <w:r w:rsidRPr="00E44760">
        <w:rPr>
          <w:rFonts w:ascii="Times New Roman" w:hAnsi="Times New Roman"/>
          <w:sz w:val="28"/>
          <w:szCs w:val="28"/>
        </w:rPr>
        <w:t>е</w:t>
      </w:r>
      <w:r w:rsidRPr="00E44760">
        <w:rPr>
          <w:rFonts w:ascii="Times New Roman" w:hAnsi="Times New Roman"/>
          <w:sz w:val="28"/>
          <w:szCs w:val="28"/>
        </w:rPr>
        <w:t>лями объемов накопленной доходности и количеством клиентов фонда: с ростом количества клиентов уровень накопленной доходности снижается, что объясняется более медленным приростом доходов от инвестирования по сравнению с объемом инвестиций и числом клиентов. По данным</w:t>
      </w:r>
      <w:r w:rsidRPr="00E44760">
        <w:t xml:space="preserve"> </w:t>
      </w:r>
      <w:r w:rsidRPr="00E44760">
        <w:rPr>
          <w:rFonts w:ascii="Times New Roman" w:hAnsi="Times New Roman"/>
          <w:sz w:val="28"/>
          <w:szCs w:val="28"/>
        </w:rPr>
        <w:t>Ме</w:t>
      </w:r>
      <w:r w:rsidRPr="00E44760">
        <w:rPr>
          <w:rFonts w:ascii="Times New Roman" w:hAnsi="Times New Roman"/>
          <w:sz w:val="28"/>
          <w:szCs w:val="28"/>
        </w:rPr>
        <w:t>ж</w:t>
      </w:r>
      <w:r w:rsidRPr="00E44760">
        <w:rPr>
          <w:rFonts w:ascii="Times New Roman" w:hAnsi="Times New Roman"/>
          <w:sz w:val="28"/>
          <w:szCs w:val="28"/>
        </w:rPr>
        <w:t xml:space="preserve">дународной группы рейтинговых агентств RAEX в период 2011-2014гг. количество застрахованных НПФ лиц возросло более чем в 20 тыс. раз, а показатель накопленной доходности вырос примерно в три раза. В связи с этим при анализе рекламных акций НПФ необходимо обращать внимание на период получения указанной доходности и количество застрахованных лиц в динамике.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 xml:space="preserve">Важным моментом является учет соотношения риск-доходность. Практика работы НПФ показывает, что при выборе НПФ более низкие </w:t>
      </w:r>
      <w:r w:rsidRPr="00E44760">
        <w:rPr>
          <w:rFonts w:ascii="Times New Roman" w:hAnsi="Times New Roman"/>
          <w:sz w:val="28"/>
          <w:szCs w:val="28"/>
        </w:rPr>
        <w:lastRenderedPageBreak/>
        <w:t>значения доходности компенсируются его высокой надежностью. В сра</w:t>
      </w:r>
      <w:r w:rsidRPr="00E44760">
        <w:rPr>
          <w:rFonts w:ascii="Times New Roman" w:hAnsi="Times New Roman"/>
          <w:sz w:val="28"/>
          <w:szCs w:val="28"/>
        </w:rPr>
        <w:t>в</w:t>
      </w:r>
      <w:r w:rsidRPr="00E44760">
        <w:rPr>
          <w:rFonts w:ascii="Times New Roman" w:hAnsi="Times New Roman"/>
          <w:sz w:val="28"/>
          <w:szCs w:val="28"/>
        </w:rPr>
        <w:t xml:space="preserve">нении с УК «ВЭБ» НПФ по показателю доходности, как правило, выглядят более привлекательно, при этом по надежности НПФ находятся на более низком уровне. Содержание предложенных критериев и их характеристика раскрываются данными таблицы </w:t>
      </w:r>
    </w:p>
    <w:p w:rsidR="00991A3C" w:rsidRPr="00E44760" w:rsidRDefault="00991A3C" w:rsidP="00DB3457">
      <w:pPr>
        <w:spacing w:after="0" w:line="360" w:lineRule="auto"/>
        <w:jc w:val="both"/>
        <w:rPr>
          <w:rFonts w:ascii="Times New Roman" w:hAnsi="Times New Roman"/>
          <w:sz w:val="28"/>
          <w:szCs w:val="28"/>
        </w:rPr>
      </w:pPr>
      <w:r w:rsidRPr="00E44760">
        <w:rPr>
          <w:rFonts w:ascii="Times New Roman" w:hAnsi="Times New Roman"/>
          <w:sz w:val="28"/>
          <w:szCs w:val="28"/>
        </w:rPr>
        <w:t>3 .</w:t>
      </w:r>
    </w:p>
    <w:p w:rsidR="00991A3C" w:rsidRPr="00E44760" w:rsidRDefault="00991A3C" w:rsidP="000F3CDC">
      <w:pPr>
        <w:spacing w:after="0" w:line="240" w:lineRule="auto"/>
        <w:jc w:val="both"/>
        <w:rPr>
          <w:rFonts w:ascii="Times New Roman" w:hAnsi="Times New Roman"/>
          <w:sz w:val="28"/>
          <w:szCs w:val="28"/>
        </w:rPr>
      </w:pPr>
    </w:p>
    <w:p w:rsidR="00991A3C" w:rsidRPr="00E44760" w:rsidRDefault="00991A3C" w:rsidP="00544B1F">
      <w:pPr>
        <w:spacing w:after="0" w:line="360" w:lineRule="auto"/>
        <w:jc w:val="both"/>
        <w:rPr>
          <w:rFonts w:ascii="Times New Roman" w:hAnsi="Times New Roman"/>
          <w:sz w:val="28"/>
          <w:szCs w:val="28"/>
        </w:rPr>
      </w:pPr>
      <w:r w:rsidRPr="00E44760">
        <w:rPr>
          <w:rFonts w:ascii="Times New Roman" w:hAnsi="Times New Roman"/>
          <w:sz w:val="28"/>
          <w:szCs w:val="28"/>
        </w:rPr>
        <w:t>Таблица 3 – Критерии объективной оценки деятельности НПФ</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8"/>
        <w:gridCol w:w="3746"/>
        <w:gridCol w:w="4073"/>
      </w:tblGrid>
      <w:tr w:rsidR="00991A3C" w:rsidRPr="009C1324" w:rsidTr="009C1324">
        <w:tc>
          <w:tcPr>
            <w:tcW w:w="1928"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Критерий</w:t>
            </w:r>
          </w:p>
        </w:tc>
        <w:tc>
          <w:tcPr>
            <w:tcW w:w="3746"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Характер влияния на резул</w:t>
            </w:r>
            <w:r w:rsidRPr="009C1324">
              <w:rPr>
                <w:rFonts w:ascii="Times New Roman" w:hAnsi="Times New Roman"/>
                <w:sz w:val="28"/>
                <w:szCs w:val="28"/>
              </w:rPr>
              <w:t>ь</w:t>
            </w:r>
            <w:r w:rsidRPr="009C1324">
              <w:rPr>
                <w:rFonts w:ascii="Times New Roman" w:hAnsi="Times New Roman"/>
                <w:sz w:val="28"/>
                <w:szCs w:val="28"/>
              </w:rPr>
              <w:t>таты работы фонда</w:t>
            </w:r>
          </w:p>
        </w:tc>
        <w:tc>
          <w:tcPr>
            <w:tcW w:w="4073"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Инструмент оценки</w:t>
            </w:r>
          </w:p>
        </w:tc>
      </w:tr>
      <w:tr w:rsidR="00991A3C" w:rsidRPr="009C1324" w:rsidTr="009C1324">
        <w:tc>
          <w:tcPr>
            <w:tcW w:w="1928"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1</w:t>
            </w:r>
          </w:p>
        </w:tc>
        <w:tc>
          <w:tcPr>
            <w:tcW w:w="3746"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2</w:t>
            </w:r>
          </w:p>
        </w:tc>
        <w:tc>
          <w:tcPr>
            <w:tcW w:w="4073"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3</w:t>
            </w:r>
          </w:p>
        </w:tc>
      </w:tr>
      <w:tr w:rsidR="00991A3C" w:rsidRPr="009C1324" w:rsidTr="009C1324">
        <w:tc>
          <w:tcPr>
            <w:tcW w:w="1928" w:type="dxa"/>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Состав учр</w:t>
            </w:r>
            <w:r w:rsidRPr="009C1324">
              <w:rPr>
                <w:rFonts w:ascii="Times New Roman" w:hAnsi="Times New Roman"/>
                <w:sz w:val="28"/>
                <w:szCs w:val="28"/>
              </w:rPr>
              <w:t>е</w:t>
            </w:r>
            <w:r w:rsidRPr="009C1324">
              <w:rPr>
                <w:rFonts w:ascii="Times New Roman" w:hAnsi="Times New Roman"/>
                <w:sz w:val="28"/>
                <w:szCs w:val="28"/>
              </w:rPr>
              <w:t>дителей</w:t>
            </w:r>
          </w:p>
        </w:tc>
        <w:tc>
          <w:tcPr>
            <w:tcW w:w="3746" w:type="dxa"/>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Взаимный контроль н</w:t>
            </w:r>
            <w:r w:rsidRPr="009C1324">
              <w:rPr>
                <w:rFonts w:ascii="Times New Roman" w:hAnsi="Times New Roman"/>
                <w:sz w:val="28"/>
                <w:szCs w:val="28"/>
              </w:rPr>
              <w:t>е</w:t>
            </w:r>
            <w:r w:rsidRPr="009C1324">
              <w:rPr>
                <w:rFonts w:ascii="Times New Roman" w:hAnsi="Times New Roman"/>
                <w:sz w:val="28"/>
                <w:szCs w:val="28"/>
              </w:rPr>
              <w:t>скольким учредителями п</w:t>
            </w:r>
            <w:r w:rsidRPr="009C1324">
              <w:rPr>
                <w:rFonts w:ascii="Times New Roman" w:hAnsi="Times New Roman"/>
                <w:sz w:val="28"/>
                <w:szCs w:val="28"/>
              </w:rPr>
              <w:t>о</w:t>
            </w:r>
            <w:r w:rsidRPr="009C1324">
              <w:rPr>
                <w:rFonts w:ascii="Times New Roman" w:hAnsi="Times New Roman"/>
                <w:sz w:val="28"/>
                <w:szCs w:val="28"/>
              </w:rPr>
              <w:t>вышает надежность фонда</w:t>
            </w:r>
          </w:p>
        </w:tc>
        <w:tc>
          <w:tcPr>
            <w:tcW w:w="4073" w:type="dxa"/>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Число равноценных учредит</w:t>
            </w:r>
            <w:r w:rsidRPr="009C1324">
              <w:rPr>
                <w:rFonts w:ascii="Times New Roman" w:hAnsi="Times New Roman"/>
                <w:sz w:val="28"/>
                <w:szCs w:val="28"/>
              </w:rPr>
              <w:t>е</w:t>
            </w:r>
            <w:r w:rsidRPr="009C1324">
              <w:rPr>
                <w:rFonts w:ascii="Times New Roman" w:hAnsi="Times New Roman"/>
                <w:sz w:val="28"/>
                <w:szCs w:val="28"/>
              </w:rPr>
              <w:t>лей, наличие среди них про</w:t>
            </w:r>
            <w:r w:rsidRPr="009C1324">
              <w:rPr>
                <w:rFonts w:ascii="Times New Roman" w:hAnsi="Times New Roman"/>
                <w:sz w:val="28"/>
                <w:szCs w:val="28"/>
              </w:rPr>
              <w:t>ф</w:t>
            </w:r>
            <w:r w:rsidRPr="009C1324">
              <w:rPr>
                <w:rFonts w:ascii="Times New Roman" w:hAnsi="Times New Roman"/>
                <w:sz w:val="28"/>
                <w:szCs w:val="28"/>
              </w:rPr>
              <w:t>союзных организаций</w:t>
            </w:r>
          </w:p>
        </w:tc>
      </w:tr>
      <w:tr w:rsidR="00991A3C" w:rsidRPr="009C1324" w:rsidTr="009C1324">
        <w:tc>
          <w:tcPr>
            <w:tcW w:w="1928" w:type="dxa"/>
            <w:tcBorders>
              <w:bottom w:val="nil"/>
            </w:tcBorders>
          </w:tcPr>
          <w:p w:rsidR="00991A3C" w:rsidRPr="009C1324" w:rsidRDefault="00991A3C" w:rsidP="009C1324">
            <w:pPr>
              <w:spacing w:after="0" w:line="240" w:lineRule="auto"/>
              <w:ind w:left="-142"/>
              <w:jc w:val="both"/>
              <w:rPr>
                <w:rFonts w:ascii="Times New Roman" w:hAnsi="Times New Roman"/>
                <w:sz w:val="28"/>
                <w:szCs w:val="28"/>
              </w:rPr>
            </w:pPr>
            <w:r w:rsidRPr="009C1324">
              <w:rPr>
                <w:rFonts w:ascii="Times New Roman" w:hAnsi="Times New Roman"/>
                <w:sz w:val="28"/>
                <w:szCs w:val="28"/>
              </w:rPr>
              <w:t>Наличие вну</w:t>
            </w:r>
            <w:r w:rsidRPr="009C1324">
              <w:rPr>
                <w:rFonts w:ascii="Times New Roman" w:hAnsi="Times New Roman"/>
                <w:sz w:val="28"/>
                <w:szCs w:val="28"/>
              </w:rPr>
              <w:t>т</w:t>
            </w:r>
            <w:r w:rsidRPr="009C1324">
              <w:rPr>
                <w:rFonts w:ascii="Times New Roman" w:hAnsi="Times New Roman"/>
                <w:sz w:val="28"/>
                <w:szCs w:val="28"/>
              </w:rPr>
              <w:t>реннего общ</w:t>
            </w:r>
            <w:r w:rsidRPr="009C1324">
              <w:rPr>
                <w:rFonts w:ascii="Times New Roman" w:hAnsi="Times New Roman"/>
                <w:sz w:val="28"/>
                <w:szCs w:val="28"/>
              </w:rPr>
              <w:t>е</w:t>
            </w:r>
            <w:r w:rsidRPr="009C1324">
              <w:rPr>
                <w:rFonts w:ascii="Times New Roman" w:hAnsi="Times New Roman"/>
                <w:sz w:val="28"/>
                <w:szCs w:val="28"/>
              </w:rPr>
              <w:t>ственного ко</w:t>
            </w:r>
            <w:r w:rsidRPr="009C1324">
              <w:rPr>
                <w:rFonts w:ascii="Times New Roman" w:hAnsi="Times New Roman"/>
                <w:sz w:val="28"/>
                <w:szCs w:val="28"/>
              </w:rPr>
              <w:t>н</w:t>
            </w:r>
            <w:r w:rsidRPr="009C1324">
              <w:rPr>
                <w:rFonts w:ascii="Times New Roman" w:hAnsi="Times New Roman"/>
                <w:sz w:val="28"/>
                <w:szCs w:val="28"/>
              </w:rPr>
              <w:t>троля</w:t>
            </w:r>
          </w:p>
        </w:tc>
        <w:tc>
          <w:tcPr>
            <w:tcW w:w="3746" w:type="dxa"/>
            <w:tcBorders>
              <w:bottom w:val="nil"/>
            </w:tcBorders>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Система двойного контроля (со стороны учредителей и профсоюзных организаций) повышает надежность фонда</w:t>
            </w:r>
          </w:p>
        </w:tc>
        <w:tc>
          <w:tcPr>
            <w:tcW w:w="4073" w:type="dxa"/>
            <w:tcBorders>
              <w:bottom w:val="nil"/>
            </w:tcBorders>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Профсоюзная организации  я</w:t>
            </w:r>
            <w:r w:rsidRPr="009C1324">
              <w:rPr>
                <w:rFonts w:ascii="Times New Roman" w:hAnsi="Times New Roman"/>
                <w:sz w:val="28"/>
                <w:szCs w:val="28"/>
              </w:rPr>
              <w:t>в</w:t>
            </w:r>
            <w:r w:rsidRPr="009C1324">
              <w:rPr>
                <w:rFonts w:ascii="Times New Roman" w:hAnsi="Times New Roman"/>
                <w:sz w:val="28"/>
                <w:szCs w:val="28"/>
              </w:rPr>
              <w:t>ляется учредителем либо общ</w:t>
            </w:r>
            <w:r w:rsidRPr="009C1324">
              <w:rPr>
                <w:rFonts w:ascii="Times New Roman" w:hAnsi="Times New Roman"/>
                <w:sz w:val="28"/>
                <w:szCs w:val="28"/>
              </w:rPr>
              <w:t>е</w:t>
            </w:r>
            <w:r w:rsidRPr="009C1324">
              <w:rPr>
                <w:rFonts w:ascii="Times New Roman" w:hAnsi="Times New Roman"/>
                <w:sz w:val="28"/>
                <w:szCs w:val="28"/>
              </w:rPr>
              <w:t>ственным органом управления учредителя</w:t>
            </w:r>
          </w:p>
        </w:tc>
      </w:tr>
      <w:tr w:rsidR="00991A3C" w:rsidRPr="009C1324" w:rsidTr="009C1324">
        <w:tc>
          <w:tcPr>
            <w:tcW w:w="1928" w:type="dxa"/>
            <w:tcBorders>
              <w:bottom w:val="nil"/>
            </w:tcBorders>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Накопленная доходность</w:t>
            </w:r>
          </w:p>
        </w:tc>
        <w:tc>
          <w:tcPr>
            <w:tcW w:w="3746" w:type="dxa"/>
            <w:tcBorders>
              <w:bottom w:val="nil"/>
            </w:tcBorders>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Отражает результаты работы фонда, высокое абсолютное значение, динамический рост привлекают новых клиентов, что расширяет ресурсы фо</w:t>
            </w:r>
            <w:r w:rsidRPr="009C1324">
              <w:rPr>
                <w:rFonts w:ascii="Times New Roman" w:hAnsi="Times New Roman"/>
                <w:sz w:val="28"/>
                <w:szCs w:val="28"/>
              </w:rPr>
              <w:t>н</w:t>
            </w:r>
            <w:r w:rsidRPr="009C1324">
              <w:rPr>
                <w:rFonts w:ascii="Times New Roman" w:hAnsi="Times New Roman"/>
                <w:sz w:val="28"/>
                <w:szCs w:val="28"/>
              </w:rPr>
              <w:t>да</w:t>
            </w:r>
          </w:p>
        </w:tc>
        <w:tc>
          <w:tcPr>
            <w:tcW w:w="4073" w:type="dxa"/>
            <w:tcBorders>
              <w:bottom w:val="nil"/>
            </w:tcBorders>
          </w:tcPr>
          <w:p w:rsidR="00991A3C" w:rsidRPr="00E44760" w:rsidRDefault="00991A3C" w:rsidP="009C1324">
            <w:pPr>
              <w:pStyle w:val="headertext"/>
              <w:spacing w:before="0" w:beforeAutospacing="0" w:after="0" w:afterAutospacing="0"/>
              <w:jc w:val="both"/>
            </w:pPr>
            <w:r w:rsidRPr="00E44760">
              <w:t>В соответствии с порядком устано</w:t>
            </w:r>
            <w:r w:rsidRPr="00E44760">
              <w:t>в</w:t>
            </w:r>
            <w:r w:rsidRPr="00E44760">
              <w:t>ленным МФ РФ</w:t>
            </w:r>
          </w:p>
          <w:p w:rsidR="00991A3C" w:rsidRPr="00E44760" w:rsidRDefault="00991A3C" w:rsidP="009C1324">
            <w:pPr>
              <w:pStyle w:val="headertext"/>
              <w:spacing w:before="0" w:beforeAutospacing="0" w:after="0" w:afterAutospacing="0"/>
              <w:jc w:val="both"/>
            </w:pPr>
            <w:r w:rsidRPr="00E44760">
              <w:t>Приказом от 22 августа 2005 года N 107н «Об утверждении Стандартов раскрытия информации об инвест</w:t>
            </w:r>
            <w:r w:rsidRPr="00E44760">
              <w:t>и</w:t>
            </w:r>
            <w:r w:rsidRPr="00E44760">
              <w:t>ровании средств пенсионных нако</w:t>
            </w:r>
            <w:r w:rsidRPr="00E44760">
              <w:t>п</w:t>
            </w:r>
            <w:r w:rsidRPr="00E44760">
              <w:t xml:space="preserve">лений (с изменениями на 23.07.2015) </w:t>
            </w:r>
          </w:p>
        </w:tc>
      </w:tr>
      <w:tr w:rsidR="00991A3C" w:rsidRPr="009C1324" w:rsidTr="009C1324">
        <w:trPr>
          <w:trHeight w:val="289"/>
        </w:trPr>
        <w:tc>
          <w:tcPr>
            <w:tcW w:w="9747" w:type="dxa"/>
            <w:gridSpan w:val="3"/>
            <w:tcBorders>
              <w:top w:val="nil"/>
              <w:left w:val="nil"/>
              <w:right w:val="nil"/>
            </w:tcBorders>
          </w:tcPr>
          <w:p w:rsidR="00991A3C" w:rsidRPr="009C1324" w:rsidRDefault="00991A3C" w:rsidP="009C1324">
            <w:pPr>
              <w:spacing w:after="0" w:line="240" w:lineRule="auto"/>
              <w:jc w:val="right"/>
              <w:rPr>
                <w:rFonts w:ascii="Times New Roman" w:hAnsi="Times New Roman"/>
                <w:sz w:val="28"/>
                <w:szCs w:val="28"/>
              </w:rPr>
            </w:pPr>
            <w:r w:rsidRPr="009C1324">
              <w:rPr>
                <w:rFonts w:ascii="Times New Roman" w:hAnsi="Times New Roman"/>
                <w:sz w:val="28"/>
                <w:szCs w:val="28"/>
              </w:rPr>
              <w:t>Продолжение таблицы 3</w:t>
            </w:r>
          </w:p>
        </w:tc>
      </w:tr>
      <w:tr w:rsidR="00991A3C" w:rsidRPr="009C1324" w:rsidTr="009C1324">
        <w:trPr>
          <w:trHeight w:val="289"/>
        </w:trPr>
        <w:tc>
          <w:tcPr>
            <w:tcW w:w="1928"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1</w:t>
            </w:r>
          </w:p>
        </w:tc>
        <w:tc>
          <w:tcPr>
            <w:tcW w:w="3746"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2</w:t>
            </w:r>
          </w:p>
        </w:tc>
        <w:tc>
          <w:tcPr>
            <w:tcW w:w="4073" w:type="dxa"/>
          </w:tcPr>
          <w:p w:rsidR="00991A3C" w:rsidRPr="009C1324" w:rsidRDefault="00991A3C" w:rsidP="009C1324">
            <w:pPr>
              <w:spacing w:after="0" w:line="240" w:lineRule="auto"/>
              <w:jc w:val="center"/>
              <w:rPr>
                <w:rFonts w:ascii="Times New Roman" w:hAnsi="Times New Roman"/>
                <w:sz w:val="28"/>
                <w:szCs w:val="28"/>
              </w:rPr>
            </w:pPr>
            <w:r w:rsidRPr="009C1324">
              <w:rPr>
                <w:rFonts w:ascii="Times New Roman" w:hAnsi="Times New Roman"/>
                <w:sz w:val="28"/>
                <w:szCs w:val="28"/>
              </w:rPr>
              <w:t>3</w:t>
            </w:r>
          </w:p>
        </w:tc>
      </w:tr>
      <w:tr w:rsidR="00991A3C" w:rsidRPr="009C1324" w:rsidTr="009C1324">
        <w:trPr>
          <w:trHeight w:val="756"/>
        </w:trPr>
        <w:tc>
          <w:tcPr>
            <w:tcW w:w="1928" w:type="dxa"/>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Число лиц з</w:t>
            </w:r>
            <w:r w:rsidRPr="009C1324">
              <w:rPr>
                <w:rFonts w:ascii="Times New Roman" w:hAnsi="Times New Roman"/>
                <w:sz w:val="28"/>
                <w:szCs w:val="28"/>
              </w:rPr>
              <w:t>а</w:t>
            </w:r>
            <w:r w:rsidRPr="009C1324">
              <w:rPr>
                <w:rFonts w:ascii="Times New Roman" w:hAnsi="Times New Roman"/>
                <w:sz w:val="28"/>
                <w:szCs w:val="28"/>
              </w:rPr>
              <w:t xml:space="preserve">страхованных в фонде </w:t>
            </w:r>
          </w:p>
        </w:tc>
        <w:tc>
          <w:tcPr>
            <w:tcW w:w="3746" w:type="dxa"/>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С ростом числа застрахова</w:t>
            </w:r>
            <w:r w:rsidRPr="009C1324">
              <w:rPr>
                <w:rFonts w:ascii="Times New Roman" w:hAnsi="Times New Roman"/>
                <w:sz w:val="28"/>
                <w:szCs w:val="28"/>
              </w:rPr>
              <w:t>н</w:t>
            </w:r>
            <w:r w:rsidRPr="009C1324">
              <w:rPr>
                <w:rFonts w:ascii="Times New Roman" w:hAnsi="Times New Roman"/>
                <w:sz w:val="28"/>
                <w:szCs w:val="28"/>
              </w:rPr>
              <w:t>ных лиц расширяется р</w:t>
            </w:r>
            <w:r w:rsidRPr="009C1324">
              <w:rPr>
                <w:rFonts w:ascii="Times New Roman" w:hAnsi="Times New Roman"/>
                <w:sz w:val="28"/>
                <w:szCs w:val="28"/>
              </w:rPr>
              <w:t>е</w:t>
            </w:r>
            <w:r w:rsidRPr="009C1324">
              <w:rPr>
                <w:rFonts w:ascii="Times New Roman" w:hAnsi="Times New Roman"/>
                <w:sz w:val="28"/>
                <w:szCs w:val="28"/>
              </w:rPr>
              <w:t>сурсная база фонда, сниж</w:t>
            </w:r>
            <w:r w:rsidRPr="009C1324">
              <w:rPr>
                <w:rFonts w:ascii="Times New Roman" w:hAnsi="Times New Roman"/>
                <w:sz w:val="28"/>
                <w:szCs w:val="28"/>
              </w:rPr>
              <w:t>а</w:t>
            </w:r>
            <w:r w:rsidRPr="009C1324">
              <w:rPr>
                <w:rFonts w:ascii="Times New Roman" w:hAnsi="Times New Roman"/>
                <w:sz w:val="28"/>
                <w:szCs w:val="28"/>
              </w:rPr>
              <w:t>ется доходность ввиду пр</w:t>
            </w:r>
            <w:r w:rsidRPr="009C1324">
              <w:rPr>
                <w:rFonts w:ascii="Times New Roman" w:hAnsi="Times New Roman"/>
                <w:sz w:val="28"/>
                <w:szCs w:val="28"/>
              </w:rPr>
              <w:t>е</w:t>
            </w:r>
            <w:r w:rsidRPr="009C1324">
              <w:rPr>
                <w:rFonts w:ascii="Times New Roman" w:hAnsi="Times New Roman"/>
                <w:sz w:val="28"/>
                <w:szCs w:val="28"/>
              </w:rPr>
              <w:t>вышения темпов роста р</w:t>
            </w:r>
            <w:r w:rsidRPr="009C1324">
              <w:rPr>
                <w:rFonts w:ascii="Times New Roman" w:hAnsi="Times New Roman"/>
                <w:sz w:val="28"/>
                <w:szCs w:val="28"/>
              </w:rPr>
              <w:t>е</w:t>
            </w:r>
            <w:r w:rsidRPr="009C1324">
              <w:rPr>
                <w:rFonts w:ascii="Times New Roman" w:hAnsi="Times New Roman"/>
                <w:sz w:val="28"/>
                <w:szCs w:val="28"/>
              </w:rPr>
              <w:t>сурсов над темпами роста доходов от их размещения</w:t>
            </w:r>
          </w:p>
        </w:tc>
        <w:tc>
          <w:tcPr>
            <w:tcW w:w="4073" w:type="dxa"/>
          </w:tcPr>
          <w:p w:rsidR="00991A3C" w:rsidRPr="009C1324" w:rsidRDefault="00991A3C" w:rsidP="009C1324">
            <w:pPr>
              <w:spacing w:after="0" w:line="240" w:lineRule="auto"/>
              <w:jc w:val="both"/>
              <w:rPr>
                <w:rFonts w:ascii="Times New Roman" w:hAnsi="Times New Roman"/>
                <w:sz w:val="28"/>
                <w:szCs w:val="28"/>
              </w:rPr>
            </w:pPr>
            <w:r w:rsidRPr="009C1324">
              <w:rPr>
                <w:rFonts w:ascii="Times New Roman" w:hAnsi="Times New Roman"/>
                <w:sz w:val="28"/>
                <w:szCs w:val="28"/>
              </w:rPr>
              <w:t>Оценивать доходность в группе сопоставимых по темпам ра</w:t>
            </w:r>
            <w:r w:rsidRPr="009C1324">
              <w:rPr>
                <w:rFonts w:ascii="Times New Roman" w:hAnsi="Times New Roman"/>
                <w:sz w:val="28"/>
                <w:szCs w:val="28"/>
              </w:rPr>
              <w:t>з</w:t>
            </w:r>
            <w:r w:rsidRPr="009C1324">
              <w:rPr>
                <w:rFonts w:ascii="Times New Roman" w:hAnsi="Times New Roman"/>
                <w:sz w:val="28"/>
                <w:szCs w:val="28"/>
              </w:rPr>
              <w:t>вития фондов</w:t>
            </w:r>
          </w:p>
        </w:tc>
      </w:tr>
    </w:tbl>
    <w:p w:rsidR="00991A3C" w:rsidRPr="00E44760" w:rsidRDefault="00991A3C" w:rsidP="00EB6D87">
      <w:pPr>
        <w:widowControl w:val="0"/>
        <w:suppressAutoHyphens/>
        <w:autoSpaceDN w:val="0"/>
        <w:spacing w:after="0" w:line="360" w:lineRule="auto"/>
        <w:ind w:firstLine="567"/>
        <w:jc w:val="both"/>
        <w:textAlignment w:val="baseline"/>
        <w:rPr>
          <w:rFonts w:ascii="Times New Roman" w:hAnsi="Times New Roman"/>
          <w:kern w:val="3"/>
          <w:sz w:val="28"/>
          <w:szCs w:val="28"/>
          <w:lang w:eastAsia="zh-CN" w:bidi="hi-IN"/>
        </w:rPr>
      </w:pPr>
    </w:p>
    <w:p w:rsidR="00991A3C" w:rsidRPr="00E44760" w:rsidRDefault="00991A3C" w:rsidP="00EB6D87">
      <w:pPr>
        <w:widowControl w:val="0"/>
        <w:suppressAutoHyphens/>
        <w:autoSpaceDN w:val="0"/>
        <w:spacing w:after="0" w:line="360" w:lineRule="auto"/>
        <w:ind w:firstLine="567"/>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Успешность функционирования НПФ в значительной степени определяется  результатами деятельности управляющей компании (УК). Они являются основным элементом инфраструк</w:t>
      </w:r>
      <w:r w:rsidRPr="00E44760">
        <w:rPr>
          <w:rFonts w:ascii="Times New Roman" w:hAnsi="Times New Roman"/>
          <w:kern w:val="3"/>
          <w:sz w:val="28"/>
          <w:szCs w:val="28"/>
          <w:lang w:eastAsia="zh-CN" w:bidi="hi-IN"/>
        </w:rPr>
        <w:softHyphen/>
        <w:t xml:space="preserve">туры рынка коллективного </w:t>
      </w:r>
      <w:r w:rsidRPr="00E44760">
        <w:rPr>
          <w:rFonts w:ascii="Times New Roman" w:hAnsi="Times New Roman"/>
          <w:kern w:val="3"/>
          <w:sz w:val="28"/>
          <w:szCs w:val="28"/>
          <w:lang w:eastAsia="zh-CN" w:bidi="hi-IN"/>
        </w:rPr>
        <w:lastRenderedPageBreak/>
        <w:t>инвестирования, для которого характерны  развитие процессов концентрации капитала, повышения стабильности деятельности по показателям выданных и аннулированных лицензий по отношению к количеству работающих УК (табл. 4).</w:t>
      </w:r>
    </w:p>
    <w:p w:rsidR="00991A3C" w:rsidRPr="00E44760" w:rsidRDefault="00991A3C" w:rsidP="000F3CDC">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p>
    <w:p w:rsidR="00991A3C" w:rsidRPr="00E44760" w:rsidRDefault="00991A3C" w:rsidP="00EB6D87">
      <w:pPr>
        <w:widowControl w:val="0"/>
        <w:suppressAutoHyphens/>
        <w:autoSpaceDN w:val="0"/>
        <w:spacing w:after="0" w:line="36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Таблица 4  – Динамика количества Управляющих компаний, 2000-2015 гг. [8]</w:t>
      </w:r>
    </w:p>
    <w:tbl>
      <w:tblPr>
        <w:tblW w:w="9426" w:type="dxa"/>
        <w:tblInd w:w="-35" w:type="dxa"/>
        <w:tblLayout w:type="fixed"/>
        <w:tblCellMar>
          <w:left w:w="10" w:type="dxa"/>
          <w:right w:w="10" w:type="dxa"/>
        </w:tblCellMar>
        <w:tblLook w:val="0000" w:firstRow="0" w:lastRow="0" w:firstColumn="0" w:lastColumn="0" w:noHBand="0" w:noVBand="0"/>
      </w:tblPr>
      <w:tblGrid>
        <w:gridCol w:w="5163"/>
        <w:gridCol w:w="1643"/>
        <w:gridCol w:w="1559"/>
        <w:gridCol w:w="1061"/>
      </w:tblGrid>
      <w:tr w:rsidR="00991A3C" w:rsidRPr="009C1324" w:rsidTr="00EB6D87">
        <w:tc>
          <w:tcPr>
            <w:tcW w:w="5163"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EB6D87">
            <w:pPr>
              <w:widowControl w:val="0"/>
              <w:suppressAutoHyphens/>
              <w:autoSpaceDN w:val="0"/>
              <w:spacing w:after="0" w:line="36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Показатель</w:t>
            </w:r>
          </w:p>
        </w:tc>
        <w:tc>
          <w:tcPr>
            <w:tcW w:w="16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240" w:lineRule="auto"/>
              <w:ind w:left="-166" w:right="-153"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xml:space="preserve"> 01.01.2010 -</w:t>
            </w:r>
          </w:p>
          <w:p w:rsidR="00991A3C" w:rsidRPr="00E44760" w:rsidRDefault="00991A3C" w:rsidP="00EB6D87">
            <w:pPr>
              <w:widowControl w:val="0"/>
              <w:suppressAutoHyphens/>
              <w:autoSpaceDN w:val="0"/>
              <w:spacing w:after="0" w:line="240" w:lineRule="auto"/>
              <w:ind w:left="-166" w:right="-153"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01.12.2000 г.</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240" w:lineRule="auto"/>
              <w:ind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xml:space="preserve"> 01.01.2015-  01.12 2015г.</w:t>
            </w:r>
          </w:p>
        </w:tc>
        <w:tc>
          <w:tcPr>
            <w:tcW w:w="10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Изменение</w:t>
            </w:r>
          </w:p>
        </w:tc>
      </w:tr>
      <w:tr w:rsidR="00991A3C" w:rsidRPr="009C1324" w:rsidTr="00EB6D87">
        <w:trPr>
          <w:trHeight w:val="573"/>
        </w:trPr>
        <w:tc>
          <w:tcPr>
            <w:tcW w:w="51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Количество работающих УК, ед.</w:t>
            </w:r>
          </w:p>
        </w:tc>
        <w:tc>
          <w:tcPr>
            <w:tcW w:w="16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ind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453</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ind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380</w:t>
            </w:r>
          </w:p>
        </w:tc>
        <w:tc>
          <w:tcPr>
            <w:tcW w:w="10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- 73</w:t>
            </w:r>
          </w:p>
        </w:tc>
      </w:tr>
      <w:tr w:rsidR="00991A3C" w:rsidRPr="009C1324" w:rsidTr="00EB6D87">
        <w:tc>
          <w:tcPr>
            <w:tcW w:w="516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Выдано лицензий, ед.</w:t>
            </w:r>
          </w:p>
        </w:tc>
        <w:tc>
          <w:tcPr>
            <w:tcW w:w="16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ind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69</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ind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7</w:t>
            </w:r>
          </w:p>
        </w:tc>
        <w:tc>
          <w:tcPr>
            <w:tcW w:w="10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1A3C" w:rsidRPr="00E44760" w:rsidRDefault="00991A3C" w:rsidP="00EB6D87">
            <w:pPr>
              <w:widowControl w:val="0"/>
              <w:suppressAutoHyphens/>
              <w:autoSpaceDN w:val="0"/>
              <w:spacing w:after="0" w:line="36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- 62</w:t>
            </w:r>
          </w:p>
        </w:tc>
      </w:tr>
      <w:tr w:rsidR="00991A3C" w:rsidRPr="009C1324" w:rsidTr="00D807AD">
        <w:trPr>
          <w:trHeight w:val="395"/>
        </w:trPr>
        <w:tc>
          <w:tcPr>
            <w:tcW w:w="5163"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EB6D87">
            <w:pPr>
              <w:widowControl w:val="0"/>
              <w:suppressAutoHyphens/>
              <w:autoSpaceDN w:val="0"/>
              <w:spacing w:after="0" w:line="36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Аннулировано лицензий, ед.</w:t>
            </w:r>
          </w:p>
        </w:tc>
        <w:tc>
          <w:tcPr>
            <w:tcW w:w="1643"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EB6D87">
            <w:pPr>
              <w:widowControl w:val="0"/>
              <w:suppressAutoHyphens/>
              <w:autoSpaceDN w:val="0"/>
              <w:spacing w:after="0" w:line="360" w:lineRule="auto"/>
              <w:ind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73</w:t>
            </w:r>
          </w:p>
        </w:tc>
        <w:tc>
          <w:tcPr>
            <w:tcW w:w="1559"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EB6D87">
            <w:pPr>
              <w:widowControl w:val="0"/>
              <w:suppressAutoHyphens/>
              <w:autoSpaceDN w:val="0"/>
              <w:spacing w:after="0" w:line="360" w:lineRule="auto"/>
              <w:ind w:hanging="7"/>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29</w:t>
            </w:r>
          </w:p>
        </w:tc>
        <w:tc>
          <w:tcPr>
            <w:tcW w:w="10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1A3C" w:rsidRPr="00E44760" w:rsidRDefault="00991A3C" w:rsidP="00D807AD">
            <w:pPr>
              <w:widowControl w:val="0"/>
              <w:suppressAutoHyphens/>
              <w:autoSpaceDN w:val="0"/>
              <w:spacing w:after="0" w:line="36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- 44</w:t>
            </w:r>
          </w:p>
        </w:tc>
      </w:tr>
    </w:tbl>
    <w:p w:rsidR="00991A3C" w:rsidRPr="00E44760" w:rsidRDefault="00991A3C" w:rsidP="00EB6D87">
      <w:pPr>
        <w:widowControl w:val="0"/>
        <w:suppressAutoHyphens/>
        <w:autoSpaceDN w:val="0"/>
        <w:spacing w:after="0" w:line="360" w:lineRule="auto"/>
        <w:ind w:firstLine="360"/>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xml:space="preserve"> </w:t>
      </w:r>
    </w:p>
    <w:p w:rsidR="00991A3C" w:rsidRPr="00E44760" w:rsidRDefault="00991A3C" w:rsidP="00EB6D87">
      <w:pPr>
        <w:widowControl w:val="0"/>
        <w:suppressAutoHyphens/>
        <w:autoSpaceDN w:val="0"/>
        <w:spacing w:after="0" w:line="360" w:lineRule="auto"/>
        <w:ind w:firstLine="709"/>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Управляющие компании осуществляют свою деятельность в жесткой конку</w:t>
      </w:r>
      <w:r w:rsidRPr="00E44760">
        <w:rPr>
          <w:rFonts w:ascii="Times New Roman" w:hAnsi="Times New Roman"/>
          <w:kern w:val="3"/>
          <w:sz w:val="28"/>
          <w:szCs w:val="28"/>
          <w:lang w:eastAsia="zh-CN" w:bidi="hi-IN"/>
        </w:rPr>
        <w:softHyphen/>
        <w:t>рентной среде, что обязывает постоянно повышать качество услуг и усиливать индивидуализацию инвестиционного процесса.</w:t>
      </w:r>
    </w:p>
    <w:p w:rsidR="00991A3C" w:rsidRPr="00E44760" w:rsidRDefault="00991A3C" w:rsidP="00DE7A8B">
      <w:pPr>
        <w:widowControl w:val="0"/>
        <w:suppressAutoHyphens/>
        <w:autoSpaceDN w:val="0"/>
        <w:spacing w:after="0" w:line="396" w:lineRule="auto"/>
        <w:ind w:firstLine="709"/>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Выбор инвестором управляющей компании определяется множеством пока</w:t>
      </w:r>
      <w:r w:rsidRPr="00E44760">
        <w:rPr>
          <w:rFonts w:ascii="Times New Roman" w:hAnsi="Times New Roman"/>
          <w:kern w:val="3"/>
          <w:sz w:val="28"/>
          <w:szCs w:val="28"/>
          <w:lang w:eastAsia="zh-CN" w:bidi="hi-IN"/>
        </w:rPr>
        <w:softHyphen/>
        <w:t>зателей, среди которых эффективность ее работы является определяющим и имеет результирующее значение, формируемое многими факторами, на базе которых аналитические агентства, рейтинговые компании (РА) создают рейтинги УК. Большинство рейтин</w:t>
      </w:r>
      <w:r w:rsidRPr="00E44760">
        <w:rPr>
          <w:rFonts w:ascii="Times New Roman" w:hAnsi="Times New Roman"/>
          <w:kern w:val="3"/>
          <w:sz w:val="28"/>
          <w:szCs w:val="28"/>
          <w:lang w:eastAsia="zh-CN" w:bidi="hi-IN"/>
        </w:rPr>
        <w:softHyphen/>
        <w:t>гов основывается на значениях следующих показателей: надежность УК, величи</w:t>
      </w:r>
      <w:r w:rsidRPr="00E44760">
        <w:rPr>
          <w:rFonts w:ascii="Times New Roman" w:hAnsi="Times New Roman"/>
          <w:kern w:val="3"/>
          <w:sz w:val="28"/>
          <w:szCs w:val="28"/>
          <w:lang w:eastAsia="zh-CN" w:bidi="hi-IN"/>
        </w:rPr>
        <w:softHyphen/>
        <w:t xml:space="preserve">на ее собственного капитала, активов, объем привлеченных средств, количество клиентов под управлением компанией и другие. Анализ всех отмеченных факторов, определяющих результаты работы УК, дает комплексную оценку ее деятельности и позволяет оценить роль конкретных факторов в полученном результате. По нашему мнению, </w:t>
      </w:r>
      <w:r w:rsidRPr="00E44760">
        <w:rPr>
          <w:rFonts w:ascii="Times New Roman" w:hAnsi="Times New Roman"/>
          <w:kern w:val="3"/>
          <w:sz w:val="28"/>
          <w:szCs w:val="28"/>
          <w:lang w:eastAsia="zh-CN" w:bidi="hi-IN"/>
        </w:rPr>
        <w:lastRenderedPageBreak/>
        <w:t>применяемый РА подход к оценке УК доступен профессиональным участникам рынка, а индивидуальным инвесторам создает дополнительные трудности, особенно в ситуациях, когда одни и те же факторы у разных объектов оценки имеют разнонаправленную динамику.</w:t>
      </w:r>
    </w:p>
    <w:p w:rsidR="00991A3C" w:rsidRPr="00E44760" w:rsidRDefault="00991A3C" w:rsidP="00DE7A8B">
      <w:pPr>
        <w:widowControl w:val="0"/>
        <w:suppressAutoHyphens/>
        <w:autoSpaceDN w:val="0"/>
        <w:spacing w:after="0" w:line="396" w:lineRule="auto"/>
        <w:ind w:firstLine="709"/>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Мы считаем, что индивидуальным инвесторам необходимы более простые подходы к оценке деятельности УК, непосредственным образом связанные с ре</w:t>
      </w:r>
      <w:r w:rsidRPr="00E44760">
        <w:rPr>
          <w:rFonts w:ascii="Times New Roman" w:hAnsi="Times New Roman"/>
          <w:kern w:val="3"/>
          <w:sz w:val="28"/>
          <w:szCs w:val="28"/>
          <w:lang w:eastAsia="zh-CN" w:bidi="hi-IN"/>
        </w:rPr>
        <w:softHyphen/>
        <w:t>зультатами ее работы. Немаловажное значение имеет и учет состояние рыночной среды, в которой получен конкретный результат. Состояние рынка характеризуется тенденциями роста, стагнации и падения. Мы считаем важным оценивать результативность работы УК в конкретной рыночной среде, так как получить высокую доход</w:t>
      </w:r>
      <w:r w:rsidRPr="00E44760">
        <w:rPr>
          <w:rFonts w:ascii="Times New Roman" w:hAnsi="Times New Roman"/>
          <w:kern w:val="3"/>
          <w:sz w:val="28"/>
          <w:szCs w:val="28"/>
          <w:lang w:eastAsia="zh-CN" w:bidi="hi-IN"/>
        </w:rPr>
        <w:softHyphen/>
        <w:t>ность инвестиций в условиях падающего рынка относится к задачам повышен</w:t>
      </w:r>
      <w:r w:rsidRPr="00E44760">
        <w:rPr>
          <w:rFonts w:ascii="Times New Roman" w:hAnsi="Times New Roman"/>
          <w:kern w:val="3"/>
          <w:sz w:val="28"/>
          <w:szCs w:val="28"/>
          <w:lang w:eastAsia="zh-CN" w:bidi="hi-IN"/>
        </w:rPr>
        <w:softHyphen/>
        <w:t>ной сложности и ее успешное решение позволяет дать наивысшую оценку рабо</w:t>
      </w:r>
      <w:r w:rsidRPr="00E44760">
        <w:rPr>
          <w:rFonts w:ascii="Times New Roman" w:hAnsi="Times New Roman"/>
          <w:kern w:val="3"/>
          <w:sz w:val="28"/>
          <w:szCs w:val="28"/>
          <w:lang w:eastAsia="zh-CN" w:bidi="hi-IN"/>
        </w:rPr>
        <w:softHyphen/>
        <w:t>те УК. Наиболее полно рыночные тенденции отражают динамические измене</w:t>
      </w:r>
      <w:r w:rsidRPr="00E44760">
        <w:rPr>
          <w:rFonts w:ascii="Times New Roman" w:hAnsi="Times New Roman"/>
          <w:kern w:val="3"/>
          <w:sz w:val="28"/>
          <w:szCs w:val="28"/>
          <w:lang w:eastAsia="zh-CN" w:bidi="hi-IN"/>
        </w:rPr>
        <w:softHyphen/>
        <w:t>ния значений рыночных индексов (бенчмарки). При этом состав индекса, отражающего состояние рыночной чреды, в общем должен соответствовать структуре инвестиций НПФ. В данном случае инвестор сравнивает лишь два показателя – доходность накопленных инвестиций и ди</w:t>
      </w:r>
      <w:r w:rsidRPr="00E44760">
        <w:rPr>
          <w:rFonts w:ascii="Times New Roman" w:hAnsi="Times New Roman"/>
          <w:kern w:val="3"/>
          <w:sz w:val="28"/>
          <w:szCs w:val="28"/>
          <w:lang w:eastAsia="zh-CN" w:bidi="hi-IN"/>
        </w:rPr>
        <w:softHyphen/>
        <w:t>намику рынка, выражаемую посредством изменений значения индекса. По су</w:t>
      </w:r>
      <w:r w:rsidRPr="00E44760">
        <w:rPr>
          <w:rFonts w:ascii="Times New Roman" w:hAnsi="Times New Roman"/>
          <w:kern w:val="3"/>
          <w:sz w:val="28"/>
          <w:szCs w:val="28"/>
          <w:lang w:eastAsia="zh-CN" w:bidi="hi-IN"/>
        </w:rPr>
        <w:softHyphen/>
        <w:t>ществу индекс - это виртуальный инвестиционный портфель, составленный из наиболее репрезентативных инвестиционных инструментов, обращающихся на рынке. В таблице 5 представлены данные, необходимые для оценки эффектив</w:t>
      </w:r>
      <w:r w:rsidRPr="00E44760">
        <w:rPr>
          <w:rFonts w:ascii="Times New Roman" w:hAnsi="Times New Roman"/>
          <w:kern w:val="3"/>
          <w:sz w:val="28"/>
          <w:szCs w:val="28"/>
          <w:lang w:eastAsia="zh-CN" w:bidi="hi-IN"/>
        </w:rPr>
        <w:softHyphen/>
        <w:t>ности работы УК.</w:t>
      </w:r>
    </w:p>
    <w:p w:rsidR="00991A3C" w:rsidRPr="00E44760" w:rsidRDefault="00991A3C" w:rsidP="003D23D7">
      <w:pPr>
        <w:widowControl w:val="0"/>
        <w:suppressAutoHyphens/>
        <w:autoSpaceDN w:val="0"/>
        <w:spacing w:after="0" w:line="240" w:lineRule="auto"/>
        <w:ind w:firstLine="357"/>
        <w:jc w:val="both"/>
        <w:textAlignment w:val="baseline"/>
        <w:rPr>
          <w:rFonts w:ascii="Times New Roman" w:hAnsi="Times New Roman"/>
          <w:kern w:val="3"/>
          <w:sz w:val="28"/>
          <w:szCs w:val="28"/>
          <w:lang w:eastAsia="zh-CN" w:bidi="hi-IN"/>
        </w:rPr>
      </w:pPr>
    </w:p>
    <w:p w:rsidR="00991A3C" w:rsidRPr="00DE7A8B" w:rsidRDefault="00991A3C" w:rsidP="003D23D7">
      <w:pPr>
        <w:widowControl w:val="0"/>
        <w:suppressAutoHyphens/>
        <w:autoSpaceDN w:val="0"/>
        <w:spacing w:after="0" w:line="360" w:lineRule="auto"/>
        <w:textAlignment w:val="baseline"/>
        <w:rPr>
          <w:rFonts w:ascii="Times New Roman" w:hAnsi="Times New Roman"/>
          <w:kern w:val="3"/>
          <w:sz w:val="28"/>
          <w:szCs w:val="28"/>
          <w:lang w:eastAsia="zh-CN" w:bidi="hi-IN"/>
        </w:rPr>
      </w:pPr>
    </w:p>
    <w:p w:rsidR="00991A3C" w:rsidRPr="00DE7A8B" w:rsidRDefault="00991A3C" w:rsidP="003D23D7">
      <w:pPr>
        <w:widowControl w:val="0"/>
        <w:suppressAutoHyphens/>
        <w:autoSpaceDN w:val="0"/>
        <w:spacing w:after="0" w:line="360" w:lineRule="auto"/>
        <w:textAlignment w:val="baseline"/>
        <w:rPr>
          <w:rFonts w:ascii="Times New Roman" w:hAnsi="Times New Roman"/>
          <w:kern w:val="3"/>
          <w:sz w:val="28"/>
          <w:szCs w:val="28"/>
          <w:lang w:eastAsia="zh-CN" w:bidi="hi-IN"/>
        </w:rPr>
      </w:pPr>
    </w:p>
    <w:p w:rsidR="00991A3C" w:rsidRPr="00DE7A8B" w:rsidRDefault="00991A3C" w:rsidP="003D23D7">
      <w:pPr>
        <w:widowControl w:val="0"/>
        <w:suppressAutoHyphens/>
        <w:autoSpaceDN w:val="0"/>
        <w:spacing w:after="0" w:line="360" w:lineRule="auto"/>
        <w:textAlignment w:val="baseline"/>
        <w:rPr>
          <w:rFonts w:ascii="Times New Roman" w:hAnsi="Times New Roman"/>
          <w:kern w:val="3"/>
          <w:sz w:val="28"/>
          <w:szCs w:val="28"/>
          <w:lang w:eastAsia="zh-CN" w:bidi="hi-IN"/>
        </w:rPr>
      </w:pPr>
    </w:p>
    <w:p w:rsidR="00991A3C" w:rsidRPr="00E44760" w:rsidRDefault="00991A3C" w:rsidP="003D23D7">
      <w:pPr>
        <w:widowControl w:val="0"/>
        <w:suppressAutoHyphens/>
        <w:autoSpaceDN w:val="0"/>
        <w:spacing w:after="0" w:line="360" w:lineRule="auto"/>
        <w:textAlignment w:val="baseline"/>
        <w:rPr>
          <w:rFonts w:ascii="Times New Roman" w:hAnsi="Times New Roman"/>
          <w:kern w:val="3"/>
          <w:sz w:val="28"/>
          <w:szCs w:val="28"/>
          <w:lang w:eastAsia="zh-CN" w:bidi="hi-IN"/>
        </w:rPr>
      </w:pPr>
      <w:bookmarkStart w:id="0" w:name="_GoBack"/>
      <w:bookmarkEnd w:id="0"/>
      <w:r w:rsidRPr="00E44760">
        <w:rPr>
          <w:rFonts w:ascii="Times New Roman" w:hAnsi="Times New Roman"/>
          <w:kern w:val="3"/>
          <w:sz w:val="28"/>
          <w:szCs w:val="28"/>
          <w:lang w:eastAsia="zh-CN" w:bidi="hi-IN"/>
        </w:rPr>
        <w:lastRenderedPageBreak/>
        <w:t>Таблица 5 – Эффективность работы УК в зависимости от  изменения</w:t>
      </w:r>
    </w:p>
    <w:p w:rsidR="00991A3C" w:rsidRPr="00E44760" w:rsidRDefault="00991A3C" w:rsidP="003D23D7">
      <w:pPr>
        <w:widowControl w:val="0"/>
        <w:suppressAutoHyphens/>
        <w:autoSpaceDN w:val="0"/>
        <w:spacing w:after="0" w:line="360" w:lineRule="auto"/>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доходности инвестиционных накоплений в сравнении с индексом ММВБ,  2014-2015гг. [14]</w:t>
      </w:r>
    </w:p>
    <w:tbl>
      <w:tblPr>
        <w:tblW w:w="9781" w:type="dxa"/>
        <w:tblInd w:w="108" w:type="dxa"/>
        <w:tblLayout w:type="fixed"/>
        <w:tblCellMar>
          <w:left w:w="10" w:type="dxa"/>
          <w:right w:w="10" w:type="dxa"/>
        </w:tblCellMar>
        <w:tblLook w:val="0000" w:firstRow="0" w:lastRow="0" w:firstColumn="0" w:lastColumn="0" w:noHBand="0" w:noVBand="0"/>
      </w:tblPr>
      <w:tblGrid>
        <w:gridCol w:w="2694"/>
        <w:gridCol w:w="2693"/>
        <w:gridCol w:w="1104"/>
        <w:gridCol w:w="1360"/>
        <w:gridCol w:w="1930"/>
      </w:tblGrid>
      <w:tr w:rsidR="00991A3C" w:rsidRPr="009C1324" w:rsidTr="00BE4539">
        <w:tc>
          <w:tcPr>
            <w:tcW w:w="269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C80516"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hyperlink r:id="rId33" w:history="1">
              <w:r w:rsidR="00991A3C" w:rsidRPr="00E44760">
                <w:rPr>
                  <w:rFonts w:ascii="Times New Roman" w:hAnsi="Times New Roman"/>
                  <w:bCs/>
                  <w:kern w:val="3"/>
                  <w:sz w:val="28"/>
                  <w:szCs w:val="28"/>
                  <w:lang w:eastAsia="zh-CN" w:bidi="hi-IN"/>
                </w:rPr>
                <w:t>Название</w:t>
              </w:r>
            </w:hyperlink>
            <w:r w:rsidR="00991A3C" w:rsidRPr="00E44760">
              <w:rPr>
                <w:rFonts w:ascii="Times New Roman" w:hAnsi="Times New Roman"/>
                <w:kern w:val="3"/>
                <w:sz w:val="28"/>
                <w:szCs w:val="28"/>
                <w:lang w:eastAsia="zh-CN" w:bidi="hi-IN"/>
              </w:rPr>
              <w:t xml:space="preserve"> фонда</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C80516"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hyperlink r:id="rId34" w:history="1">
              <w:r w:rsidR="00991A3C" w:rsidRPr="00E44760">
                <w:rPr>
                  <w:rFonts w:ascii="Times New Roman" w:hAnsi="Times New Roman"/>
                  <w:bCs/>
                  <w:kern w:val="3"/>
                  <w:sz w:val="28"/>
                  <w:szCs w:val="28"/>
                  <w:lang w:eastAsia="zh-CN" w:bidi="hi-IN"/>
                </w:rPr>
                <w:t>УК</w:t>
              </w:r>
            </w:hyperlink>
          </w:p>
        </w:tc>
        <w:tc>
          <w:tcPr>
            <w:tcW w:w="110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83125C">
            <w:pPr>
              <w:widowControl w:val="0"/>
              <w:suppressAutoHyphens/>
              <w:autoSpaceDN w:val="0"/>
              <w:spacing w:after="0" w:line="240" w:lineRule="auto"/>
              <w:ind w:left="-79" w:right="-138"/>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Изменение доходности ПИФа, п.п.</w:t>
            </w:r>
          </w:p>
        </w:tc>
        <w:tc>
          <w:tcPr>
            <w:tcW w:w="13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991A3C" w:rsidRPr="00E44760" w:rsidRDefault="00991A3C" w:rsidP="0083125C">
            <w:pPr>
              <w:widowControl w:val="0"/>
              <w:suppressAutoHyphens/>
              <w:autoSpaceDN w:val="0"/>
              <w:spacing w:after="0" w:line="240" w:lineRule="auto"/>
              <w:ind w:left="-78" w:right="-54" w:firstLine="78"/>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Изменение</w:t>
            </w:r>
          </w:p>
          <w:p w:rsidR="00991A3C" w:rsidRPr="00E44760" w:rsidRDefault="00991A3C" w:rsidP="0083125C">
            <w:pPr>
              <w:widowControl w:val="0"/>
              <w:suppressAutoHyphens/>
              <w:autoSpaceDN w:val="0"/>
              <w:spacing w:after="0" w:line="240" w:lineRule="auto"/>
              <w:ind w:left="-78" w:right="-54" w:firstLine="78"/>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Индекса</w:t>
            </w:r>
          </w:p>
          <w:p w:rsidR="00991A3C" w:rsidRPr="00E44760" w:rsidRDefault="00991A3C" w:rsidP="0083125C">
            <w:pPr>
              <w:widowControl w:val="0"/>
              <w:suppressAutoHyphens/>
              <w:autoSpaceDN w:val="0"/>
              <w:spacing w:after="0" w:line="240" w:lineRule="auto"/>
              <w:ind w:left="-78" w:right="-54" w:firstLine="78"/>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ММВБ, п.п.</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Эффективность ра</w:t>
            </w:r>
            <w:r w:rsidRPr="00E44760">
              <w:rPr>
                <w:rFonts w:ascii="Times New Roman" w:hAnsi="Times New Roman"/>
                <w:kern w:val="3"/>
                <w:sz w:val="28"/>
                <w:szCs w:val="28"/>
                <w:lang w:eastAsia="zh-CN" w:bidi="hi-IN"/>
              </w:rPr>
              <w:softHyphen/>
              <w:t>боты компании в сравнении с рыноч</w:t>
            </w:r>
            <w:r w:rsidRPr="00E44760">
              <w:rPr>
                <w:rFonts w:ascii="Times New Roman" w:hAnsi="Times New Roman"/>
                <w:kern w:val="3"/>
                <w:sz w:val="28"/>
                <w:szCs w:val="28"/>
                <w:lang w:eastAsia="zh-CN" w:bidi="hi-IN"/>
              </w:rPr>
              <w:softHyphen/>
              <w:t>ным индексом</w:t>
            </w:r>
          </w:p>
        </w:tc>
      </w:tr>
      <w:tr w:rsidR="00991A3C" w:rsidRPr="009C1324" w:rsidTr="0083125C">
        <w:tc>
          <w:tcPr>
            <w:tcW w:w="269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487E73">
            <w:pPr>
              <w:widowControl w:val="0"/>
              <w:suppressAutoHyphens/>
              <w:autoSpaceDN w:val="0"/>
              <w:spacing w:after="0" w:line="240" w:lineRule="auto"/>
              <w:jc w:val="both"/>
              <w:textAlignment w:val="baseline"/>
              <w:rPr>
                <w:rFonts w:ascii="Times New Roman" w:hAnsi="Times New Roman"/>
                <w:kern w:val="3"/>
                <w:sz w:val="24"/>
                <w:szCs w:val="24"/>
                <w:lang w:eastAsia="zh-CN" w:bidi="hi-IN"/>
              </w:rPr>
            </w:pPr>
            <w:r w:rsidRPr="00E44760">
              <w:rPr>
                <w:rFonts w:ascii="Times New Roman" w:hAnsi="Times New Roman"/>
                <w:kern w:val="3"/>
                <w:sz w:val="24"/>
                <w:szCs w:val="24"/>
                <w:lang w:eastAsia="zh-CN" w:bidi="hi-IN"/>
              </w:rPr>
              <w:t xml:space="preserve">1. </w:t>
            </w:r>
            <w:r w:rsidRPr="009C1324">
              <w:rPr>
                <w:rFonts w:ascii="Times New Roman" w:hAnsi="Times New Roman"/>
                <w:sz w:val="24"/>
                <w:szCs w:val="24"/>
                <w:shd w:val="clear" w:color="auto" w:fill="ECF2DC"/>
              </w:rPr>
              <w:t>Доверие НПФ ЗАО</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C80516" w:rsidP="00C01BE9">
            <w:pPr>
              <w:shd w:val="clear" w:color="auto" w:fill="FFFFFF"/>
              <w:spacing w:before="30" w:after="30" w:line="240" w:lineRule="auto"/>
              <w:rPr>
                <w:rFonts w:ascii="Times New Roman" w:hAnsi="Times New Roman"/>
                <w:sz w:val="24"/>
                <w:szCs w:val="24"/>
                <w:lang w:eastAsia="ru-RU"/>
              </w:rPr>
            </w:pPr>
            <w:hyperlink r:id="rId35" w:history="1">
              <w:r w:rsidR="00991A3C" w:rsidRPr="00E44760">
                <w:rPr>
                  <w:rFonts w:ascii="Times New Roman" w:hAnsi="Times New Roman"/>
                  <w:sz w:val="24"/>
                  <w:szCs w:val="24"/>
                  <w:lang w:eastAsia="ru-RU"/>
                </w:rPr>
                <w:t>Базис-Инвест</w:t>
              </w:r>
            </w:hyperlink>
          </w:p>
          <w:p w:rsidR="00991A3C" w:rsidRPr="00E44760" w:rsidRDefault="00C80516" w:rsidP="00C01BE9">
            <w:pPr>
              <w:shd w:val="clear" w:color="auto" w:fill="FFFFFF"/>
              <w:spacing w:before="30" w:after="30" w:line="240" w:lineRule="auto"/>
              <w:rPr>
                <w:rFonts w:ascii="Times New Roman" w:hAnsi="Times New Roman"/>
                <w:sz w:val="24"/>
                <w:szCs w:val="24"/>
                <w:lang w:eastAsia="ru-RU"/>
              </w:rPr>
            </w:pPr>
            <w:hyperlink r:id="rId36" w:history="1">
              <w:r w:rsidR="00991A3C" w:rsidRPr="00E44760">
                <w:rPr>
                  <w:rFonts w:ascii="Times New Roman" w:hAnsi="Times New Roman"/>
                  <w:sz w:val="24"/>
                  <w:szCs w:val="24"/>
                  <w:lang w:eastAsia="ru-RU"/>
                </w:rPr>
                <w:t>БИН ФИНАМ Групп</w:t>
              </w:r>
            </w:hyperlink>
          </w:p>
        </w:tc>
        <w:tc>
          <w:tcPr>
            <w:tcW w:w="110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-0,27</w:t>
            </w:r>
          </w:p>
        </w:tc>
        <w:tc>
          <w:tcPr>
            <w:tcW w:w="1360"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+10,2</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Умеренная</w:t>
            </w:r>
          </w:p>
        </w:tc>
      </w:tr>
      <w:tr w:rsidR="00991A3C" w:rsidRPr="009C1324" w:rsidTr="0083125C">
        <w:tc>
          <w:tcPr>
            <w:tcW w:w="269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xml:space="preserve">2. </w:t>
            </w:r>
            <w:hyperlink r:id="rId37" w:history="1">
              <w:r w:rsidRPr="009C1324">
                <w:rPr>
                  <w:rFonts w:ascii="Times New Roman" w:hAnsi="Times New Roman"/>
                  <w:sz w:val="24"/>
                  <w:szCs w:val="24"/>
                </w:rPr>
                <w:t>Сбербанка НПФ АО</w:t>
              </w:r>
            </w:hyperlink>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textAlignment w:val="baseline"/>
              <w:rPr>
                <w:rFonts w:ascii="Times New Roman" w:hAnsi="Times New Roman"/>
                <w:kern w:val="3"/>
                <w:sz w:val="24"/>
                <w:szCs w:val="24"/>
                <w:lang w:eastAsia="zh-CN" w:bidi="hi-IN"/>
              </w:rPr>
            </w:pPr>
            <w:r w:rsidRPr="009C1324">
              <w:rPr>
                <w:rStyle w:val="ac"/>
                <w:rFonts w:ascii="Times New Roman" w:hAnsi="Times New Roman"/>
                <w:bCs/>
                <w:i w:val="0"/>
                <w:iCs w:val="0"/>
                <w:sz w:val="24"/>
                <w:szCs w:val="24"/>
                <w:shd w:val="clear" w:color="auto" w:fill="FFFFFF"/>
              </w:rPr>
              <w:t>ООО</w:t>
            </w:r>
            <w:r w:rsidRPr="009C1324">
              <w:rPr>
                <w:rStyle w:val="apple-converted-space"/>
                <w:rFonts w:ascii="Times New Roman" w:hAnsi="Times New Roman"/>
                <w:sz w:val="24"/>
                <w:szCs w:val="24"/>
                <w:shd w:val="clear" w:color="auto" w:fill="FFFFFF"/>
              </w:rPr>
              <w:t> </w:t>
            </w:r>
            <w:r w:rsidRPr="009C1324">
              <w:rPr>
                <w:rFonts w:ascii="Times New Roman" w:hAnsi="Times New Roman"/>
                <w:sz w:val="24"/>
                <w:szCs w:val="24"/>
                <w:shd w:val="clear" w:color="auto" w:fill="FFFFFF"/>
              </w:rPr>
              <w:t>«</w:t>
            </w:r>
            <w:r w:rsidRPr="009C1324">
              <w:rPr>
                <w:rStyle w:val="ac"/>
                <w:rFonts w:ascii="Times New Roman" w:hAnsi="Times New Roman"/>
                <w:bCs/>
                <w:i w:val="0"/>
                <w:iCs w:val="0"/>
                <w:sz w:val="24"/>
                <w:szCs w:val="24"/>
                <w:shd w:val="clear" w:color="auto" w:fill="FFFFFF"/>
              </w:rPr>
              <w:t>Управляющая компания</w:t>
            </w:r>
            <w:r w:rsidRPr="009C1324">
              <w:rPr>
                <w:rStyle w:val="apple-converted-space"/>
                <w:rFonts w:ascii="Times New Roman" w:hAnsi="Times New Roman"/>
                <w:sz w:val="24"/>
                <w:szCs w:val="24"/>
                <w:shd w:val="clear" w:color="auto" w:fill="FFFFFF"/>
              </w:rPr>
              <w:t> </w:t>
            </w:r>
            <w:r w:rsidRPr="009C1324">
              <w:rPr>
                <w:rFonts w:ascii="Times New Roman" w:hAnsi="Times New Roman"/>
                <w:sz w:val="24"/>
                <w:szCs w:val="24"/>
                <w:shd w:val="clear" w:color="auto" w:fill="FFFFFF"/>
              </w:rPr>
              <w:t>«КапиталЪ»</w:t>
            </w:r>
          </w:p>
        </w:tc>
        <w:tc>
          <w:tcPr>
            <w:tcW w:w="110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-2,33</w:t>
            </w:r>
          </w:p>
        </w:tc>
        <w:tc>
          <w:tcPr>
            <w:tcW w:w="1360"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9C1324" w:rsidRDefault="00991A3C" w:rsidP="00047D09">
            <w:pPr>
              <w:jc w:val="center"/>
            </w:pPr>
            <w:r w:rsidRPr="00E44760">
              <w:rPr>
                <w:rFonts w:ascii="Times New Roman" w:hAnsi="Times New Roman"/>
                <w:kern w:val="3"/>
                <w:sz w:val="28"/>
                <w:szCs w:val="28"/>
                <w:lang w:eastAsia="zh-CN" w:bidi="hi-IN"/>
              </w:rPr>
              <w:t>+10,2</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Низкая</w:t>
            </w:r>
          </w:p>
        </w:tc>
      </w:tr>
      <w:tr w:rsidR="00991A3C" w:rsidRPr="009C1324" w:rsidTr="0083125C">
        <w:tc>
          <w:tcPr>
            <w:tcW w:w="2694" w:type="dxa"/>
            <w:tcBorders>
              <w:top w:val="single" w:sz="4" w:space="0" w:color="000000"/>
              <w:lef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3.</w:t>
            </w:r>
            <w:r w:rsidRPr="009C1324">
              <w:t xml:space="preserve"> </w:t>
            </w:r>
            <w:hyperlink r:id="rId38" w:history="1">
              <w:r w:rsidRPr="009C1324">
                <w:rPr>
                  <w:rFonts w:ascii="Times New Roman" w:hAnsi="Times New Roman"/>
                  <w:sz w:val="24"/>
                  <w:szCs w:val="24"/>
                  <w:shd w:val="clear" w:color="auto" w:fill="FDFDFD"/>
                </w:rPr>
                <w:t>Европейский пенсионный фонд НПФ (АО)</w:t>
              </w:r>
            </w:hyperlink>
          </w:p>
        </w:tc>
        <w:tc>
          <w:tcPr>
            <w:tcW w:w="2693" w:type="dxa"/>
            <w:tcBorders>
              <w:top w:val="single" w:sz="4" w:space="0" w:color="000000"/>
              <w:lef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textAlignment w:val="baseline"/>
              <w:rPr>
                <w:rFonts w:ascii="Times New Roman" w:hAnsi="Times New Roman"/>
                <w:kern w:val="3"/>
                <w:sz w:val="24"/>
                <w:szCs w:val="24"/>
                <w:lang w:val="en-US" w:eastAsia="zh-CN" w:bidi="hi-IN"/>
              </w:rPr>
            </w:pPr>
            <w:r w:rsidRPr="009C1324">
              <w:rPr>
                <w:rStyle w:val="apple-converted-space"/>
                <w:rFonts w:ascii="Arial" w:hAnsi="Arial" w:cs="Arial"/>
                <w:sz w:val="20"/>
                <w:szCs w:val="20"/>
                <w:shd w:val="clear" w:color="auto" w:fill="FFFFFF"/>
                <w:lang w:val="en-US"/>
              </w:rPr>
              <w:t> </w:t>
            </w:r>
            <w:r w:rsidRPr="009C1324">
              <w:rPr>
                <w:rFonts w:ascii="Times New Roman" w:hAnsi="Times New Roman"/>
                <w:sz w:val="24"/>
                <w:szCs w:val="24"/>
                <w:shd w:val="clear" w:color="auto" w:fill="FFFFFF"/>
                <w:lang w:val="en-US"/>
              </w:rPr>
              <w:t xml:space="preserve">Allianz Investments, </w:t>
            </w:r>
            <w:r w:rsidRPr="009C1324">
              <w:rPr>
                <w:rFonts w:ascii="Times New Roman" w:hAnsi="Times New Roman"/>
                <w:sz w:val="24"/>
                <w:szCs w:val="24"/>
                <w:shd w:val="clear" w:color="auto" w:fill="FFFFFF"/>
              </w:rPr>
              <w:t>ЕФГ</w:t>
            </w:r>
            <w:r w:rsidRPr="009C1324">
              <w:rPr>
                <w:rStyle w:val="apple-converted-space"/>
                <w:rFonts w:ascii="Times New Roman" w:hAnsi="Times New Roman"/>
                <w:sz w:val="24"/>
                <w:szCs w:val="24"/>
                <w:shd w:val="clear" w:color="auto" w:fill="FFFFFF"/>
                <w:lang w:val="en-US"/>
              </w:rPr>
              <w:t> </w:t>
            </w:r>
            <w:r w:rsidRPr="009C1324">
              <w:rPr>
                <w:rFonts w:ascii="Times New Roman" w:hAnsi="Times New Roman"/>
                <w:bCs/>
                <w:sz w:val="24"/>
                <w:szCs w:val="24"/>
                <w:shd w:val="clear" w:color="auto" w:fill="FFFFFF"/>
              </w:rPr>
              <w:t>Управление</w:t>
            </w:r>
            <w:r w:rsidRPr="009C1324">
              <w:rPr>
                <w:rFonts w:ascii="Times New Roman" w:hAnsi="Times New Roman"/>
                <w:bCs/>
                <w:sz w:val="24"/>
                <w:szCs w:val="24"/>
                <w:shd w:val="clear" w:color="auto" w:fill="FFFFFF"/>
                <w:lang w:val="en-US"/>
              </w:rPr>
              <w:t xml:space="preserve"> </w:t>
            </w:r>
            <w:r w:rsidRPr="009C1324">
              <w:rPr>
                <w:rFonts w:ascii="Times New Roman" w:hAnsi="Times New Roman"/>
                <w:sz w:val="24"/>
                <w:szCs w:val="24"/>
                <w:shd w:val="clear" w:color="auto" w:fill="FFFFFF"/>
              </w:rPr>
              <w:t>Активами</w:t>
            </w:r>
            <w:r w:rsidRPr="009C1324">
              <w:rPr>
                <w:rFonts w:ascii="Times New Roman" w:hAnsi="Times New Roman"/>
                <w:sz w:val="24"/>
                <w:szCs w:val="24"/>
                <w:shd w:val="clear" w:color="auto" w:fill="FFFFFF"/>
                <w:lang w:val="en-US"/>
              </w:rPr>
              <w:t>,</w:t>
            </w:r>
            <w:r w:rsidRPr="009C1324">
              <w:rPr>
                <w:rFonts w:ascii="Times New Roman" w:hAnsi="Times New Roman"/>
                <w:sz w:val="24"/>
                <w:szCs w:val="24"/>
                <w:shd w:val="clear" w:color="auto" w:fill="FFFFFF"/>
              </w:rPr>
              <w:t>ОФГ</w:t>
            </w:r>
            <w:r w:rsidRPr="009C1324">
              <w:rPr>
                <w:rFonts w:ascii="Times New Roman" w:hAnsi="Times New Roman"/>
                <w:sz w:val="24"/>
                <w:szCs w:val="24"/>
                <w:shd w:val="clear" w:color="auto" w:fill="FFFFFF"/>
                <w:lang w:val="en-US"/>
              </w:rPr>
              <w:t xml:space="preserve"> </w:t>
            </w:r>
            <w:r w:rsidRPr="009C1324">
              <w:rPr>
                <w:rFonts w:ascii="Times New Roman" w:hAnsi="Times New Roman"/>
                <w:sz w:val="24"/>
                <w:szCs w:val="24"/>
                <w:shd w:val="clear" w:color="auto" w:fill="FFFFFF"/>
              </w:rPr>
              <w:t>ИНВЕСТ</w:t>
            </w:r>
            <w:r w:rsidRPr="009C1324">
              <w:rPr>
                <w:rFonts w:ascii="Times New Roman" w:hAnsi="Times New Roman"/>
                <w:sz w:val="24"/>
                <w:szCs w:val="24"/>
                <w:shd w:val="clear" w:color="auto" w:fill="FFFFFF"/>
                <w:lang w:val="en-US"/>
              </w:rPr>
              <w:t xml:space="preserve"> (UFG Capital Management).</w:t>
            </w:r>
          </w:p>
        </w:tc>
        <w:tc>
          <w:tcPr>
            <w:tcW w:w="1104" w:type="dxa"/>
            <w:tcBorders>
              <w:top w:val="single" w:sz="4" w:space="0" w:color="000000"/>
              <w:lef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0,15</w:t>
            </w:r>
          </w:p>
        </w:tc>
        <w:tc>
          <w:tcPr>
            <w:tcW w:w="1360" w:type="dxa"/>
            <w:tcBorders>
              <w:top w:val="single" w:sz="4" w:space="0" w:color="000000"/>
              <w:left w:val="single" w:sz="4" w:space="0" w:color="000000"/>
            </w:tcBorders>
            <w:tcMar>
              <w:top w:w="0" w:type="dxa"/>
              <w:left w:w="108" w:type="dxa"/>
              <w:bottom w:w="0" w:type="dxa"/>
              <w:right w:w="108" w:type="dxa"/>
            </w:tcMar>
          </w:tcPr>
          <w:p w:rsidR="00991A3C" w:rsidRPr="009C1324" w:rsidRDefault="00991A3C" w:rsidP="00047D09">
            <w:pPr>
              <w:jc w:val="center"/>
            </w:pPr>
            <w:r w:rsidRPr="00E44760">
              <w:rPr>
                <w:rFonts w:ascii="Times New Roman" w:hAnsi="Times New Roman"/>
                <w:kern w:val="3"/>
                <w:sz w:val="28"/>
                <w:szCs w:val="28"/>
                <w:lang w:eastAsia="zh-CN" w:bidi="hi-IN"/>
              </w:rPr>
              <w:t>+10,2</w:t>
            </w:r>
          </w:p>
        </w:tc>
        <w:tc>
          <w:tcPr>
            <w:tcW w:w="1930" w:type="dxa"/>
            <w:tcBorders>
              <w:top w:val="single" w:sz="4" w:space="0" w:color="000000"/>
              <w:left w:val="single" w:sz="4" w:space="0" w:color="000000"/>
              <w:righ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Хорошая</w:t>
            </w:r>
          </w:p>
        </w:tc>
      </w:tr>
      <w:tr w:rsidR="00991A3C" w:rsidRPr="009C1324" w:rsidTr="0083125C">
        <w:tc>
          <w:tcPr>
            <w:tcW w:w="269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4.</w:t>
            </w:r>
            <w:hyperlink r:id="rId39" w:history="1">
              <w:r w:rsidRPr="009C1324">
                <w:rPr>
                  <w:rFonts w:ascii="Times New Roman" w:hAnsi="Times New Roman"/>
                  <w:sz w:val="24"/>
                  <w:szCs w:val="24"/>
                  <w:shd w:val="clear" w:color="auto" w:fill="ECF2DC"/>
                </w:rPr>
                <w:t>Оборонно-промышленный фонд им. В.В. Ливанова НПФ АО</w:t>
              </w:r>
            </w:hyperlink>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C80516" w:rsidP="00E01C7C">
            <w:pPr>
              <w:shd w:val="clear" w:color="auto" w:fill="FFFFFF"/>
              <w:spacing w:before="30" w:after="30" w:line="240" w:lineRule="auto"/>
              <w:jc w:val="both"/>
              <w:rPr>
                <w:rFonts w:ascii="Times New Roman" w:hAnsi="Times New Roman"/>
                <w:sz w:val="24"/>
                <w:szCs w:val="24"/>
                <w:lang w:eastAsia="ru-RU"/>
              </w:rPr>
            </w:pPr>
            <w:hyperlink r:id="rId40" w:history="1">
              <w:r w:rsidR="00991A3C" w:rsidRPr="00E44760">
                <w:rPr>
                  <w:rFonts w:ascii="Times New Roman" w:hAnsi="Times New Roman"/>
                  <w:sz w:val="24"/>
                  <w:szCs w:val="24"/>
                  <w:lang w:eastAsia="ru-RU"/>
                </w:rPr>
                <w:t>Аналитический центр</w:t>
              </w:r>
            </w:hyperlink>
          </w:p>
          <w:p w:rsidR="00991A3C" w:rsidRPr="00E44760" w:rsidRDefault="00C80516" w:rsidP="00E01C7C">
            <w:pPr>
              <w:shd w:val="clear" w:color="auto" w:fill="FFFFFF"/>
              <w:spacing w:before="30" w:after="30" w:line="240" w:lineRule="auto"/>
              <w:jc w:val="both"/>
              <w:rPr>
                <w:rFonts w:ascii="Times New Roman" w:hAnsi="Times New Roman"/>
                <w:sz w:val="24"/>
                <w:szCs w:val="24"/>
                <w:lang w:eastAsia="ru-RU"/>
              </w:rPr>
            </w:pPr>
            <w:hyperlink r:id="rId41" w:history="1">
              <w:r w:rsidR="00991A3C" w:rsidRPr="00E44760">
                <w:rPr>
                  <w:rFonts w:ascii="Times New Roman" w:hAnsi="Times New Roman"/>
                  <w:sz w:val="24"/>
                  <w:szCs w:val="24"/>
                  <w:lang w:eastAsia="ru-RU"/>
                </w:rPr>
                <w:t>Атон-менеджмент</w:t>
              </w:r>
            </w:hyperlink>
          </w:p>
          <w:p w:rsidR="00991A3C" w:rsidRPr="00E44760" w:rsidRDefault="00C80516" w:rsidP="00E01C7C">
            <w:pPr>
              <w:shd w:val="clear" w:color="auto" w:fill="FFFFFF"/>
              <w:spacing w:before="30" w:after="30" w:line="240" w:lineRule="auto"/>
              <w:jc w:val="both"/>
              <w:rPr>
                <w:rFonts w:ascii="Times New Roman" w:hAnsi="Times New Roman"/>
                <w:sz w:val="24"/>
                <w:szCs w:val="24"/>
                <w:lang w:eastAsia="ru-RU"/>
              </w:rPr>
            </w:pPr>
            <w:hyperlink r:id="rId42" w:history="1">
              <w:r w:rsidR="00991A3C" w:rsidRPr="00E44760">
                <w:rPr>
                  <w:rFonts w:ascii="Times New Roman" w:hAnsi="Times New Roman"/>
                  <w:sz w:val="24"/>
                  <w:szCs w:val="24"/>
                  <w:lang w:eastAsia="ru-RU"/>
                </w:rPr>
                <w:t>Инвестиционный ста</w:t>
              </w:r>
              <w:r w:rsidR="00991A3C" w:rsidRPr="00E44760">
                <w:rPr>
                  <w:rFonts w:ascii="Times New Roman" w:hAnsi="Times New Roman"/>
                  <w:sz w:val="24"/>
                  <w:szCs w:val="24"/>
                  <w:lang w:eastAsia="ru-RU"/>
                </w:rPr>
                <w:t>н</w:t>
              </w:r>
              <w:r w:rsidR="00991A3C" w:rsidRPr="00E44760">
                <w:rPr>
                  <w:rFonts w:ascii="Times New Roman" w:hAnsi="Times New Roman"/>
                  <w:sz w:val="24"/>
                  <w:szCs w:val="24"/>
                  <w:lang w:eastAsia="ru-RU"/>
                </w:rPr>
                <w:t>дарт</w:t>
              </w:r>
            </w:hyperlink>
          </w:p>
          <w:p w:rsidR="00991A3C" w:rsidRPr="00E44760" w:rsidRDefault="00C80516" w:rsidP="00E01C7C">
            <w:pPr>
              <w:shd w:val="clear" w:color="auto" w:fill="FFFFFF"/>
              <w:spacing w:before="30" w:after="30" w:line="240" w:lineRule="auto"/>
              <w:jc w:val="both"/>
              <w:rPr>
                <w:rFonts w:ascii="Times New Roman" w:hAnsi="Times New Roman"/>
                <w:sz w:val="24"/>
                <w:szCs w:val="24"/>
                <w:lang w:eastAsia="ru-RU"/>
              </w:rPr>
            </w:pPr>
            <w:hyperlink r:id="rId43" w:history="1">
              <w:r w:rsidR="00991A3C" w:rsidRPr="00E44760">
                <w:rPr>
                  <w:rFonts w:ascii="Times New Roman" w:hAnsi="Times New Roman"/>
                  <w:sz w:val="24"/>
                  <w:szCs w:val="24"/>
                  <w:lang w:eastAsia="ru-RU"/>
                </w:rPr>
                <w:t>Металлинвесттраст</w:t>
              </w:r>
            </w:hyperlink>
          </w:p>
          <w:p w:rsidR="00991A3C" w:rsidRPr="00E44760" w:rsidRDefault="00C80516" w:rsidP="00E01C7C">
            <w:pPr>
              <w:shd w:val="clear" w:color="auto" w:fill="FFFFFF"/>
              <w:spacing w:before="30" w:after="30" w:line="240" w:lineRule="auto"/>
              <w:jc w:val="both"/>
              <w:rPr>
                <w:rFonts w:ascii="Times New Roman" w:hAnsi="Times New Roman"/>
                <w:sz w:val="24"/>
                <w:szCs w:val="24"/>
                <w:lang w:eastAsia="ru-RU"/>
              </w:rPr>
            </w:pPr>
            <w:hyperlink r:id="rId44" w:history="1">
              <w:r w:rsidR="00991A3C" w:rsidRPr="00E44760">
                <w:rPr>
                  <w:rFonts w:ascii="Times New Roman" w:hAnsi="Times New Roman"/>
                  <w:sz w:val="24"/>
                  <w:szCs w:val="24"/>
                  <w:lang w:eastAsia="ru-RU"/>
                </w:rPr>
                <w:t>Пенсионная сберег</w:t>
              </w:r>
              <w:r w:rsidR="00991A3C" w:rsidRPr="00E44760">
                <w:rPr>
                  <w:rFonts w:ascii="Times New Roman" w:hAnsi="Times New Roman"/>
                  <w:sz w:val="24"/>
                  <w:szCs w:val="24"/>
                  <w:lang w:eastAsia="ru-RU"/>
                </w:rPr>
                <w:t>а</w:t>
              </w:r>
              <w:r w:rsidR="00991A3C" w:rsidRPr="00E44760">
                <w:rPr>
                  <w:rFonts w:ascii="Times New Roman" w:hAnsi="Times New Roman"/>
                  <w:sz w:val="24"/>
                  <w:szCs w:val="24"/>
                  <w:lang w:eastAsia="ru-RU"/>
                </w:rPr>
                <w:t>тельная компания</w:t>
              </w:r>
            </w:hyperlink>
          </w:p>
          <w:p w:rsidR="00991A3C" w:rsidRPr="00E44760" w:rsidRDefault="00C80516" w:rsidP="00E01C7C">
            <w:pPr>
              <w:shd w:val="clear" w:color="auto" w:fill="FFFFFF"/>
              <w:spacing w:before="30" w:after="30" w:line="240" w:lineRule="auto"/>
              <w:jc w:val="both"/>
              <w:rPr>
                <w:rFonts w:ascii="Times New Roman" w:hAnsi="Times New Roman"/>
                <w:sz w:val="24"/>
                <w:szCs w:val="24"/>
                <w:lang w:eastAsia="ru-RU"/>
              </w:rPr>
            </w:pPr>
            <w:hyperlink r:id="rId45" w:history="1">
              <w:r w:rsidR="00991A3C" w:rsidRPr="00E44760">
                <w:rPr>
                  <w:rFonts w:ascii="Times New Roman" w:hAnsi="Times New Roman"/>
                  <w:sz w:val="24"/>
                  <w:szCs w:val="24"/>
                  <w:lang w:eastAsia="ru-RU"/>
                </w:rPr>
                <w:t>СПУТНИК-УПРАВЛЕНИЕ К</w:t>
              </w:r>
              <w:r w:rsidR="00991A3C" w:rsidRPr="00E44760">
                <w:rPr>
                  <w:rFonts w:ascii="Times New Roman" w:hAnsi="Times New Roman"/>
                  <w:sz w:val="24"/>
                  <w:szCs w:val="24"/>
                  <w:lang w:eastAsia="ru-RU"/>
                </w:rPr>
                <w:t>А</w:t>
              </w:r>
              <w:r w:rsidR="00991A3C" w:rsidRPr="00E44760">
                <w:rPr>
                  <w:rFonts w:ascii="Times New Roman" w:hAnsi="Times New Roman"/>
                  <w:sz w:val="24"/>
                  <w:szCs w:val="24"/>
                  <w:lang w:eastAsia="ru-RU"/>
                </w:rPr>
                <w:t>ПИТАЛОМ</w:t>
              </w:r>
            </w:hyperlink>
          </w:p>
          <w:p w:rsidR="00991A3C" w:rsidRPr="00E44760" w:rsidRDefault="00991A3C" w:rsidP="0083125C">
            <w:pPr>
              <w:widowControl w:val="0"/>
              <w:suppressAutoHyphens/>
              <w:autoSpaceDN w:val="0"/>
              <w:spacing w:after="0" w:line="240" w:lineRule="auto"/>
              <w:textAlignment w:val="baseline"/>
              <w:rPr>
                <w:rFonts w:ascii="Times New Roman" w:hAnsi="Times New Roman"/>
                <w:kern w:val="3"/>
                <w:sz w:val="28"/>
                <w:szCs w:val="28"/>
                <w:lang w:eastAsia="zh-CN" w:bidi="hi-IN"/>
              </w:rPr>
            </w:pPr>
          </w:p>
        </w:tc>
        <w:tc>
          <w:tcPr>
            <w:tcW w:w="110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-1,26</w:t>
            </w:r>
          </w:p>
        </w:tc>
        <w:tc>
          <w:tcPr>
            <w:tcW w:w="1360"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9C1324" w:rsidRDefault="00991A3C" w:rsidP="00047D09">
            <w:pPr>
              <w:jc w:val="center"/>
            </w:pPr>
            <w:r w:rsidRPr="00E44760">
              <w:rPr>
                <w:rFonts w:ascii="Times New Roman" w:hAnsi="Times New Roman"/>
                <w:kern w:val="3"/>
                <w:sz w:val="28"/>
                <w:szCs w:val="28"/>
                <w:lang w:eastAsia="zh-CN" w:bidi="hi-IN"/>
              </w:rPr>
              <w:t>+10,2</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Низкая</w:t>
            </w:r>
          </w:p>
        </w:tc>
      </w:tr>
      <w:tr w:rsidR="00991A3C" w:rsidRPr="009C1324" w:rsidTr="00E01C7C">
        <w:tc>
          <w:tcPr>
            <w:tcW w:w="269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xml:space="preserve">5. </w:t>
            </w:r>
            <w:r w:rsidRPr="009C1324">
              <w:rPr>
                <w:rFonts w:ascii="Times New Roman" w:hAnsi="Times New Roman"/>
                <w:sz w:val="24"/>
                <w:szCs w:val="24"/>
                <w:shd w:val="clear" w:color="auto" w:fill="FDFDFD"/>
              </w:rPr>
              <w:t>Сургутнефтегаз НПФ АО</w:t>
            </w:r>
          </w:p>
        </w:tc>
        <w:tc>
          <w:tcPr>
            <w:tcW w:w="2693"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C80516" w:rsidP="00E01C7C">
            <w:pPr>
              <w:shd w:val="clear" w:color="auto" w:fill="FFFFFF"/>
              <w:spacing w:before="30" w:after="30" w:line="240" w:lineRule="auto"/>
              <w:rPr>
                <w:rFonts w:ascii="Times New Roman" w:hAnsi="Times New Roman"/>
                <w:sz w:val="24"/>
                <w:szCs w:val="24"/>
                <w:lang w:eastAsia="ru-RU"/>
              </w:rPr>
            </w:pPr>
            <w:hyperlink r:id="rId46" w:history="1">
              <w:r w:rsidR="00991A3C" w:rsidRPr="00E44760">
                <w:rPr>
                  <w:rFonts w:ascii="Times New Roman" w:hAnsi="Times New Roman"/>
                  <w:sz w:val="24"/>
                  <w:szCs w:val="24"/>
                  <w:lang w:eastAsia="ru-RU"/>
                </w:rPr>
                <w:t>КапиталЪ</w:t>
              </w:r>
            </w:hyperlink>
          </w:p>
          <w:p w:rsidR="00991A3C" w:rsidRPr="00E44760" w:rsidRDefault="00C80516" w:rsidP="00E01C7C">
            <w:pPr>
              <w:shd w:val="clear" w:color="auto" w:fill="FFFFFF"/>
              <w:spacing w:before="30" w:after="30" w:line="240" w:lineRule="auto"/>
              <w:rPr>
                <w:rFonts w:ascii="Times New Roman" w:hAnsi="Times New Roman"/>
                <w:sz w:val="24"/>
                <w:szCs w:val="24"/>
                <w:lang w:eastAsia="ru-RU"/>
              </w:rPr>
            </w:pPr>
            <w:hyperlink r:id="rId47" w:history="1">
              <w:r w:rsidR="00991A3C" w:rsidRPr="00E44760">
                <w:rPr>
                  <w:rFonts w:ascii="Times New Roman" w:hAnsi="Times New Roman"/>
                  <w:sz w:val="24"/>
                  <w:szCs w:val="24"/>
                  <w:lang w:eastAsia="ru-RU"/>
                </w:rPr>
                <w:t>Райффайзен Капитал</w:t>
              </w:r>
            </w:hyperlink>
          </w:p>
          <w:p w:rsidR="00991A3C" w:rsidRPr="00E44760" w:rsidRDefault="00C80516" w:rsidP="00E01C7C">
            <w:pPr>
              <w:shd w:val="clear" w:color="auto" w:fill="FFFFFF"/>
              <w:spacing w:before="30" w:after="30" w:line="240" w:lineRule="auto"/>
              <w:rPr>
                <w:rFonts w:ascii="Times New Roman" w:hAnsi="Times New Roman"/>
                <w:sz w:val="24"/>
                <w:szCs w:val="24"/>
                <w:lang w:eastAsia="ru-RU"/>
              </w:rPr>
            </w:pPr>
            <w:hyperlink r:id="rId48" w:history="1">
              <w:r w:rsidR="00991A3C" w:rsidRPr="00E44760">
                <w:rPr>
                  <w:rFonts w:ascii="Times New Roman" w:hAnsi="Times New Roman"/>
                  <w:sz w:val="24"/>
                  <w:szCs w:val="24"/>
                  <w:lang w:eastAsia="ru-RU"/>
                </w:rPr>
                <w:t>РЕГИОН ЭсМ, ЗАО</w:t>
              </w:r>
            </w:hyperlink>
          </w:p>
        </w:tc>
        <w:tc>
          <w:tcPr>
            <w:tcW w:w="1104"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-5,57</w:t>
            </w:r>
          </w:p>
        </w:tc>
        <w:tc>
          <w:tcPr>
            <w:tcW w:w="1360" w:type="dxa"/>
            <w:tcBorders>
              <w:top w:val="single" w:sz="4" w:space="0" w:color="000000"/>
              <w:left w:val="single" w:sz="4" w:space="0" w:color="000000"/>
              <w:bottom w:val="single" w:sz="4" w:space="0" w:color="000000"/>
            </w:tcBorders>
            <w:tcMar>
              <w:top w:w="0" w:type="dxa"/>
              <w:left w:w="108" w:type="dxa"/>
              <w:bottom w:w="0" w:type="dxa"/>
              <w:right w:w="108" w:type="dxa"/>
            </w:tcMar>
          </w:tcPr>
          <w:p w:rsidR="00991A3C" w:rsidRPr="009C1324" w:rsidRDefault="00991A3C" w:rsidP="00047D09">
            <w:pPr>
              <w:jc w:val="center"/>
            </w:pPr>
            <w:r w:rsidRPr="00E44760">
              <w:rPr>
                <w:rFonts w:ascii="Times New Roman" w:hAnsi="Times New Roman"/>
                <w:kern w:val="3"/>
                <w:sz w:val="28"/>
                <w:szCs w:val="28"/>
                <w:lang w:eastAsia="zh-CN" w:bidi="hi-IN"/>
              </w:rPr>
              <w:t>+10,2</w:t>
            </w:r>
          </w:p>
        </w:tc>
        <w:tc>
          <w:tcPr>
            <w:tcW w:w="1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91A3C" w:rsidRPr="00E44760" w:rsidRDefault="00991A3C" w:rsidP="0083125C">
            <w:pPr>
              <w:widowControl w:val="0"/>
              <w:suppressAutoHyphens/>
              <w:autoSpaceDN w:val="0"/>
              <w:spacing w:after="0" w:line="240" w:lineRule="auto"/>
              <w:jc w:val="center"/>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Низкая</w:t>
            </w:r>
          </w:p>
        </w:tc>
      </w:tr>
    </w:tbl>
    <w:p w:rsidR="00991A3C" w:rsidRPr="00E44760" w:rsidRDefault="00991A3C" w:rsidP="003D23D7">
      <w:pPr>
        <w:widowControl w:val="0"/>
        <w:suppressAutoHyphens/>
        <w:autoSpaceDN w:val="0"/>
        <w:spacing w:after="0" w:line="360" w:lineRule="auto"/>
        <w:ind w:firstLine="567"/>
        <w:textAlignment w:val="baseline"/>
        <w:rPr>
          <w:rFonts w:ascii="Times New Roman" w:hAnsi="Times New Roman"/>
          <w:kern w:val="3"/>
          <w:sz w:val="28"/>
          <w:szCs w:val="28"/>
          <w:lang w:eastAsia="zh-CN" w:bidi="hi-IN"/>
        </w:rPr>
      </w:pPr>
    </w:p>
    <w:p w:rsidR="00991A3C" w:rsidRPr="00E44760" w:rsidRDefault="00991A3C" w:rsidP="00DE7A8B">
      <w:pPr>
        <w:widowControl w:val="0"/>
        <w:suppressAutoHyphens/>
        <w:autoSpaceDN w:val="0"/>
        <w:spacing w:after="0" w:line="480" w:lineRule="auto"/>
        <w:ind w:firstLine="567"/>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Из данных таблицы видно, что отдельные компании  получили положительную доходность ниже среднерыночного значения (но</w:t>
      </w:r>
      <w:r w:rsidRPr="00E44760">
        <w:rPr>
          <w:rFonts w:ascii="Times New Roman" w:hAnsi="Times New Roman"/>
          <w:kern w:val="3"/>
          <w:sz w:val="28"/>
          <w:szCs w:val="28"/>
          <w:lang w:eastAsia="zh-CN" w:bidi="hi-IN"/>
        </w:rPr>
        <w:softHyphen/>
        <w:t>мера фонда 3). Остальные УК получили отрицательную доходность, на фоне положительной динамики рынка (номера фондов 1-2,4-5). Пример, приведенный в таблице 5, показывает, что оценка работы УК че</w:t>
      </w:r>
      <w:r w:rsidRPr="00E44760">
        <w:rPr>
          <w:rFonts w:ascii="Times New Roman" w:hAnsi="Times New Roman"/>
          <w:kern w:val="3"/>
          <w:sz w:val="28"/>
          <w:szCs w:val="28"/>
          <w:lang w:eastAsia="zh-CN" w:bidi="hi-IN"/>
        </w:rPr>
        <w:softHyphen/>
        <w:t xml:space="preserve">рез </w:t>
      </w:r>
      <w:r w:rsidRPr="00E44760">
        <w:rPr>
          <w:rFonts w:ascii="Times New Roman" w:hAnsi="Times New Roman"/>
          <w:kern w:val="3"/>
          <w:sz w:val="28"/>
          <w:szCs w:val="28"/>
          <w:lang w:eastAsia="zh-CN" w:bidi="hi-IN"/>
        </w:rPr>
        <w:lastRenderedPageBreak/>
        <w:t>доходность инвестиционных накоплений, полученную в разных условиях функционирова</w:t>
      </w:r>
      <w:r w:rsidRPr="00E44760">
        <w:rPr>
          <w:rFonts w:ascii="Times New Roman" w:hAnsi="Times New Roman"/>
          <w:kern w:val="3"/>
          <w:sz w:val="28"/>
          <w:szCs w:val="28"/>
          <w:lang w:eastAsia="zh-CN" w:bidi="hi-IN"/>
        </w:rPr>
        <w:softHyphen/>
        <w:t>ния рынка, позволяет учесть состояние внешней среды работы УК и выделить следующие типичные ситуации и их разновид</w:t>
      </w:r>
      <w:r w:rsidRPr="00E44760">
        <w:rPr>
          <w:rFonts w:ascii="Times New Roman" w:hAnsi="Times New Roman"/>
          <w:kern w:val="3"/>
          <w:sz w:val="28"/>
          <w:szCs w:val="28"/>
          <w:lang w:eastAsia="zh-CN" w:bidi="hi-IN"/>
        </w:rPr>
        <w:softHyphen/>
        <w:t>ности:</w:t>
      </w:r>
    </w:p>
    <w:p w:rsidR="00991A3C" w:rsidRPr="00E44760" w:rsidRDefault="00991A3C" w:rsidP="00DE7A8B">
      <w:pPr>
        <w:widowControl w:val="0"/>
        <w:suppressAutoHyphens/>
        <w:autoSpaceDN w:val="0"/>
        <w:spacing w:after="0" w:line="480" w:lineRule="auto"/>
        <w:ind w:firstLine="567"/>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растут доходности работы рынка и НПФ (рынок растет быстрее доходно</w:t>
      </w:r>
      <w:r w:rsidRPr="00E44760">
        <w:rPr>
          <w:rFonts w:ascii="Times New Roman" w:hAnsi="Times New Roman"/>
          <w:kern w:val="3"/>
          <w:sz w:val="28"/>
          <w:szCs w:val="28"/>
          <w:lang w:eastAsia="zh-CN" w:bidi="hi-IN"/>
        </w:rPr>
        <w:softHyphen/>
        <w:t>сти НПФ, Доходность НПФ растет быстрее доходности рынка);</w:t>
      </w:r>
    </w:p>
    <w:p w:rsidR="00991A3C" w:rsidRPr="00E44760" w:rsidRDefault="00991A3C" w:rsidP="00DE7A8B">
      <w:pPr>
        <w:widowControl w:val="0"/>
        <w:suppressAutoHyphens/>
        <w:autoSpaceDN w:val="0"/>
        <w:spacing w:after="0" w:line="480" w:lineRule="auto"/>
        <w:ind w:firstLine="567"/>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падает доходность рынка и НПФ, но разными темпами;</w:t>
      </w:r>
    </w:p>
    <w:p w:rsidR="00991A3C" w:rsidRPr="00E44760" w:rsidRDefault="00991A3C" w:rsidP="00DE7A8B">
      <w:pPr>
        <w:widowControl w:val="0"/>
        <w:suppressAutoHyphens/>
        <w:autoSpaceDN w:val="0"/>
        <w:spacing w:after="0" w:line="480" w:lineRule="auto"/>
        <w:ind w:firstLine="567"/>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 динамика рынка и НПФ разнонаправленная (НПФ растет, рынок падает и наоборот).</w:t>
      </w:r>
    </w:p>
    <w:p w:rsidR="00991A3C" w:rsidRPr="00E44760" w:rsidRDefault="00991A3C" w:rsidP="00DE7A8B">
      <w:pPr>
        <w:widowControl w:val="0"/>
        <w:suppressAutoHyphens/>
        <w:autoSpaceDN w:val="0"/>
        <w:spacing w:after="0" w:line="480" w:lineRule="auto"/>
        <w:ind w:firstLine="567"/>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Мы считаем, что для оценки деятельности УК инвестору необходим один интегрированный показатель, который позволит сделать однозначный выбор в пользу той или иной компании. По нашему мнению, таким показателем может быть разница темпов изменения доходности инвестиций НПФ и среднерыночных показа</w:t>
      </w:r>
      <w:r w:rsidRPr="00E44760">
        <w:rPr>
          <w:rFonts w:ascii="Times New Roman" w:hAnsi="Times New Roman"/>
          <w:kern w:val="3"/>
          <w:sz w:val="28"/>
          <w:szCs w:val="28"/>
          <w:lang w:eastAsia="zh-CN" w:bidi="hi-IN"/>
        </w:rPr>
        <w:softHyphen/>
        <w:t xml:space="preserve">телей, отражаемых динамикой индексов по группе компаний, соответствующих структуре инвестиций НПФ. Предлагается дифференцировать значение ставки для расчета суммы вознаграждения УК в зависимости от распределения этого показателя с учетом его величины и знака. </w:t>
      </w:r>
    </w:p>
    <w:p w:rsidR="00991A3C" w:rsidRPr="00E44760" w:rsidRDefault="00991A3C" w:rsidP="00DE7A8B">
      <w:pPr>
        <w:widowControl w:val="0"/>
        <w:suppressAutoHyphens/>
        <w:autoSpaceDN w:val="0"/>
        <w:spacing w:after="0" w:line="480" w:lineRule="auto"/>
        <w:ind w:firstLine="567"/>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t>При оценке деятельности УК предлагается использовать матрицу соотношений состояний рынка и изменений доходности инвестиционных накоплений НПФ  (табл.6).</w:t>
      </w:r>
    </w:p>
    <w:p w:rsidR="00991A3C" w:rsidRPr="00DE7A8B" w:rsidRDefault="00991A3C" w:rsidP="006B0B85">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p>
    <w:p w:rsidR="00991A3C" w:rsidRPr="00E44760" w:rsidRDefault="00991A3C" w:rsidP="003D23D7">
      <w:pPr>
        <w:widowControl w:val="0"/>
        <w:suppressAutoHyphens/>
        <w:autoSpaceDN w:val="0"/>
        <w:spacing w:after="0" w:line="360" w:lineRule="auto"/>
        <w:jc w:val="both"/>
        <w:textAlignment w:val="baseline"/>
        <w:rPr>
          <w:rFonts w:ascii="Times New Roman" w:hAnsi="Times New Roman"/>
          <w:kern w:val="3"/>
          <w:sz w:val="28"/>
          <w:szCs w:val="28"/>
          <w:lang w:eastAsia="zh-CN" w:bidi="hi-IN"/>
        </w:rPr>
      </w:pPr>
      <w:r w:rsidRPr="00E44760">
        <w:rPr>
          <w:rFonts w:ascii="Times New Roman" w:hAnsi="Times New Roman"/>
          <w:kern w:val="3"/>
          <w:sz w:val="28"/>
          <w:szCs w:val="28"/>
          <w:lang w:eastAsia="zh-CN" w:bidi="hi-IN"/>
        </w:rPr>
        <w:lastRenderedPageBreak/>
        <w:t>Таблица 6 – Матрица соотношений типичных состояний рынка,  динамики доходности инвестиционных накоплений НПФ и оценки работы УК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5"/>
        <w:gridCol w:w="3734"/>
        <w:gridCol w:w="3607"/>
      </w:tblGrid>
      <w:tr w:rsidR="00991A3C" w:rsidRPr="009C1324" w:rsidTr="009C1324">
        <w:tc>
          <w:tcPr>
            <w:tcW w:w="196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Состояние рынка</w:t>
            </w:r>
          </w:p>
        </w:tc>
        <w:tc>
          <w:tcPr>
            <w:tcW w:w="3812"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Доходность инвестиционных накоплений растет</w:t>
            </w:r>
          </w:p>
        </w:tc>
        <w:tc>
          <w:tcPr>
            <w:tcW w:w="368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Доходность нвестиционных накоплений падает</w:t>
            </w:r>
          </w:p>
        </w:tc>
      </w:tr>
      <w:tr w:rsidR="00991A3C" w:rsidRPr="009C1324" w:rsidTr="009C1324">
        <w:tc>
          <w:tcPr>
            <w:tcW w:w="196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Падающий</w:t>
            </w:r>
          </w:p>
        </w:tc>
        <w:tc>
          <w:tcPr>
            <w:tcW w:w="3812"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хорошая</w:t>
            </w:r>
          </w:p>
        </w:tc>
        <w:tc>
          <w:tcPr>
            <w:tcW w:w="368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В зависимости от темпов снижения доходности:</w:t>
            </w:r>
          </w:p>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1.темпы снижения доходности превышают темпы снижения индекса- низкая</w:t>
            </w:r>
          </w:p>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2. темпы снижения доходности ниже темпов снижения индекса-умеренная</w:t>
            </w:r>
          </w:p>
        </w:tc>
      </w:tr>
      <w:tr w:rsidR="00991A3C" w:rsidRPr="009C1324" w:rsidTr="009C1324">
        <w:tc>
          <w:tcPr>
            <w:tcW w:w="196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Стагнация</w:t>
            </w:r>
          </w:p>
        </w:tc>
        <w:tc>
          <w:tcPr>
            <w:tcW w:w="3812"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хорошая</w:t>
            </w:r>
          </w:p>
        </w:tc>
        <w:tc>
          <w:tcPr>
            <w:tcW w:w="368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умеренная</w:t>
            </w:r>
          </w:p>
        </w:tc>
      </w:tr>
      <w:tr w:rsidR="00991A3C" w:rsidRPr="009C1324" w:rsidTr="009C1324">
        <w:tc>
          <w:tcPr>
            <w:tcW w:w="196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Растущий</w:t>
            </w:r>
          </w:p>
        </w:tc>
        <w:tc>
          <w:tcPr>
            <w:tcW w:w="3812"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В зависимости от темпов роста: хорошая в случаях  превышения доходности инвестиционных накоплений над доходностью рынка</w:t>
            </w:r>
          </w:p>
        </w:tc>
        <w:tc>
          <w:tcPr>
            <w:tcW w:w="3686" w:type="dxa"/>
          </w:tcPr>
          <w:p w:rsidR="00991A3C" w:rsidRPr="009C1324" w:rsidRDefault="00991A3C" w:rsidP="009C1324">
            <w:pPr>
              <w:widowControl w:val="0"/>
              <w:suppressAutoHyphens/>
              <w:autoSpaceDN w:val="0"/>
              <w:spacing w:after="0" w:line="240" w:lineRule="auto"/>
              <w:jc w:val="both"/>
              <w:textAlignment w:val="baseline"/>
              <w:rPr>
                <w:rFonts w:ascii="Times New Roman" w:hAnsi="Times New Roman"/>
                <w:kern w:val="3"/>
                <w:sz w:val="28"/>
                <w:szCs w:val="28"/>
                <w:lang w:eastAsia="zh-CN" w:bidi="hi-IN"/>
              </w:rPr>
            </w:pPr>
            <w:r w:rsidRPr="009C1324">
              <w:rPr>
                <w:rFonts w:ascii="Times New Roman" w:hAnsi="Times New Roman"/>
                <w:kern w:val="3"/>
                <w:sz w:val="28"/>
                <w:szCs w:val="28"/>
                <w:lang w:eastAsia="zh-CN" w:bidi="hi-IN"/>
              </w:rPr>
              <w:t>низкая</w:t>
            </w:r>
          </w:p>
        </w:tc>
      </w:tr>
    </w:tbl>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 xml:space="preserve"> </w:t>
      </w:r>
    </w:p>
    <w:p w:rsidR="00991A3C" w:rsidRPr="00E44760" w:rsidRDefault="00991A3C" w:rsidP="005106D8">
      <w:pPr>
        <w:spacing w:after="0" w:line="360" w:lineRule="auto"/>
        <w:ind w:firstLine="680"/>
        <w:jc w:val="both"/>
        <w:rPr>
          <w:rFonts w:ascii="Times New Roman" w:hAnsi="Times New Roman"/>
          <w:sz w:val="28"/>
          <w:szCs w:val="28"/>
        </w:rPr>
      </w:pPr>
      <w:r w:rsidRPr="00E44760">
        <w:rPr>
          <w:rFonts w:ascii="Times New Roman" w:hAnsi="Times New Roman"/>
          <w:sz w:val="28"/>
          <w:szCs w:val="28"/>
        </w:rPr>
        <w:t>Использование потенциальными участниками системы не госуда</w:t>
      </w:r>
      <w:r w:rsidRPr="00E44760">
        <w:rPr>
          <w:rFonts w:ascii="Times New Roman" w:hAnsi="Times New Roman"/>
          <w:sz w:val="28"/>
          <w:szCs w:val="28"/>
        </w:rPr>
        <w:t>р</w:t>
      </w:r>
      <w:r w:rsidRPr="00E44760">
        <w:rPr>
          <w:rFonts w:ascii="Times New Roman" w:hAnsi="Times New Roman"/>
          <w:sz w:val="28"/>
          <w:szCs w:val="28"/>
        </w:rPr>
        <w:t>ственного пенсионного обеспечения системы предложенных критериев</w:t>
      </w:r>
      <w:r>
        <w:rPr>
          <w:rFonts w:ascii="Times New Roman" w:hAnsi="Times New Roman"/>
          <w:sz w:val="28"/>
          <w:szCs w:val="28"/>
        </w:rPr>
        <w:t>,</w:t>
      </w:r>
      <w:r w:rsidRPr="00E44760">
        <w:rPr>
          <w:rFonts w:ascii="Times New Roman" w:hAnsi="Times New Roman"/>
          <w:sz w:val="28"/>
          <w:szCs w:val="28"/>
        </w:rPr>
        <w:t xml:space="preserve"> по нашему мнению</w:t>
      </w:r>
      <w:r>
        <w:rPr>
          <w:rFonts w:ascii="Times New Roman" w:hAnsi="Times New Roman"/>
          <w:sz w:val="28"/>
          <w:szCs w:val="28"/>
        </w:rPr>
        <w:t>,</w:t>
      </w:r>
      <w:r w:rsidRPr="00E44760">
        <w:rPr>
          <w:rFonts w:ascii="Times New Roman" w:hAnsi="Times New Roman"/>
          <w:sz w:val="28"/>
          <w:szCs w:val="28"/>
        </w:rPr>
        <w:t xml:space="preserve"> позволит повысить объективность оценки, что снизит риски инвестиций и даст новые стимулы развития НПФ.  </w:t>
      </w:r>
    </w:p>
    <w:p w:rsidR="00991A3C" w:rsidRPr="00E44760" w:rsidRDefault="00991A3C" w:rsidP="00E92199">
      <w:pPr>
        <w:spacing w:after="0" w:line="360" w:lineRule="auto"/>
        <w:ind w:firstLine="709"/>
        <w:jc w:val="both"/>
        <w:textAlignment w:val="baseline"/>
        <w:rPr>
          <w:rFonts w:ascii="Times New Roman" w:hAnsi="Times New Roman"/>
          <w:iCs/>
          <w:sz w:val="28"/>
          <w:szCs w:val="28"/>
          <w:lang w:eastAsia="ru-RU"/>
        </w:rPr>
      </w:pPr>
    </w:p>
    <w:p w:rsidR="00991A3C" w:rsidRPr="00E5722D" w:rsidRDefault="00991A3C" w:rsidP="00E5722D">
      <w:pPr>
        <w:keepNext/>
        <w:widowControl w:val="0"/>
        <w:shd w:val="clear" w:color="auto" w:fill="FFFFFF"/>
        <w:tabs>
          <w:tab w:val="left" w:pos="993"/>
        </w:tabs>
        <w:spacing w:after="0" w:line="360" w:lineRule="auto"/>
        <w:ind w:firstLine="567"/>
        <w:jc w:val="both"/>
        <w:rPr>
          <w:rFonts w:ascii="Times New Roman" w:hAnsi="Times New Roman"/>
          <w:b/>
          <w:sz w:val="24"/>
          <w:szCs w:val="24"/>
          <w:lang w:eastAsia="ru-RU"/>
        </w:rPr>
      </w:pPr>
      <w:r w:rsidRPr="00E5722D">
        <w:rPr>
          <w:rFonts w:ascii="Times New Roman" w:hAnsi="Times New Roman"/>
          <w:b/>
          <w:sz w:val="24"/>
          <w:szCs w:val="24"/>
          <w:lang w:eastAsia="ru-RU"/>
        </w:rPr>
        <w:t>Список литературы</w:t>
      </w:r>
    </w:p>
    <w:p w:rsidR="00991A3C" w:rsidRPr="00E5722D" w:rsidRDefault="00991A3C" w:rsidP="00E5722D">
      <w:pPr>
        <w:pStyle w:val="1"/>
        <w:numPr>
          <w:ilvl w:val="0"/>
          <w:numId w:val="12"/>
        </w:numPr>
        <w:shd w:val="clear" w:color="auto" w:fill="FFFFFF"/>
        <w:tabs>
          <w:tab w:val="left" w:pos="993"/>
        </w:tabs>
        <w:spacing w:before="0" w:line="240" w:lineRule="auto"/>
        <w:ind w:left="0" w:firstLine="567"/>
        <w:jc w:val="both"/>
        <w:rPr>
          <w:rFonts w:ascii="Times New Roman" w:hAnsi="Times New Roman"/>
          <w:b w:val="0"/>
          <w:color w:val="auto"/>
          <w:sz w:val="24"/>
          <w:szCs w:val="24"/>
          <w:lang w:eastAsia="ru-RU"/>
        </w:rPr>
      </w:pPr>
      <w:r w:rsidRPr="00E5722D">
        <w:rPr>
          <w:rFonts w:ascii="Times New Roman" w:hAnsi="Times New Roman"/>
          <w:b w:val="0"/>
          <w:color w:val="auto"/>
          <w:sz w:val="24"/>
          <w:szCs w:val="24"/>
          <w:lang w:eastAsia="ru-RU"/>
        </w:rPr>
        <w:t xml:space="preserve">О негосударственных пенсионных фондах:  Федеральный закон  РФ от </w:t>
      </w:r>
      <w:r w:rsidRPr="00E5722D">
        <w:rPr>
          <w:rFonts w:ascii="Times New Roman" w:hAnsi="Times New Roman"/>
          <w:b w:val="0"/>
          <w:color w:val="auto"/>
          <w:kern w:val="36"/>
          <w:sz w:val="24"/>
          <w:szCs w:val="24"/>
          <w:lang w:eastAsia="ru-RU"/>
        </w:rPr>
        <w:t xml:space="preserve">от 07.05.1998 N 75-ФЗ </w:t>
      </w:r>
      <w:r w:rsidRPr="00E5722D">
        <w:rPr>
          <w:rFonts w:ascii="Times New Roman" w:hAnsi="Times New Roman"/>
          <w:b w:val="0"/>
          <w:color w:val="auto"/>
          <w:sz w:val="24"/>
          <w:szCs w:val="24"/>
          <w:lang w:eastAsia="ru-RU"/>
        </w:rPr>
        <w:t xml:space="preserve"> [Принят ГД 08.04. 1998г.: по сост. на 29.06.2015г.). -[Электронный ресурс]. – </w:t>
      </w:r>
      <w:r w:rsidRPr="00E5722D">
        <w:rPr>
          <w:rFonts w:ascii="Times New Roman" w:hAnsi="Times New Roman"/>
          <w:b w:val="0"/>
          <w:color w:val="auto"/>
          <w:sz w:val="24"/>
          <w:szCs w:val="24"/>
          <w:lang w:val="en-US" w:eastAsia="ru-RU"/>
        </w:rPr>
        <w:t>URL</w:t>
      </w:r>
      <w:r w:rsidRPr="00E5722D">
        <w:rPr>
          <w:rFonts w:ascii="Times New Roman" w:hAnsi="Times New Roman"/>
          <w:b w:val="0"/>
          <w:color w:val="auto"/>
          <w:sz w:val="24"/>
          <w:szCs w:val="24"/>
          <w:lang w:eastAsia="ru-RU"/>
        </w:rPr>
        <w:t xml:space="preserve">: </w:t>
      </w:r>
      <w:hyperlink r:id="rId49" w:history="1">
        <w:r w:rsidRPr="00E5722D">
          <w:rPr>
            <w:rStyle w:val="a3"/>
            <w:rFonts w:ascii="Times New Roman" w:hAnsi="Times New Roman"/>
            <w:b w:val="0"/>
            <w:color w:val="auto"/>
            <w:sz w:val="24"/>
            <w:szCs w:val="24"/>
            <w:u w:val="none"/>
            <w:lang w:eastAsia="ru-RU"/>
          </w:rPr>
          <w:t>http://www.consultant.ru/</w:t>
        </w:r>
      </w:hyperlink>
    </w:p>
    <w:p w:rsidR="00991A3C" w:rsidRPr="00E5722D" w:rsidRDefault="00991A3C" w:rsidP="00E5722D">
      <w:pPr>
        <w:pStyle w:val="ad"/>
        <w:numPr>
          <w:ilvl w:val="0"/>
          <w:numId w:val="12"/>
        </w:numPr>
        <w:tabs>
          <w:tab w:val="left" w:pos="993"/>
        </w:tabs>
        <w:spacing w:after="0" w:line="240" w:lineRule="auto"/>
        <w:ind w:left="0" w:firstLine="567"/>
        <w:jc w:val="both"/>
        <w:rPr>
          <w:rFonts w:ascii="Times New Roman" w:hAnsi="Times New Roman"/>
          <w:sz w:val="24"/>
          <w:szCs w:val="24"/>
          <w:lang w:eastAsia="ru-RU"/>
        </w:rPr>
      </w:pPr>
      <w:r w:rsidRPr="00E5722D">
        <w:rPr>
          <w:rFonts w:ascii="Times New Roman" w:hAnsi="Times New Roman"/>
          <w:sz w:val="24"/>
          <w:szCs w:val="24"/>
          <w:lang w:eastAsia="ru-RU"/>
        </w:rPr>
        <w:t xml:space="preserve">Выбор НПФ -[Электронный ресурс]. – </w:t>
      </w:r>
      <w:r w:rsidRPr="00E5722D">
        <w:rPr>
          <w:rFonts w:ascii="Times New Roman" w:hAnsi="Times New Roman"/>
          <w:sz w:val="24"/>
          <w:szCs w:val="24"/>
          <w:lang w:val="en-US" w:eastAsia="ru-RU"/>
        </w:rPr>
        <w:t>URL</w:t>
      </w:r>
      <w:r w:rsidRPr="00E5722D">
        <w:rPr>
          <w:rFonts w:ascii="Times New Roman" w:hAnsi="Times New Roman"/>
          <w:sz w:val="24"/>
          <w:szCs w:val="24"/>
          <w:lang w:eastAsia="ru-RU"/>
        </w:rPr>
        <w:t>:  http:// www.pensiamarket.</w:t>
      </w:r>
    </w:p>
    <w:p w:rsidR="00991A3C" w:rsidRPr="00E5722D" w:rsidRDefault="00991A3C" w:rsidP="00E5722D">
      <w:pPr>
        <w:pStyle w:val="s15"/>
        <w:numPr>
          <w:ilvl w:val="0"/>
          <w:numId w:val="12"/>
        </w:numPr>
        <w:shd w:val="clear" w:color="auto" w:fill="FFFFFF"/>
        <w:tabs>
          <w:tab w:val="left" w:pos="993"/>
        </w:tabs>
        <w:spacing w:before="0" w:beforeAutospacing="0" w:after="0" w:afterAutospacing="0"/>
        <w:ind w:left="0" w:firstLine="567"/>
        <w:jc w:val="both"/>
      </w:pPr>
      <w:r w:rsidRPr="00E5722D">
        <w:t>Ворошилова И.В., Мушта Л.В., Мирошниченко М.Б. Паевые инвестиционные фонды как инструмент коллективных инвестиций: совершенствование механизма функционирования// Актуальные проблемы гуманитарных и естественных наук: жу</w:t>
      </w:r>
      <w:r w:rsidRPr="00E5722D">
        <w:t>р</w:t>
      </w:r>
      <w:r w:rsidRPr="00E5722D">
        <w:t>нал научных публикаций. – М.: 2013. - № 8. - С. 90-95.</w:t>
      </w:r>
    </w:p>
    <w:p w:rsidR="00991A3C" w:rsidRPr="00E5722D" w:rsidRDefault="00991A3C" w:rsidP="00E5722D">
      <w:pPr>
        <w:pStyle w:val="s15"/>
        <w:numPr>
          <w:ilvl w:val="0"/>
          <w:numId w:val="12"/>
        </w:numPr>
        <w:shd w:val="clear" w:color="auto" w:fill="FFFFFF"/>
        <w:tabs>
          <w:tab w:val="left" w:pos="993"/>
        </w:tabs>
        <w:spacing w:before="0" w:beforeAutospacing="0" w:after="0" w:afterAutospacing="0"/>
        <w:ind w:left="0" w:firstLine="567"/>
        <w:jc w:val="both"/>
        <w:rPr>
          <w:bCs/>
        </w:rPr>
      </w:pPr>
      <w:r w:rsidRPr="00E5722D">
        <w:t>Ворошилова И.В., Ушаков А.С. НПФ как институт формирования инновац</w:t>
      </w:r>
      <w:r w:rsidRPr="00E5722D">
        <w:t>и</w:t>
      </w:r>
      <w:r w:rsidRPr="00E5722D">
        <w:t>онной модели экономики//</w:t>
      </w:r>
      <w:r w:rsidRPr="00E5722D">
        <w:rPr>
          <w:bCs/>
        </w:rPr>
        <w:t xml:space="preserve"> Институциональная трансформация экономики: материалы международной студенческой научной конференции по экономике. – Краснодар: КубГАУ, 2013, 23-25 ноября – 26,1  п.л.; С. 95-102.</w:t>
      </w:r>
    </w:p>
    <w:p w:rsidR="00991A3C" w:rsidRPr="00E5722D" w:rsidRDefault="00991A3C" w:rsidP="00E5722D">
      <w:pPr>
        <w:pStyle w:val="ad"/>
        <w:numPr>
          <w:ilvl w:val="0"/>
          <w:numId w:val="12"/>
        </w:numPr>
        <w:tabs>
          <w:tab w:val="left" w:pos="993"/>
        </w:tabs>
        <w:spacing w:after="0" w:line="240" w:lineRule="auto"/>
        <w:ind w:left="0" w:firstLine="567"/>
        <w:jc w:val="both"/>
        <w:rPr>
          <w:rFonts w:ascii="Times New Roman" w:hAnsi="Times New Roman"/>
          <w:bCs/>
          <w:sz w:val="24"/>
          <w:szCs w:val="24"/>
        </w:rPr>
      </w:pPr>
      <w:r w:rsidRPr="00E5722D">
        <w:rPr>
          <w:rFonts w:ascii="Times New Roman" w:hAnsi="Times New Roman"/>
          <w:bCs/>
          <w:sz w:val="24"/>
          <w:szCs w:val="24"/>
        </w:rPr>
        <w:t>Ворошилова И.В., Щербатов И.В. Развитие научных основ индустрии пенс</w:t>
      </w:r>
      <w:r w:rsidRPr="00E5722D">
        <w:rPr>
          <w:rFonts w:ascii="Times New Roman" w:hAnsi="Times New Roman"/>
          <w:bCs/>
          <w:sz w:val="24"/>
          <w:szCs w:val="24"/>
        </w:rPr>
        <w:t>и</w:t>
      </w:r>
      <w:r w:rsidRPr="00E5722D">
        <w:rPr>
          <w:rFonts w:ascii="Times New Roman" w:hAnsi="Times New Roman"/>
          <w:bCs/>
          <w:sz w:val="24"/>
          <w:szCs w:val="24"/>
        </w:rPr>
        <w:t>онных услуг в РФ// Актуальные вопросы образования и науки – материалы междун</w:t>
      </w:r>
      <w:r w:rsidRPr="00E5722D">
        <w:rPr>
          <w:rFonts w:ascii="Times New Roman" w:hAnsi="Times New Roman"/>
          <w:bCs/>
          <w:sz w:val="24"/>
          <w:szCs w:val="24"/>
        </w:rPr>
        <w:t>а</w:t>
      </w:r>
      <w:r w:rsidRPr="00E5722D">
        <w:rPr>
          <w:rFonts w:ascii="Times New Roman" w:hAnsi="Times New Roman"/>
          <w:bCs/>
          <w:sz w:val="24"/>
          <w:szCs w:val="24"/>
        </w:rPr>
        <w:lastRenderedPageBreak/>
        <w:t>родной научно-практической конференции. – Тамбов, 30 сентября 2014 г.- 9,5 у.п.л.; С. 40-41.</w:t>
      </w:r>
    </w:p>
    <w:p w:rsidR="00991A3C" w:rsidRPr="00E5722D" w:rsidRDefault="00991A3C" w:rsidP="00E5722D">
      <w:pPr>
        <w:pStyle w:val="ad"/>
        <w:numPr>
          <w:ilvl w:val="0"/>
          <w:numId w:val="12"/>
        </w:numPr>
        <w:shd w:val="clear" w:color="auto" w:fill="FFFFFF"/>
        <w:tabs>
          <w:tab w:val="left" w:pos="993"/>
        </w:tabs>
        <w:spacing w:after="0" w:line="240" w:lineRule="auto"/>
        <w:ind w:left="0" w:firstLine="567"/>
        <w:jc w:val="both"/>
        <w:rPr>
          <w:rFonts w:ascii="Times New Roman" w:hAnsi="Times New Roman"/>
          <w:iCs/>
          <w:sz w:val="24"/>
          <w:szCs w:val="24"/>
          <w:shd w:val="clear" w:color="auto" w:fill="F6F5F3"/>
        </w:rPr>
      </w:pPr>
      <w:r w:rsidRPr="00E5722D">
        <w:rPr>
          <w:rFonts w:ascii="Times New Roman" w:hAnsi="Times New Roman"/>
          <w:sz w:val="24"/>
          <w:szCs w:val="24"/>
        </w:rPr>
        <w:t>Гурвич Е.Т. Проблемы и необходимые реформы пенсионной системы</w:t>
      </w:r>
      <w:r w:rsidRPr="00E5722D">
        <w:rPr>
          <w:rFonts w:ascii="Times New Roman" w:hAnsi="Times New Roman"/>
          <w:b/>
          <w:kern w:val="36"/>
          <w:sz w:val="24"/>
          <w:szCs w:val="24"/>
          <w:lang w:eastAsia="ru-RU"/>
        </w:rPr>
        <w:t xml:space="preserve">. </w:t>
      </w:r>
      <w:r w:rsidRPr="00E5722D">
        <w:rPr>
          <w:rFonts w:ascii="Times New Roman" w:hAnsi="Times New Roman"/>
          <w:sz w:val="24"/>
          <w:szCs w:val="24"/>
          <w:lang w:eastAsia="ru-RU"/>
        </w:rPr>
        <w:t xml:space="preserve">-[Электронный ресурс]. – </w:t>
      </w:r>
      <w:r w:rsidRPr="00E5722D">
        <w:rPr>
          <w:rFonts w:ascii="Times New Roman" w:hAnsi="Times New Roman"/>
          <w:sz w:val="24"/>
          <w:szCs w:val="24"/>
          <w:lang w:val="en-US" w:eastAsia="ru-RU"/>
        </w:rPr>
        <w:t>URL</w:t>
      </w:r>
      <w:r w:rsidRPr="00E5722D">
        <w:rPr>
          <w:rFonts w:ascii="Times New Roman" w:hAnsi="Times New Roman"/>
          <w:sz w:val="24"/>
          <w:szCs w:val="24"/>
          <w:lang w:eastAsia="ru-RU"/>
        </w:rPr>
        <w:t>: http</w:t>
      </w:r>
      <w:r w:rsidRPr="00E5722D">
        <w:rPr>
          <w:rFonts w:ascii="Times New Roman" w:hAnsi="Times New Roman"/>
          <w:kern w:val="36"/>
          <w:sz w:val="24"/>
          <w:szCs w:val="24"/>
          <w:lang w:eastAsia="ru-RU"/>
        </w:rPr>
        <w:t>://</w:t>
      </w:r>
      <w:r w:rsidRPr="00E5722D">
        <w:rPr>
          <w:rFonts w:ascii="Times New Roman" w:hAnsi="Times New Roman"/>
          <w:sz w:val="24"/>
          <w:szCs w:val="24"/>
          <w:lang w:eastAsia="ru-RU"/>
        </w:rPr>
        <w:t xml:space="preserve"> </w:t>
      </w:r>
      <w:hyperlink r:id="rId50" w:history="1">
        <w:r w:rsidRPr="00E5722D">
          <w:rPr>
            <w:rStyle w:val="a3"/>
            <w:rFonts w:ascii="Times New Roman" w:hAnsi="Times New Roman"/>
            <w:iCs/>
            <w:color w:val="auto"/>
            <w:sz w:val="24"/>
            <w:szCs w:val="24"/>
            <w:u w:val="none"/>
            <w:shd w:val="clear" w:color="auto" w:fill="F6F5F3"/>
          </w:rPr>
          <w:t>www.econorus.org</w:t>
        </w:r>
      </w:hyperlink>
      <w:r w:rsidRPr="00E5722D">
        <w:rPr>
          <w:rStyle w:val="a3"/>
          <w:rFonts w:ascii="Times New Roman" w:hAnsi="Times New Roman"/>
          <w:iCs/>
          <w:color w:val="auto"/>
          <w:sz w:val="24"/>
          <w:szCs w:val="24"/>
          <w:u w:val="none"/>
          <w:shd w:val="clear" w:color="auto" w:fill="F6F5F3"/>
        </w:rPr>
        <w:t>.</w:t>
      </w:r>
    </w:p>
    <w:p w:rsidR="00991A3C" w:rsidRPr="00E5722D" w:rsidRDefault="00991A3C" w:rsidP="00E5722D">
      <w:pPr>
        <w:pStyle w:val="1"/>
        <w:numPr>
          <w:ilvl w:val="0"/>
          <w:numId w:val="12"/>
        </w:numPr>
        <w:shd w:val="clear" w:color="auto" w:fill="FFFFFF"/>
        <w:tabs>
          <w:tab w:val="left" w:pos="993"/>
        </w:tabs>
        <w:spacing w:before="0" w:line="240" w:lineRule="auto"/>
        <w:ind w:left="0" w:firstLine="567"/>
        <w:jc w:val="both"/>
        <w:rPr>
          <w:rFonts w:ascii="Times New Roman" w:hAnsi="Times New Roman"/>
          <w:b w:val="0"/>
          <w:color w:val="auto"/>
          <w:kern w:val="36"/>
          <w:sz w:val="24"/>
          <w:szCs w:val="24"/>
          <w:lang w:eastAsia="ru-RU"/>
        </w:rPr>
      </w:pPr>
      <w:r w:rsidRPr="00E5722D">
        <w:rPr>
          <w:rFonts w:ascii="Times New Roman" w:hAnsi="Times New Roman"/>
          <w:b w:val="0"/>
          <w:iCs/>
          <w:color w:val="auto"/>
          <w:sz w:val="24"/>
          <w:szCs w:val="24"/>
          <w:shd w:val="clear" w:color="auto" w:fill="F6F5F3"/>
        </w:rPr>
        <w:t>ВБ</w:t>
      </w:r>
      <w:r w:rsidRPr="00E5722D">
        <w:rPr>
          <w:rFonts w:ascii="Times New Roman" w:hAnsi="Times New Roman"/>
          <w:iCs/>
          <w:color w:val="auto"/>
          <w:sz w:val="24"/>
          <w:szCs w:val="24"/>
          <w:shd w:val="clear" w:color="auto" w:fill="F6F5F3"/>
        </w:rPr>
        <w:t xml:space="preserve"> </w:t>
      </w:r>
      <w:r w:rsidRPr="00E5722D">
        <w:rPr>
          <w:rFonts w:ascii="Times New Roman" w:hAnsi="Times New Roman"/>
          <w:b w:val="0"/>
          <w:color w:val="auto"/>
          <w:kern w:val="36"/>
          <w:sz w:val="24"/>
          <w:szCs w:val="24"/>
          <w:lang w:eastAsia="ru-RU"/>
        </w:rPr>
        <w:t xml:space="preserve">подсказал России лекарства от старости в нищете. </w:t>
      </w:r>
      <w:r w:rsidRPr="00E5722D">
        <w:rPr>
          <w:rFonts w:ascii="Times New Roman" w:hAnsi="Times New Roman"/>
          <w:b w:val="0"/>
          <w:color w:val="auto"/>
          <w:sz w:val="24"/>
          <w:szCs w:val="24"/>
          <w:lang w:eastAsia="ru-RU"/>
        </w:rPr>
        <w:t xml:space="preserve">-[Электронный ресурс]. – </w:t>
      </w:r>
      <w:r w:rsidRPr="00E5722D">
        <w:rPr>
          <w:rFonts w:ascii="Times New Roman" w:hAnsi="Times New Roman"/>
          <w:b w:val="0"/>
          <w:color w:val="auto"/>
          <w:sz w:val="24"/>
          <w:szCs w:val="24"/>
          <w:lang w:val="en-US" w:eastAsia="ru-RU"/>
        </w:rPr>
        <w:t>URL</w:t>
      </w:r>
      <w:r w:rsidRPr="00E5722D">
        <w:rPr>
          <w:rFonts w:ascii="Times New Roman" w:hAnsi="Times New Roman"/>
          <w:b w:val="0"/>
          <w:color w:val="auto"/>
          <w:sz w:val="24"/>
          <w:szCs w:val="24"/>
          <w:lang w:eastAsia="ru-RU"/>
        </w:rPr>
        <w:t>:  http</w:t>
      </w:r>
      <w:r w:rsidRPr="00E5722D">
        <w:rPr>
          <w:rFonts w:ascii="Times New Roman" w:hAnsi="Times New Roman"/>
          <w:b w:val="0"/>
          <w:color w:val="auto"/>
          <w:kern w:val="36"/>
          <w:sz w:val="24"/>
          <w:szCs w:val="24"/>
          <w:lang w:eastAsia="ru-RU"/>
        </w:rPr>
        <w:t>://www.finanz.ru/</w:t>
      </w:r>
    </w:p>
    <w:p w:rsidR="00991A3C" w:rsidRPr="00E5722D" w:rsidRDefault="00991A3C" w:rsidP="00E5722D">
      <w:pPr>
        <w:pStyle w:val="ad"/>
        <w:numPr>
          <w:ilvl w:val="0"/>
          <w:numId w:val="12"/>
        </w:numPr>
        <w:shd w:val="clear" w:color="auto" w:fill="FFFFFF"/>
        <w:tabs>
          <w:tab w:val="left" w:pos="993"/>
        </w:tabs>
        <w:spacing w:after="0" w:line="240" w:lineRule="auto"/>
        <w:ind w:left="0" w:firstLine="567"/>
        <w:jc w:val="both"/>
        <w:rPr>
          <w:rStyle w:val="a3"/>
          <w:rFonts w:ascii="Times New Roman" w:hAnsi="Times New Roman"/>
          <w:iCs/>
          <w:color w:val="auto"/>
          <w:sz w:val="24"/>
          <w:szCs w:val="24"/>
          <w:u w:val="none"/>
          <w:shd w:val="clear" w:color="auto" w:fill="F6F5F3"/>
        </w:rPr>
      </w:pPr>
      <w:r w:rsidRPr="00E5722D">
        <w:rPr>
          <w:rFonts w:ascii="Times New Roman" w:hAnsi="Times New Roman"/>
          <w:iCs/>
          <w:sz w:val="24"/>
          <w:szCs w:val="24"/>
          <w:shd w:val="clear" w:color="auto" w:fill="F6F5F3"/>
        </w:rPr>
        <w:t>Количества УК</w:t>
      </w:r>
      <w:r w:rsidRPr="00E5722D">
        <w:rPr>
          <w:rFonts w:ascii="Times New Roman" w:hAnsi="Times New Roman"/>
          <w:sz w:val="24"/>
          <w:szCs w:val="24"/>
          <w:lang w:eastAsia="ru-RU"/>
        </w:rPr>
        <w:t xml:space="preserve">-[Электронный ресурс]. – </w:t>
      </w:r>
      <w:r w:rsidRPr="00E5722D">
        <w:rPr>
          <w:rFonts w:ascii="Times New Roman" w:hAnsi="Times New Roman"/>
          <w:sz w:val="24"/>
          <w:szCs w:val="24"/>
          <w:lang w:val="en-US" w:eastAsia="ru-RU"/>
        </w:rPr>
        <w:t>URL</w:t>
      </w:r>
      <w:r w:rsidRPr="00E5722D">
        <w:rPr>
          <w:rFonts w:ascii="Times New Roman" w:hAnsi="Times New Roman"/>
          <w:sz w:val="24"/>
          <w:szCs w:val="24"/>
          <w:lang w:eastAsia="ru-RU"/>
        </w:rPr>
        <w:t xml:space="preserve">: </w:t>
      </w:r>
      <w:r w:rsidRPr="00E5722D">
        <w:rPr>
          <w:rFonts w:ascii="Times New Roman" w:hAnsi="Times New Roman"/>
          <w:iCs/>
          <w:sz w:val="24"/>
          <w:szCs w:val="24"/>
          <w:shd w:val="clear" w:color="auto" w:fill="F6F5F3"/>
        </w:rPr>
        <w:t>http://www.nlu.ru/.</w:t>
      </w:r>
    </w:p>
    <w:p w:rsidR="00991A3C" w:rsidRPr="00E5722D" w:rsidRDefault="00991A3C" w:rsidP="00E5722D">
      <w:pPr>
        <w:pStyle w:val="ad"/>
        <w:numPr>
          <w:ilvl w:val="0"/>
          <w:numId w:val="12"/>
        </w:numPr>
        <w:tabs>
          <w:tab w:val="left" w:pos="993"/>
        </w:tabs>
        <w:spacing w:after="0" w:line="240" w:lineRule="auto"/>
        <w:ind w:left="0" w:firstLine="567"/>
        <w:jc w:val="both"/>
        <w:rPr>
          <w:rStyle w:val="a3"/>
          <w:rFonts w:ascii="Times New Roman" w:hAnsi="Times New Roman"/>
          <w:color w:val="auto"/>
          <w:sz w:val="24"/>
          <w:szCs w:val="24"/>
          <w:u w:val="none"/>
          <w:shd w:val="clear" w:color="auto" w:fill="FFFFFF"/>
        </w:rPr>
      </w:pPr>
      <w:r w:rsidRPr="00E5722D">
        <w:rPr>
          <w:rFonts w:ascii="Times New Roman" w:hAnsi="Times New Roman"/>
          <w:sz w:val="24"/>
          <w:szCs w:val="24"/>
          <w:shd w:val="clear" w:color="auto" w:fill="FFFFFF"/>
        </w:rPr>
        <w:t>Краткий обзор отрасли пенсионного страхования по итогам августа 2015г.</w:t>
      </w:r>
      <w:r w:rsidRPr="00E5722D">
        <w:rPr>
          <w:rFonts w:ascii="Times New Roman" w:hAnsi="Times New Roman"/>
          <w:sz w:val="24"/>
          <w:szCs w:val="24"/>
          <w:lang w:eastAsia="ru-RU"/>
        </w:rPr>
        <w:t xml:space="preserve"> -[Электронный ресурс]. – </w:t>
      </w:r>
      <w:r w:rsidRPr="00E5722D">
        <w:rPr>
          <w:rFonts w:ascii="Times New Roman" w:hAnsi="Times New Roman"/>
          <w:sz w:val="24"/>
          <w:szCs w:val="24"/>
          <w:lang w:val="en-US" w:eastAsia="ru-RU"/>
        </w:rPr>
        <w:t>URL</w:t>
      </w:r>
      <w:r w:rsidRPr="00E5722D">
        <w:rPr>
          <w:rFonts w:ascii="Times New Roman" w:hAnsi="Times New Roman"/>
          <w:sz w:val="24"/>
          <w:szCs w:val="24"/>
          <w:lang w:eastAsia="ru-RU"/>
        </w:rPr>
        <w:t>:</w:t>
      </w:r>
      <w:r w:rsidRPr="00E5722D">
        <w:rPr>
          <w:rFonts w:ascii="Times New Roman" w:hAnsi="Times New Roman"/>
          <w:sz w:val="24"/>
          <w:szCs w:val="24"/>
        </w:rPr>
        <w:t xml:space="preserve"> </w:t>
      </w:r>
      <w:hyperlink r:id="rId51" w:history="1">
        <w:r w:rsidRPr="00E5722D">
          <w:rPr>
            <w:rStyle w:val="a3"/>
            <w:rFonts w:ascii="Times New Roman" w:hAnsi="Times New Roman"/>
            <w:color w:val="auto"/>
            <w:sz w:val="24"/>
            <w:szCs w:val="24"/>
            <w:u w:val="none"/>
            <w:shd w:val="clear" w:color="auto" w:fill="FFFFFF"/>
          </w:rPr>
          <w:t>http://rospens.ru/research/ratings/reyting-npf-za-avgust-2015-goda.htm</w:t>
        </w:r>
      </w:hyperlink>
    </w:p>
    <w:p w:rsidR="00991A3C" w:rsidRPr="00E5722D" w:rsidRDefault="00991A3C" w:rsidP="00E5722D">
      <w:pPr>
        <w:pStyle w:val="ad"/>
        <w:numPr>
          <w:ilvl w:val="0"/>
          <w:numId w:val="12"/>
        </w:numPr>
        <w:tabs>
          <w:tab w:val="left" w:pos="993"/>
        </w:tabs>
        <w:spacing w:after="0" w:line="240" w:lineRule="auto"/>
        <w:ind w:left="0" w:firstLine="567"/>
        <w:jc w:val="both"/>
        <w:rPr>
          <w:rFonts w:ascii="Times New Roman" w:hAnsi="Times New Roman"/>
          <w:sz w:val="24"/>
          <w:szCs w:val="24"/>
          <w:shd w:val="clear" w:color="auto" w:fill="FFFFFF"/>
        </w:rPr>
      </w:pPr>
      <w:r w:rsidRPr="00E5722D">
        <w:rPr>
          <w:rStyle w:val="a3"/>
          <w:rFonts w:ascii="Times New Roman" w:hAnsi="Times New Roman"/>
          <w:color w:val="auto"/>
          <w:sz w:val="24"/>
          <w:szCs w:val="24"/>
          <w:u w:val="none"/>
          <w:shd w:val="clear" w:color="auto" w:fill="FFFFFF"/>
        </w:rPr>
        <w:t>Индексы. Негосударственные пенсионные фонды</w:t>
      </w:r>
      <w:r w:rsidRPr="00E5722D">
        <w:rPr>
          <w:rFonts w:ascii="Times New Roman" w:hAnsi="Times New Roman"/>
          <w:b/>
          <w:sz w:val="24"/>
          <w:szCs w:val="24"/>
          <w:lang w:eastAsia="ru-RU"/>
        </w:rPr>
        <w:t xml:space="preserve">.). </w:t>
      </w:r>
      <w:r w:rsidRPr="00E5722D">
        <w:rPr>
          <w:rFonts w:ascii="Times New Roman" w:hAnsi="Times New Roman"/>
          <w:sz w:val="24"/>
          <w:szCs w:val="24"/>
          <w:lang w:eastAsia="ru-RU"/>
        </w:rPr>
        <w:t xml:space="preserve">- [Электронный ресурс]. – </w:t>
      </w:r>
      <w:r w:rsidRPr="00E5722D">
        <w:rPr>
          <w:rFonts w:ascii="Times New Roman" w:hAnsi="Times New Roman"/>
          <w:sz w:val="24"/>
          <w:szCs w:val="24"/>
          <w:lang w:val="en-US" w:eastAsia="ru-RU"/>
        </w:rPr>
        <w:t>URL</w:t>
      </w:r>
      <w:r w:rsidRPr="00E5722D">
        <w:rPr>
          <w:rFonts w:ascii="Times New Roman" w:hAnsi="Times New Roman"/>
          <w:sz w:val="24"/>
          <w:szCs w:val="24"/>
          <w:lang w:eastAsia="ru-RU"/>
        </w:rPr>
        <w:t>:</w:t>
      </w:r>
      <w:r w:rsidRPr="00E5722D">
        <w:rPr>
          <w:rFonts w:ascii="Times New Roman" w:hAnsi="Times New Roman"/>
          <w:b/>
          <w:sz w:val="24"/>
          <w:szCs w:val="24"/>
          <w:lang w:eastAsia="ru-RU"/>
        </w:rPr>
        <w:t xml:space="preserve"> </w:t>
      </w:r>
      <w:r w:rsidRPr="00E5722D">
        <w:rPr>
          <w:rStyle w:val="a3"/>
          <w:rFonts w:ascii="Times New Roman" w:hAnsi="Times New Roman"/>
          <w:color w:val="auto"/>
          <w:sz w:val="24"/>
          <w:szCs w:val="24"/>
          <w:u w:val="none"/>
          <w:lang w:eastAsia="ru-RU"/>
        </w:rPr>
        <w:t>http://npf.investfunds.ru/indicators/.</w:t>
      </w:r>
    </w:p>
    <w:p w:rsidR="00991A3C" w:rsidRPr="00E5722D" w:rsidRDefault="00991A3C" w:rsidP="00E5722D">
      <w:pPr>
        <w:pStyle w:val="s15"/>
        <w:numPr>
          <w:ilvl w:val="0"/>
          <w:numId w:val="12"/>
        </w:numPr>
        <w:shd w:val="clear" w:color="auto" w:fill="FFFFFF"/>
        <w:tabs>
          <w:tab w:val="left" w:pos="993"/>
        </w:tabs>
        <w:spacing w:before="0" w:beforeAutospacing="0" w:after="0" w:afterAutospacing="0"/>
        <w:ind w:left="0" w:firstLine="567"/>
        <w:jc w:val="both"/>
      </w:pPr>
      <w:r w:rsidRPr="00E5722D">
        <w:t xml:space="preserve">Объем секьюритизационных сделок в структуре инвестирования пенсионных накоплений и их инвестиционный потенциал. -[Электронный ресурс]. – </w:t>
      </w:r>
      <w:r w:rsidRPr="00E5722D">
        <w:rPr>
          <w:lang w:val="en-US"/>
        </w:rPr>
        <w:t>URL</w:t>
      </w:r>
      <w:r w:rsidRPr="00E5722D">
        <w:t>:   http://rusipoteka.ru/files/events/2015/1410/dresviannikova.pdf</w:t>
      </w:r>
    </w:p>
    <w:p w:rsidR="00991A3C" w:rsidRPr="00E5722D" w:rsidRDefault="00991A3C" w:rsidP="00E5722D">
      <w:pPr>
        <w:pStyle w:val="s15"/>
        <w:numPr>
          <w:ilvl w:val="0"/>
          <w:numId w:val="12"/>
        </w:numPr>
        <w:shd w:val="clear" w:color="auto" w:fill="FFFFFF"/>
        <w:tabs>
          <w:tab w:val="left" w:pos="993"/>
        </w:tabs>
        <w:spacing w:before="0" w:beforeAutospacing="0" w:after="0" w:afterAutospacing="0"/>
        <w:ind w:left="0" w:firstLine="567"/>
        <w:jc w:val="both"/>
      </w:pPr>
      <w:r w:rsidRPr="00E5722D">
        <w:t>Обзор ключевых показателей некредитных финансовых организаций http://www.cbr.ru/finmarkets/files/supervision/review_2q_2015_300915.pdf</w:t>
      </w:r>
    </w:p>
    <w:p w:rsidR="00991A3C" w:rsidRPr="00E5722D" w:rsidRDefault="00991A3C" w:rsidP="00E5722D">
      <w:pPr>
        <w:pStyle w:val="s15"/>
        <w:numPr>
          <w:ilvl w:val="0"/>
          <w:numId w:val="12"/>
        </w:numPr>
        <w:shd w:val="clear" w:color="auto" w:fill="FFFFFF"/>
        <w:tabs>
          <w:tab w:val="left" w:pos="993"/>
        </w:tabs>
        <w:spacing w:before="0" w:beforeAutospacing="0" w:after="0" w:afterAutospacing="0"/>
        <w:ind w:left="0" w:firstLine="567"/>
        <w:jc w:val="both"/>
      </w:pPr>
      <w:r w:rsidRPr="00E5722D">
        <w:t>Рейтинг НПФ и УК России по доходности 2014/2015г. - [Электронный р</w:t>
      </w:r>
      <w:r w:rsidRPr="00E5722D">
        <w:t>е</w:t>
      </w:r>
      <w:r w:rsidRPr="00E5722D">
        <w:t xml:space="preserve">сурс]. – </w:t>
      </w:r>
      <w:r w:rsidRPr="00E5722D">
        <w:rPr>
          <w:lang w:val="en-US"/>
        </w:rPr>
        <w:t>URL</w:t>
      </w:r>
      <w:r w:rsidRPr="00E5722D">
        <w:t xml:space="preserve">:  http </w:t>
      </w:r>
      <w:hyperlink r:id="rId52" w:history="1">
        <w:r w:rsidRPr="00E5722D">
          <w:rPr>
            <w:rStyle w:val="a3"/>
            <w:color w:val="auto"/>
            <w:u w:val="none"/>
          </w:rPr>
          <w:t>http://npfops.ru/news/537</w:t>
        </w:r>
      </w:hyperlink>
    </w:p>
    <w:p w:rsidR="00991A3C" w:rsidRPr="00E5722D" w:rsidRDefault="00C80516" w:rsidP="00E5722D">
      <w:pPr>
        <w:pStyle w:val="ad"/>
        <w:numPr>
          <w:ilvl w:val="0"/>
          <w:numId w:val="12"/>
        </w:numPr>
        <w:tabs>
          <w:tab w:val="left" w:pos="993"/>
        </w:tabs>
        <w:spacing w:after="0" w:line="240" w:lineRule="auto"/>
        <w:ind w:left="0" w:firstLine="567"/>
        <w:jc w:val="both"/>
        <w:rPr>
          <w:rFonts w:ascii="Times New Roman" w:hAnsi="Times New Roman"/>
          <w:sz w:val="24"/>
          <w:szCs w:val="24"/>
        </w:rPr>
      </w:pPr>
      <w:hyperlink r:id="rId53" w:history="1">
        <w:r w:rsidR="00991A3C" w:rsidRPr="00E5722D">
          <w:rPr>
            <w:rFonts w:ascii="Times New Roman" w:hAnsi="Times New Roman"/>
            <w:sz w:val="24"/>
            <w:szCs w:val="24"/>
            <w:shd w:val="clear" w:color="auto" w:fill="FDFDFD"/>
          </w:rPr>
          <w:t>Рэнкинг (рейтинг) НПФ по доходности пенсионных накоплений начисленной на счета клиентов (на 31.12.2014)</w:t>
        </w:r>
      </w:hyperlink>
      <w:r w:rsidR="00991A3C" w:rsidRPr="00E5722D">
        <w:rPr>
          <w:rFonts w:ascii="Times New Roman" w:hAnsi="Times New Roman"/>
          <w:sz w:val="24"/>
          <w:szCs w:val="24"/>
          <w:shd w:val="clear" w:color="auto" w:fill="FDFDFD"/>
        </w:rPr>
        <w:t xml:space="preserve">. </w:t>
      </w:r>
      <w:r w:rsidR="00991A3C" w:rsidRPr="00E5722D">
        <w:rPr>
          <w:rFonts w:ascii="Times New Roman" w:hAnsi="Times New Roman"/>
          <w:sz w:val="24"/>
          <w:szCs w:val="24"/>
          <w:lang w:eastAsia="ru-RU"/>
        </w:rPr>
        <w:t xml:space="preserve">-[Электронный ресурс]. – </w:t>
      </w:r>
      <w:r w:rsidR="00991A3C" w:rsidRPr="00E5722D">
        <w:rPr>
          <w:rFonts w:ascii="Times New Roman" w:hAnsi="Times New Roman"/>
          <w:sz w:val="24"/>
          <w:szCs w:val="24"/>
          <w:lang w:val="en-US" w:eastAsia="ru-RU"/>
        </w:rPr>
        <w:t>URL</w:t>
      </w:r>
      <w:r w:rsidR="00991A3C" w:rsidRPr="00E5722D">
        <w:rPr>
          <w:rFonts w:ascii="Times New Roman" w:hAnsi="Times New Roman"/>
          <w:sz w:val="24"/>
          <w:szCs w:val="24"/>
          <w:lang w:eastAsia="ru-RU"/>
        </w:rPr>
        <w:t xml:space="preserve">:  </w:t>
      </w:r>
      <w:r w:rsidR="00991A3C" w:rsidRPr="00E5722D">
        <w:rPr>
          <w:rFonts w:ascii="Times New Roman" w:hAnsi="Times New Roman"/>
          <w:sz w:val="24"/>
          <w:szCs w:val="24"/>
        </w:rPr>
        <w:t xml:space="preserve"> </w:t>
      </w:r>
      <w:hyperlink r:id="rId54" w:history="1">
        <w:r w:rsidR="00991A3C" w:rsidRPr="00E5722D">
          <w:rPr>
            <w:rStyle w:val="a3"/>
            <w:rFonts w:ascii="Times New Roman" w:hAnsi="Times New Roman"/>
            <w:color w:val="auto"/>
            <w:sz w:val="24"/>
            <w:szCs w:val="24"/>
            <w:u w:val="none"/>
          </w:rPr>
          <w:t>http://www.pensiamarket.ru/Ranking.aspx?type=npf</w:t>
        </w:r>
      </w:hyperlink>
    </w:p>
    <w:p w:rsidR="00991A3C" w:rsidRPr="00E5722D" w:rsidRDefault="00991A3C" w:rsidP="00E5722D">
      <w:pPr>
        <w:pStyle w:val="ad"/>
        <w:numPr>
          <w:ilvl w:val="0"/>
          <w:numId w:val="12"/>
        </w:numPr>
        <w:tabs>
          <w:tab w:val="left" w:pos="993"/>
        </w:tabs>
        <w:spacing w:after="0" w:line="240" w:lineRule="auto"/>
        <w:ind w:left="0" w:firstLine="567"/>
        <w:jc w:val="both"/>
        <w:rPr>
          <w:rFonts w:ascii="Times New Roman" w:hAnsi="Times New Roman"/>
          <w:sz w:val="24"/>
          <w:szCs w:val="24"/>
        </w:rPr>
      </w:pPr>
      <w:r w:rsidRPr="00E5722D">
        <w:rPr>
          <w:rFonts w:ascii="Times New Roman" w:hAnsi="Times New Roman"/>
          <w:sz w:val="24"/>
          <w:szCs w:val="24"/>
        </w:rPr>
        <w:t>Участие НПФ в накопительной пенсионной системе РФ: оценка эффективн</w:t>
      </w:r>
      <w:r w:rsidRPr="00E5722D">
        <w:rPr>
          <w:rFonts w:ascii="Times New Roman" w:hAnsi="Times New Roman"/>
          <w:sz w:val="24"/>
          <w:szCs w:val="24"/>
        </w:rPr>
        <w:t>о</w:t>
      </w:r>
      <w:r w:rsidRPr="00E5722D">
        <w:rPr>
          <w:rFonts w:ascii="Times New Roman" w:hAnsi="Times New Roman"/>
          <w:sz w:val="24"/>
          <w:szCs w:val="24"/>
        </w:rPr>
        <w:t xml:space="preserve">сти. </w:t>
      </w:r>
      <w:r w:rsidRPr="00E5722D">
        <w:rPr>
          <w:rFonts w:ascii="Times New Roman" w:hAnsi="Times New Roman"/>
          <w:sz w:val="24"/>
          <w:szCs w:val="24"/>
          <w:lang w:eastAsia="ru-RU"/>
        </w:rPr>
        <w:t xml:space="preserve">-[Электронный ресурс]. – </w:t>
      </w:r>
      <w:r w:rsidRPr="00E5722D">
        <w:rPr>
          <w:rFonts w:ascii="Times New Roman" w:hAnsi="Times New Roman"/>
          <w:sz w:val="24"/>
          <w:szCs w:val="24"/>
          <w:lang w:val="en-US" w:eastAsia="ru-RU"/>
        </w:rPr>
        <w:t>URL</w:t>
      </w:r>
      <w:r w:rsidRPr="00E5722D">
        <w:rPr>
          <w:rFonts w:ascii="Times New Roman" w:hAnsi="Times New Roman"/>
          <w:sz w:val="24"/>
          <w:szCs w:val="24"/>
          <w:lang w:eastAsia="ru-RU"/>
        </w:rPr>
        <w:t xml:space="preserve">:  </w:t>
      </w:r>
      <w:hyperlink r:id="rId55" w:history="1">
        <w:r w:rsidRPr="00E5722D">
          <w:rPr>
            <w:rStyle w:val="a3"/>
            <w:rFonts w:ascii="Times New Roman" w:hAnsi="Times New Roman"/>
            <w:color w:val="auto"/>
            <w:sz w:val="24"/>
            <w:szCs w:val="24"/>
            <w:u w:val="none"/>
          </w:rPr>
          <w:t>http://pensionreform.ru/files/</w:t>
        </w:r>
      </w:hyperlink>
    </w:p>
    <w:p w:rsidR="00991A3C" w:rsidRPr="00E5722D" w:rsidRDefault="00991A3C" w:rsidP="00E5722D">
      <w:pPr>
        <w:pStyle w:val="s15"/>
        <w:shd w:val="clear" w:color="auto" w:fill="FFFFFF"/>
        <w:tabs>
          <w:tab w:val="left" w:pos="993"/>
        </w:tabs>
        <w:spacing w:before="0" w:beforeAutospacing="0" w:after="0" w:afterAutospacing="0"/>
        <w:ind w:firstLine="567"/>
        <w:jc w:val="both"/>
      </w:pPr>
    </w:p>
    <w:p w:rsidR="00991A3C" w:rsidRPr="00E5722D" w:rsidRDefault="00991A3C" w:rsidP="00E5722D">
      <w:pPr>
        <w:tabs>
          <w:tab w:val="left" w:pos="993"/>
        </w:tabs>
        <w:spacing w:before="100" w:beforeAutospacing="1" w:after="100" w:afterAutospacing="1" w:line="240" w:lineRule="auto"/>
        <w:ind w:firstLine="567"/>
        <w:jc w:val="both"/>
        <w:rPr>
          <w:rFonts w:ascii="Times New Roman" w:hAnsi="Times New Roman"/>
          <w:b/>
          <w:sz w:val="24"/>
          <w:szCs w:val="24"/>
          <w:lang w:val="en-US" w:eastAsia="ru-RU"/>
        </w:rPr>
      </w:pPr>
      <w:r>
        <w:rPr>
          <w:rFonts w:ascii="Times New Roman" w:hAnsi="Times New Roman"/>
          <w:b/>
          <w:sz w:val="24"/>
          <w:szCs w:val="24"/>
          <w:lang w:val="en-US" w:eastAsia="ru-RU"/>
        </w:rPr>
        <w:t>References</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1.</w:t>
      </w:r>
      <w:r w:rsidRPr="007046F2">
        <w:rPr>
          <w:rFonts w:ascii="Times New Roman" w:hAnsi="Times New Roman"/>
          <w:sz w:val="24"/>
          <w:szCs w:val="24"/>
          <w:lang w:val="en-US" w:eastAsia="ru-RU"/>
        </w:rPr>
        <w:tab/>
        <w:t>O negosudarstvennyh pensionnyh fondah:  Federal'nyj zakon  RF ot ot 07.05.1998 N 75-FZ  [Prinjat GD 08.04. 1998g.: po sost. na 29.06.2015g.). -[Jelektronnyj resurs]. – URL: http://www.consultant.ru/</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2.</w:t>
      </w:r>
      <w:r w:rsidRPr="007046F2">
        <w:rPr>
          <w:rFonts w:ascii="Times New Roman" w:hAnsi="Times New Roman"/>
          <w:sz w:val="24"/>
          <w:szCs w:val="24"/>
          <w:lang w:val="en-US" w:eastAsia="ru-RU"/>
        </w:rPr>
        <w:tab/>
        <w:t>Vybor NPF -[Jelektronnyj resurs]. – URL:  http:// www.pensiamarket.</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3.</w:t>
      </w:r>
      <w:r w:rsidRPr="007046F2">
        <w:rPr>
          <w:rFonts w:ascii="Times New Roman" w:hAnsi="Times New Roman"/>
          <w:sz w:val="24"/>
          <w:szCs w:val="24"/>
          <w:lang w:val="en-US" w:eastAsia="ru-RU"/>
        </w:rPr>
        <w:tab/>
        <w:t>Voroshilova I.V., Mushta L.V., Miroshnichenko M.B. Paevye investicionnye fondy kak instrument kollektivnyh investicij: sovershenstvovanie mehanizma funkcionirovanija// Aktual'nye problemy gumanitarnyh i estestvennyh nauk: zhur-nal nauchnyh publikacij. – M.: 2013. - № 8. - S. 90-95.</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4.</w:t>
      </w:r>
      <w:r w:rsidRPr="007046F2">
        <w:rPr>
          <w:rFonts w:ascii="Times New Roman" w:hAnsi="Times New Roman"/>
          <w:sz w:val="24"/>
          <w:szCs w:val="24"/>
          <w:lang w:val="en-US" w:eastAsia="ru-RU"/>
        </w:rPr>
        <w:tab/>
        <w:t>Voroshilova I.V., Ushakov A.S. NPF kak institut formirovanija innovaci-onnoj modeli jekonomiki// Institucional'naja transformacija jekonomiki: materialy mezhdunarodnoj studencheskoj nauchnoj konferencii po jekonomike. – Krasnodar: Kub-GAU, 2013, 23-25 nojabrja – 26,1  p.l.; S. 95-102.</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5.</w:t>
      </w:r>
      <w:r w:rsidRPr="007046F2">
        <w:rPr>
          <w:rFonts w:ascii="Times New Roman" w:hAnsi="Times New Roman"/>
          <w:sz w:val="24"/>
          <w:szCs w:val="24"/>
          <w:lang w:val="en-US" w:eastAsia="ru-RU"/>
        </w:rPr>
        <w:tab/>
        <w:t>Voroshilova I.V., Shherbatov I.V. Razvitie nauchnyh osnov industrii pensi-onnyh uslug v RF// Aktual'nye voprosy obrazovanija i nauki – materialy mezhduna-rodnoj nauchno-prakticheskoj konferencii. – Tambov, 30 sentjabrja 2014 g.- 9,5 u.p.l.; S. 40-41.</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6.</w:t>
      </w:r>
      <w:r w:rsidRPr="007046F2">
        <w:rPr>
          <w:rFonts w:ascii="Times New Roman" w:hAnsi="Times New Roman"/>
          <w:sz w:val="24"/>
          <w:szCs w:val="24"/>
          <w:lang w:val="en-US" w:eastAsia="ru-RU"/>
        </w:rPr>
        <w:tab/>
        <w:t>Gurvich E.T. Problemy i neobhodimye reformy pensionnoj sistemy. -[Jelektronnyj resurs]. – URL: http:// www.econorus.org.</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7.</w:t>
      </w:r>
      <w:r w:rsidRPr="007046F2">
        <w:rPr>
          <w:rFonts w:ascii="Times New Roman" w:hAnsi="Times New Roman"/>
          <w:sz w:val="24"/>
          <w:szCs w:val="24"/>
          <w:lang w:val="en-US" w:eastAsia="ru-RU"/>
        </w:rPr>
        <w:tab/>
        <w:t>VB podskazal Rossii lekarstva ot starosti v nishhete. -[Jelektronnyj resurs]. – URL:  http://www.finanz.ru/</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8.</w:t>
      </w:r>
      <w:r w:rsidRPr="007046F2">
        <w:rPr>
          <w:rFonts w:ascii="Times New Roman" w:hAnsi="Times New Roman"/>
          <w:sz w:val="24"/>
          <w:szCs w:val="24"/>
          <w:lang w:val="en-US" w:eastAsia="ru-RU"/>
        </w:rPr>
        <w:tab/>
        <w:t>Kolichestva UK-[Jelektronnyj resurs]. – URL: http://www.nlu.ru/.</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lastRenderedPageBreak/>
        <w:t>9.</w:t>
      </w:r>
      <w:r w:rsidRPr="007046F2">
        <w:rPr>
          <w:rFonts w:ascii="Times New Roman" w:hAnsi="Times New Roman"/>
          <w:sz w:val="24"/>
          <w:szCs w:val="24"/>
          <w:lang w:val="en-US" w:eastAsia="ru-RU"/>
        </w:rPr>
        <w:tab/>
        <w:t>Kratkij obzor otrasli pensionnogo strahovanija po itogam avgusta 2015g. -[Jelektronnyj resurs]. – URL: http://rospens.ru/research/ratings/reyting-npf-za-avgust-2015-goda.htm</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10.</w:t>
      </w:r>
      <w:r w:rsidRPr="007046F2">
        <w:rPr>
          <w:rFonts w:ascii="Times New Roman" w:hAnsi="Times New Roman"/>
          <w:sz w:val="24"/>
          <w:szCs w:val="24"/>
          <w:lang w:val="en-US" w:eastAsia="ru-RU"/>
        </w:rPr>
        <w:tab/>
        <w:t>Indeksy. Negosudarstvennye pensionnye fondy.). - [Jelektronnyj resurs]. – URL: http://npf.investfunds.ru/indicators/.</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11.</w:t>
      </w:r>
      <w:r w:rsidRPr="007046F2">
        <w:rPr>
          <w:rFonts w:ascii="Times New Roman" w:hAnsi="Times New Roman"/>
          <w:sz w:val="24"/>
          <w:szCs w:val="24"/>
          <w:lang w:val="en-US" w:eastAsia="ru-RU"/>
        </w:rPr>
        <w:tab/>
        <w:t>Ob#em sek'juritizacionnyh sdelok v strukture investirovanija pensionnyh nakoplenij i ih investicionnyj potencial. -[Jelektronnyj resurs]. – URL:   http://rusipoteka.ru/files/events/2015/1410/dresviannikova.pdf</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12.</w:t>
      </w:r>
      <w:r w:rsidRPr="007046F2">
        <w:rPr>
          <w:rFonts w:ascii="Times New Roman" w:hAnsi="Times New Roman"/>
          <w:sz w:val="24"/>
          <w:szCs w:val="24"/>
          <w:lang w:val="en-US" w:eastAsia="ru-RU"/>
        </w:rPr>
        <w:tab/>
        <w:t>Obzor kljuchevyh pokazatelej nekreditnyh finansovyh organizacij http://www.cbr.ru/finmarkets/files/supervision/review_2q_2015_300915.pdf</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13.</w:t>
      </w:r>
      <w:r w:rsidRPr="007046F2">
        <w:rPr>
          <w:rFonts w:ascii="Times New Roman" w:hAnsi="Times New Roman"/>
          <w:sz w:val="24"/>
          <w:szCs w:val="24"/>
          <w:lang w:val="en-US" w:eastAsia="ru-RU"/>
        </w:rPr>
        <w:tab/>
        <w:t>Rejting NPF i UK Rossii po dohodnosti 2014/2015g. - [Jelektronnyj re-surs]. – URL:  http http://npfops.ru/news/537</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14.</w:t>
      </w:r>
      <w:r w:rsidRPr="007046F2">
        <w:rPr>
          <w:rFonts w:ascii="Times New Roman" w:hAnsi="Times New Roman"/>
          <w:sz w:val="24"/>
          <w:szCs w:val="24"/>
          <w:lang w:val="en-US" w:eastAsia="ru-RU"/>
        </w:rPr>
        <w:tab/>
        <w:t>Rjenking (rejting) NPF po dohodnosti pensionnyh nakoplenij nachislennoj na scheta klientov (na 31.12.2014). -[Jelektronnyj resurs]. – URL:   http://www.pensiamarket.ru/Ranking.aspx?type=npf</w:t>
      </w:r>
    </w:p>
    <w:p w:rsidR="00991A3C" w:rsidRPr="007046F2" w:rsidRDefault="00991A3C" w:rsidP="007046F2">
      <w:pPr>
        <w:tabs>
          <w:tab w:val="left" w:pos="993"/>
        </w:tabs>
        <w:spacing w:after="0" w:line="240" w:lineRule="auto"/>
        <w:ind w:firstLine="567"/>
        <w:jc w:val="both"/>
        <w:rPr>
          <w:rFonts w:ascii="Times New Roman" w:hAnsi="Times New Roman"/>
          <w:sz w:val="24"/>
          <w:szCs w:val="24"/>
          <w:lang w:val="en-US" w:eastAsia="ru-RU"/>
        </w:rPr>
      </w:pPr>
      <w:r w:rsidRPr="007046F2">
        <w:rPr>
          <w:rFonts w:ascii="Times New Roman" w:hAnsi="Times New Roman"/>
          <w:sz w:val="24"/>
          <w:szCs w:val="24"/>
          <w:lang w:val="en-US" w:eastAsia="ru-RU"/>
        </w:rPr>
        <w:t>15.</w:t>
      </w:r>
      <w:r w:rsidRPr="007046F2">
        <w:rPr>
          <w:rFonts w:ascii="Times New Roman" w:hAnsi="Times New Roman"/>
          <w:sz w:val="24"/>
          <w:szCs w:val="24"/>
          <w:lang w:val="en-US" w:eastAsia="ru-RU"/>
        </w:rPr>
        <w:tab/>
        <w:t>Uchastie NPF v nakopitel'noj pensionnoj sisteme RF: ocenka jeffektivno-sti. -[Jelektronnyj resurs]. – URL:  http://pensionreform.ru/files/</w:t>
      </w:r>
    </w:p>
    <w:sectPr w:rsidR="00991A3C" w:rsidRPr="007046F2" w:rsidSect="0068309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516" w:rsidRDefault="00C80516" w:rsidP="00313B05">
      <w:pPr>
        <w:spacing w:after="0" w:line="240" w:lineRule="auto"/>
      </w:pPr>
      <w:r>
        <w:separator/>
      </w:r>
    </w:p>
  </w:endnote>
  <w:endnote w:type="continuationSeparator" w:id="0">
    <w:p w:rsidR="00C80516" w:rsidRDefault="00C80516" w:rsidP="00313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A3C" w:rsidRPr="00A21AED" w:rsidRDefault="00991A3C">
    <w:pPr>
      <w:pStyle w:val="aa"/>
      <w:rPr>
        <w:rFonts w:ascii="Times New Roman" w:hAnsi="Times New Roman"/>
        <w:sz w:val="24"/>
        <w:szCs w:val="24"/>
      </w:rPr>
    </w:pPr>
    <w:r w:rsidRPr="00A21AED">
      <w:rPr>
        <w:rFonts w:ascii="Times New Roman" w:hAnsi="Times New Roman"/>
        <w:sz w:val="24"/>
        <w:szCs w:val="24"/>
      </w:rPr>
      <w:t>http://ej.kubagro.ru/201</w:t>
    </w:r>
    <w:r w:rsidRPr="00A21AED">
      <w:rPr>
        <w:rFonts w:ascii="Times New Roman" w:hAnsi="Times New Roman"/>
        <w:sz w:val="24"/>
        <w:szCs w:val="24"/>
        <w:lang w:val="en-US"/>
      </w:rPr>
      <w:t>6</w:t>
    </w:r>
    <w:r w:rsidRPr="00A21AED">
      <w:rPr>
        <w:rFonts w:ascii="Times New Roman" w:hAnsi="Times New Roman"/>
        <w:sz w:val="24"/>
        <w:szCs w:val="24"/>
      </w:rPr>
      <w:t>/</w:t>
    </w:r>
    <w:r w:rsidRPr="00A21AED">
      <w:rPr>
        <w:rFonts w:ascii="Times New Roman" w:hAnsi="Times New Roman"/>
        <w:sz w:val="24"/>
        <w:szCs w:val="24"/>
        <w:lang w:val="en-US"/>
      </w:rPr>
      <w:t>0</w:t>
    </w:r>
    <w:r>
      <w:rPr>
        <w:rFonts w:ascii="Times New Roman" w:hAnsi="Times New Roman"/>
        <w:sz w:val="24"/>
        <w:szCs w:val="24"/>
      </w:rPr>
      <w:t>5</w:t>
    </w:r>
    <w:r w:rsidRPr="00A21AED">
      <w:rPr>
        <w:rFonts w:ascii="Times New Roman" w:hAnsi="Times New Roman"/>
        <w:sz w:val="24"/>
        <w:szCs w:val="24"/>
      </w:rPr>
      <w:t>/pdf/</w:t>
    </w:r>
    <w:r w:rsidRPr="00A21AED">
      <w:rPr>
        <w:rFonts w:ascii="Times New Roman" w:hAnsi="Times New Roman"/>
        <w:sz w:val="24"/>
        <w:szCs w:val="24"/>
        <w:lang w:val="en-US"/>
      </w:rPr>
      <w:t>2</w:t>
    </w:r>
    <w:r w:rsidRPr="00A21AED">
      <w:rPr>
        <w:rFonts w:ascii="Times New Roman" w:hAnsi="Times New Roman"/>
        <w:sz w:val="24"/>
        <w:szCs w:val="24"/>
      </w:rPr>
      <w:t>3.pdf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516" w:rsidRDefault="00C80516" w:rsidP="00313B05">
      <w:pPr>
        <w:spacing w:after="0" w:line="240" w:lineRule="auto"/>
      </w:pPr>
      <w:r>
        <w:separator/>
      </w:r>
    </w:p>
  </w:footnote>
  <w:footnote w:type="continuationSeparator" w:id="0">
    <w:p w:rsidR="00C80516" w:rsidRDefault="00C80516" w:rsidP="00313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A3C" w:rsidRDefault="00991A3C" w:rsidP="003943DB">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991A3C" w:rsidRDefault="00991A3C" w:rsidP="007B5CD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A3C" w:rsidRPr="007B5CD7" w:rsidRDefault="00991A3C" w:rsidP="003943DB">
    <w:pPr>
      <w:pStyle w:val="a8"/>
      <w:framePr w:wrap="around" w:vAnchor="text" w:hAnchor="margin" w:xAlign="right" w:y="1"/>
      <w:rPr>
        <w:rStyle w:val="ae"/>
        <w:rFonts w:ascii="Times New Roman" w:hAnsi="Times New Roman"/>
        <w:sz w:val="28"/>
        <w:szCs w:val="28"/>
      </w:rPr>
    </w:pPr>
    <w:r w:rsidRPr="007B5CD7">
      <w:rPr>
        <w:rStyle w:val="ae"/>
        <w:rFonts w:ascii="Times New Roman" w:hAnsi="Times New Roman"/>
        <w:sz w:val="28"/>
        <w:szCs w:val="28"/>
      </w:rPr>
      <w:fldChar w:fldCharType="begin"/>
    </w:r>
    <w:r w:rsidRPr="007B5CD7">
      <w:rPr>
        <w:rStyle w:val="ae"/>
        <w:rFonts w:ascii="Times New Roman" w:hAnsi="Times New Roman"/>
        <w:sz w:val="28"/>
        <w:szCs w:val="28"/>
      </w:rPr>
      <w:instrText xml:space="preserve">PAGE  </w:instrText>
    </w:r>
    <w:r w:rsidRPr="007B5CD7">
      <w:rPr>
        <w:rStyle w:val="ae"/>
        <w:rFonts w:ascii="Times New Roman" w:hAnsi="Times New Roman"/>
        <w:sz w:val="28"/>
        <w:szCs w:val="28"/>
      </w:rPr>
      <w:fldChar w:fldCharType="separate"/>
    </w:r>
    <w:r w:rsidR="00DE7A8B">
      <w:rPr>
        <w:rStyle w:val="ae"/>
        <w:rFonts w:ascii="Times New Roman" w:hAnsi="Times New Roman"/>
        <w:noProof/>
        <w:sz w:val="28"/>
        <w:szCs w:val="28"/>
      </w:rPr>
      <w:t>23</w:t>
    </w:r>
    <w:r w:rsidRPr="007B5CD7">
      <w:rPr>
        <w:rStyle w:val="ae"/>
        <w:rFonts w:ascii="Times New Roman" w:hAnsi="Times New Roman"/>
        <w:sz w:val="28"/>
        <w:szCs w:val="28"/>
      </w:rPr>
      <w:fldChar w:fldCharType="end"/>
    </w:r>
  </w:p>
  <w:p w:rsidR="00991A3C" w:rsidRPr="00EA4338" w:rsidRDefault="00991A3C" w:rsidP="007B5CD7">
    <w:pPr>
      <w:pStyle w:val="a8"/>
      <w:ind w:right="360"/>
      <w:rPr>
        <w:rFonts w:ascii="Times New Roman" w:hAnsi="Times New Roman"/>
        <w:sz w:val="24"/>
        <w:szCs w:val="24"/>
      </w:rPr>
    </w:pPr>
    <w:r w:rsidRPr="00EA4338">
      <w:rPr>
        <w:rFonts w:ascii="Times New Roman" w:hAnsi="Times New Roman"/>
        <w:sz w:val="24"/>
        <w:szCs w:val="24"/>
      </w:rPr>
      <w:t>Научный журнал КубГАУ, №119</w:t>
    </w:r>
    <w:r w:rsidRPr="00EA4338">
      <w:rPr>
        <w:rFonts w:ascii="Times New Roman" w:hAnsi="Times New Roman"/>
        <w:sz w:val="24"/>
        <w:szCs w:val="24"/>
        <w:lang w:val="en-US"/>
      </w:rPr>
      <w:t>(0</w:t>
    </w:r>
    <w:r>
      <w:rPr>
        <w:rFonts w:ascii="Times New Roman" w:hAnsi="Times New Roman"/>
        <w:sz w:val="24"/>
        <w:szCs w:val="24"/>
      </w:rPr>
      <w:t>5</w:t>
    </w:r>
    <w:r w:rsidRPr="00EA4338">
      <w:rPr>
        <w:rFonts w:ascii="Times New Roman" w:hAnsi="Times New Roman"/>
        <w:sz w:val="24"/>
        <w:szCs w:val="24"/>
      </w:rPr>
      <w:t>), 201</w:t>
    </w:r>
    <w:r w:rsidRPr="00EA4338">
      <w:rPr>
        <w:rFonts w:ascii="Times New Roman" w:hAnsi="Times New Roman"/>
        <w:sz w:val="24"/>
        <w:szCs w:val="24"/>
        <w:lang w:val="en-US"/>
      </w:rPr>
      <w:t>6</w:t>
    </w:r>
    <w:r w:rsidRPr="00EA4338">
      <w:rPr>
        <w:rFonts w:ascii="Times New Roman" w:hAnsi="Times New Roman"/>
        <w:sz w:val="24"/>
        <w:szCs w:val="24"/>
      </w:rPr>
      <w:t xml:space="preserve"> года</w:t>
    </w:r>
  </w:p>
  <w:p w:rsidR="00991A3C" w:rsidRDefault="00991A3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36486"/>
    <w:multiLevelType w:val="multilevel"/>
    <w:tmpl w:val="8E66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BA093F"/>
    <w:multiLevelType w:val="multilevel"/>
    <w:tmpl w:val="C9344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7B2E3F"/>
    <w:multiLevelType w:val="hybridMultilevel"/>
    <w:tmpl w:val="E6FE42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7D25073"/>
    <w:multiLevelType w:val="multilevel"/>
    <w:tmpl w:val="4916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370723"/>
    <w:multiLevelType w:val="hybridMultilevel"/>
    <w:tmpl w:val="F830DD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D4C68B7"/>
    <w:multiLevelType w:val="multilevel"/>
    <w:tmpl w:val="27A2C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CB2395"/>
    <w:multiLevelType w:val="hybridMultilevel"/>
    <w:tmpl w:val="7550E1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AA13B86"/>
    <w:multiLevelType w:val="multilevel"/>
    <w:tmpl w:val="8730C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7B0549"/>
    <w:multiLevelType w:val="multilevel"/>
    <w:tmpl w:val="FFA89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E20211"/>
    <w:multiLevelType w:val="multilevel"/>
    <w:tmpl w:val="07E6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C56B00"/>
    <w:multiLevelType w:val="hybridMultilevel"/>
    <w:tmpl w:val="7826CC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A403D48"/>
    <w:multiLevelType w:val="multilevel"/>
    <w:tmpl w:val="8528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5"/>
  </w:num>
  <w:num w:numId="4">
    <w:abstractNumId w:val="1"/>
  </w:num>
  <w:num w:numId="5">
    <w:abstractNumId w:val="8"/>
  </w:num>
  <w:num w:numId="6">
    <w:abstractNumId w:val="3"/>
  </w:num>
  <w:num w:numId="7">
    <w:abstractNumId w:val="0"/>
  </w:num>
  <w:num w:numId="8">
    <w:abstractNumId w:val="9"/>
  </w:num>
  <w:num w:numId="9">
    <w:abstractNumId w:val="10"/>
  </w:num>
  <w:num w:numId="10">
    <w:abstractNumId w:val="2"/>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isplayBackgroundShape/>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4D40"/>
    <w:rsid w:val="00000975"/>
    <w:rsid w:val="0002693E"/>
    <w:rsid w:val="000329DE"/>
    <w:rsid w:val="00047D09"/>
    <w:rsid w:val="000754CF"/>
    <w:rsid w:val="00075BDD"/>
    <w:rsid w:val="00084533"/>
    <w:rsid w:val="00091EF9"/>
    <w:rsid w:val="000969A3"/>
    <w:rsid w:val="000D081A"/>
    <w:rsid w:val="000E58EE"/>
    <w:rsid w:val="000E6911"/>
    <w:rsid w:val="000F3CDC"/>
    <w:rsid w:val="00120275"/>
    <w:rsid w:val="00183EB5"/>
    <w:rsid w:val="00192D86"/>
    <w:rsid w:val="001C1179"/>
    <w:rsid w:val="002317BE"/>
    <w:rsid w:val="0023581E"/>
    <w:rsid w:val="00244EA4"/>
    <w:rsid w:val="00262FA0"/>
    <w:rsid w:val="00265BD8"/>
    <w:rsid w:val="00285A9E"/>
    <w:rsid w:val="0029361A"/>
    <w:rsid w:val="00304212"/>
    <w:rsid w:val="00313B05"/>
    <w:rsid w:val="003272B0"/>
    <w:rsid w:val="00384308"/>
    <w:rsid w:val="003943DB"/>
    <w:rsid w:val="003C58A6"/>
    <w:rsid w:val="003D23D7"/>
    <w:rsid w:val="003E455F"/>
    <w:rsid w:val="003F217C"/>
    <w:rsid w:val="00401C48"/>
    <w:rsid w:val="00435895"/>
    <w:rsid w:val="0045068D"/>
    <w:rsid w:val="00484FD0"/>
    <w:rsid w:val="00487E73"/>
    <w:rsid w:val="00496CB5"/>
    <w:rsid w:val="004A3014"/>
    <w:rsid w:val="004B4D40"/>
    <w:rsid w:val="004C42DC"/>
    <w:rsid w:val="004D60E1"/>
    <w:rsid w:val="004E1946"/>
    <w:rsid w:val="004E5876"/>
    <w:rsid w:val="005106D8"/>
    <w:rsid w:val="00515E84"/>
    <w:rsid w:val="00543F98"/>
    <w:rsid w:val="00544B1F"/>
    <w:rsid w:val="005A2271"/>
    <w:rsid w:val="005C4009"/>
    <w:rsid w:val="005D3114"/>
    <w:rsid w:val="005D4E33"/>
    <w:rsid w:val="005E2330"/>
    <w:rsid w:val="005E3BD4"/>
    <w:rsid w:val="005E5DC5"/>
    <w:rsid w:val="005F3D1F"/>
    <w:rsid w:val="005F53E4"/>
    <w:rsid w:val="00601406"/>
    <w:rsid w:val="00616C2A"/>
    <w:rsid w:val="006201CD"/>
    <w:rsid w:val="00624C8A"/>
    <w:rsid w:val="0064297E"/>
    <w:rsid w:val="00654CD5"/>
    <w:rsid w:val="00663162"/>
    <w:rsid w:val="00663CCA"/>
    <w:rsid w:val="00673E2B"/>
    <w:rsid w:val="00683097"/>
    <w:rsid w:val="006A6517"/>
    <w:rsid w:val="006A7F1D"/>
    <w:rsid w:val="006B0B85"/>
    <w:rsid w:val="006C176A"/>
    <w:rsid w:val="006C6B50"/>
    <w:rsid w:val="006E5985"/>
    <w:rsid w:val="007046F2"/>
    <w:rsid w:val="0076515D"/>
    <w:rsid w:val="00776576"/>
    <w:rsid w:val="00777C56"/>
    <w:rsid w:val="007B5CD7"/>
    <w:rsid w:val="00820DA4"/>
    <w:rsid w:val="00825875"/>
    <w:rsid w:val="0083125C"/>
    <w:rsid w:val="0085437A"/>
    <w:rsid w:val="008647AC"/>
    <w:rsid w:val="00882CFD"/>
    <w:rsid w:val="00891763"/>
    <w:rsid w:val="008A5506"/>
    <w:rsid w:val="008F66F1"/>
    <w:rsid w:val="0095263D"/>
    <w:rsid w:val="009757FB"/>
    <w:rsid w:val="00991A3C"/>
    <w:rsid w:val="009A1E04"/>
    <w:rsid w:val="009C1324"/>
    <w:rsid w:val="00A04F74"/>
    <w:rsid w:val="00A21AED"/>
    <w:rsid w:val="00A33321"/>
    <w:rsid w:val="00A403DA"/>
    <w:rsid w:val="00A66D59"/>
    <w:rsid w:val="00A8153D"/>
    <w:rsid w:val="00AA67A4"/>
    <w:rsid w:val="00AD6E41"/>
    <w:rsid w:val="00AF4A2C"/>
    <w:rsid w:val="00B21F1F"/>
    <w:rsid w:val="00B245BB"/>
    <w:rsid w:val="00B651CF"/>
    <w:rsid w:val="00B74E0E"/>
    <w:rsid w:val="00BB5D2F"/>
    <w:rsid w:val="00BC57AE"/>
    <w:rsid w:val="00BC609E"/>
    <w:rsid w:val="00BE4539"/>
    <w:rsid w:val="00BE7737"/>
    <w:rsid w:val="00BF196E"/>
    <w:rsid w:val="00BF532D"/>
    <w:rsid w:val="00C01BE9"/>
    <w:rsid w:val="00C14D13"/>
    <w:rsid w:val="00C324DA"/>
    <w:rsid w:val="00C40AD3"/>
    <w:rsid w:val="00C451E2"/>
    <w:rsid w:val="00C65BC6"/>
    <w:rsid w:val="00C718E3"/>
    <w:rsid w:val="00C80516"/>
    <w:rsid w:val="00C80A21"/>
    <w:rsid w:val="00CF5883"/>
    <w:rsid w:val="00D17072"/>
    <w:rsid w:val="00D3118B"/>
    <w:rsid w:val="00D63C6D"/>
    <w:rsid w:val="00D807AD"/>
    <w:rsid w:val="00DA2F3B"/>
    <w:rsid w:val="00DA6158"/>
    <w:rsid w:val="00DB3457"/>
    <w:rsid w:val="00DE7A8B"/>
    <w:rsid w:val="00E01C7C"/>
    <w:rsid w:val="00E44760"/>
    <w:rsid w:val="00E5722D"/>
    <w:rsid w:val="00E67F1E"/>
    <w:rsid w:val="00E92199"/>
    <w:rsid w:val="00EA4338"/>
    <w:rsid w:val="00EA4EDF"/>
    <w:rsid w:val="00EA7611"/>
    <w:rsid w:val="00EB6D87"/>
    <w:rsid w:val="00F53655"/>
    <w:rsid w:val="00F76F3E"/>
    <w:rsid w:val="00FA751B"/>
    <w:rsid w:val="00FD433B"/>
    <w:rsid w:val="00FE56D8"/>
    <w:rsid w:val="00FF6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CFD"/>
    <w:pPr>
      <w:spacing w:after="200" w:line="276" w:lineRule="auto"/>
    </w:pPr>
    <w:rPr>
      <w:sz w:val="22"/>
      <w:szCs w:val="22"/>
      <w:lang w:eastAsia="en-US"/>
    </w:rPr>
  </w:style>
  <w:style w:type="paragraph" w:styleId="1">
    <w:name w:val="heading 1"/>
    <w:basedOn w:val="a"/>
    <w:next w:val="a"/>
    <w:link w:val="10"/>
    <w:uiPriority w:val="99"/>
    <w:qFormat/>
    <w:rsid w:val="00882CFD"/>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82CFD"/>
    <w:rPr>
      <w:rFonts w:ascii="Cambria" w:hAnsi="Cambria" w:cs="Times New Roman"/>
      <w:b/>
      <w:bCs/>
      <w:color w:val="365F91"/>
      <w:sz w:val="28"/>
      <w:szCs w:val="28"/>
    </w:rPr>
  </w:style>
  <w:style w:type="paragraph" w:customStyle="1" w:styleId="s1">
    <w:name w:val="s_1"/>
    <w:basedOn w:val="a"/>
    <w:uiPriority w:val="99"/>
    <w:rsid w:val="00BF53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5">
    <w:name w:val="s_15"/>
    <w:basedOn w:val="a"/>
    <w:uiPriority w:val="99"/>
    <w:rsid w:val="002317BE"/>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Hyperlink"/>
    <w:uiPriority w:val="99"/>
    <w:rsid w:val="002317BE"/>
    <w:rPr>
      <w:rFonts w:cs="Times New Roman"/>
      <w:color w:val="0000FF"/>
      <w:u w:val="single"/>
    </w:rPr>
  </w:style>
  <w:style w:type="character" w:customStyle="1" w:styleId="apple-converted-space">
    <w:name w:val="apple-converted-space"/>
    <w:uiPriority w:val="99"/>
    <w:rsid w:val="002317BE"/>
    <w:rPr>
      <w:rFonts w:cs="Times New Roman"/>
    </w:rPr>
  </w:style>
  <w:style w:type="paragraph" w:styleId="a4">
    <w:name w:val="Balloon Text"/>
    <w:basedOn w:val="a"/>
    <w:link w:val="a5"/>
    <w:uiPriority w:val="99"/>
    <w:semiHidden/>
    <w:rsid w:val="002317BE"/>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2317BE"/>
    <w:rPr>
      <w:rFonts w:ascii="Tahoma" w:hAnsi="Tahoma" w:cs="Tahoma"/>
      <w:sz w:val="16"/>
      <w:szCs w:val="16"/>
    </w:rPr>
  </w:style>
  <w:style w:type="paragraph" w:styleId="a6">
    <w:name w:val="Normal (Web)"/>
    <w:basedOn w:val="a"/>
    <w:uiPriority w:val="99"/>
    <w:rsid w:val="006C6B50"/>
    <w:pPr>
      <w:spacing w:before="100" w:beforeAutospacing="1" w:after="100" w:afterAutospacing="1" w:line="240" w:lineRule="auto"/>
    </w:pPr>
    <w:rPr>
      <w:rFonts w:ascii="Times New Roman" w:eastAsia="Times New Roman" w:hAnsi="Times New Roman"/>
      <w:sz w:val="24"/>
      <w:szCs w:val="24"/>
      <w:lang w:eastAsia="ru-RU"/>
    </w:rPr>
  </w:style>
  <w:style w:type="table" w:styleId="a7">
    <w:name w:val="Table Grid"/>
    <w:basedOn w:val="a1"/>
    <w:uiPriority w:val="99"/>
    <w:rsid w:val="00B651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rsid w:val="00313B05"/>
    <w:pPr>
      <w:tabs>
        <w:tab w:val="center" w:pos="4677"/>
        <w:tab w:val="right" w:pos="9355"/>
      </w:tabs>
      <w:spacing w:after="0" w:line="240" w:lineRule="auto"/>
    </w:pPr>
  </w:style>
  <w:style w:type="character" w:customStyle="1" w:styleId="a9">
    <w:name w:val="Верхний колонтитул Знак"/>
    <w:link w:val="a8"/>
    <w:uiPriority w:val="99"/>
    <w:locked/>
    <w:rsid w:val="00313B05"/>
    <w:rPr>
      <w:rFonts w:cs="Times New Roman"/>
    </w:rPr>
  </w:style>
  <w:style w:type="paragraph" w:styleId="aa">
    <w:name w:val="footer"/>
    <w:basedOn w:val="a"/>
    <w:link w:val="ab"/>
    <w:uiPriority w:val="99"/>
    <w:rsid w:val="00313B05"/>
    <w:pPr>
      <w:tabs>
        <w:tab w:val="center" w:pos="4677"/>
        <w:tab w:val="right" w:pos="9355"/>
      </w:tabs>
      <w:spacing w:after="0" w:line="240" w:lineRule="auto"/>
    </w:pPr>
  </w:style>
  <w:style w:type="character" w:customStyle="1" w:styleId="ab">
    <w:name w:val="Нижний колонтитул Знак"/>
    <w:link w:val="aa"/>
    <w:uiPriority w:val="99"/>
    <w:locked/>
    <w:rsid w:val="00313B05"/>
    <w:rPr>
      <w:rFonts w:cs="Times New Roman"/>
    </w:rPr>
  </w:style>
  <w:style w:type="paragraph" w:customStyle="1" w:styleId="headertext">
    <w:name w:val="headertext"/>
    <w:basedOn w:val="a"/>
    <w:uiPriority w:val="99"/>
    <w:rsid w:val="004C42D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uiPriority w:val="99"/>
    <w:rsid w:val="004C42DC"/>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uiPriority w:val="99"/>
    <w:qFormat/>
    <w:rsid w:val="00487E73"/>
    <w:rPr>
      <w:rFonts w:cs="Times New Roman"/>
      <w:i/>
      <w:iCs/>
    </w:rPr>
  </w:style>
  <w:style w:type="table" w:customStyle="1" w:styleId="11">
    <w:name w:val="Сетка таблицы1"/>
    <w:uiPriority w:val="99"/>
    <w:rsid w:val="00882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882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882C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DB3457"/>
    <w:pPr>
      <w:ind w:left="720"/>
      <w:contextualSpacing/>
    </w:pPr>
  </w:style>
  <w:style w:type="table" w:customStyle="1" w:styleId="110">
    <w:name w:val="Сетка таблицы11"/>
    <w:uiPriority w:val="99"/>
    <w:rsid w:val="0083125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uiPriority w:val="99"/>
    <w:rsid w:val="007B5CD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623461">
      <w:marLeft w:val="0"/>
      <w:marRight w:val="0"/>
      <w:marTop w:val="0"/>
      <w:marBottom w:val="0"/>
      <w:divBdr>
        <w:top w:val="none" w:sz="0" w:space="0" w:color="auto"/>
        <w:left w:val="none" w:sz="0" w:space="0" w:color="auto"/>
        <w:bottom w:val="none" w:sz="0" w:space="0" w:color="auto"/>
        <w:right w:val="none" w:sz="0" w:space="0" w:color="auto"/>
      </w:divBdr>
    </w:div>
    <w:div w:id="1847623467">
      <w:marLeft w:val="0"/>
      <w:marRight w:val="0"/>
      <w:marTop w:val="0"/>
      <w:marBottom w:val="0"/>
      <w:divBdr>
        <w:top w:val="none" w:sz="0" w:space="0" w:color="auto"/>
        <w:left w:val="none" w:sz="0" w:space="0" w:color="auto"/>
        <w:bottom w:val="none" w:sz="0" w:space="0" w:color="auto"/>
        <w:right w:val="none" w:sz="0" w:space="0" w:color="auto"/>
      </w:divBdr>
      <w:divsChild>
        <w:div w:id="1847623465">
          <w:marLeft w:val="0"/>
          <w:marRight w:val="0"/>
          <w:marTop w:val="0"/>
          <w:marBottom w:val="0"/>
          <w:divBdr>
            <w:top w:val="none" w:sz="0" w:space="0" w:color="auto"/>
            <w:left w:val="none" w:sz="0" w:space="0" w:color="auto"/>
            <w:bottom w:val="none" w:sz="0" w:space="0" w:color="auto"/>
            <w:right w:val="none" w:sz="0" w:space="0" w:color="auto"/>
          </w:divBdr>
        </w:div>
        <w:div w:id="1847623473">
          <w:marLeft w:val="0"/>
          <w:marRight w:val="0"/>
          <w:marTop w:val="0"/>
          <w:marBottom w:val="0"/>
          <w:divBdr>
            <w:top w:val="none" w:sz="0" w:space="0" w:color="auto"/>
            <w:left w:val="none" w:sz="0" w:space="0" w:color="auto"/>
            <w:bottom w:val="none" w:sz="0" w:space="0" w:color="auto"/>
            <w:right w:val="none" w:sz="0" w:space="0" w:color="auto"/>
          </w:divBdr>
        </w:div>
        <w:div w:id="1847623492">
          <w:marLeft w:val="0"/>
          <w:marRight w:val="0"/>
          <w:marTop w:val="0"/>
          <w:marBottom w:val="0"/>
          <w:divBdr>
            <w:top w:val="none" w:sz="0" w:space="0" w:color="auto"/>
            <w:left w:val="none" w:sz="0" w:space="0" w:color="auto"/>
            <w:bottom w:val="none" w:sz="0" w:space="0" w:color="auto"/>
            <w:right w:val="none" w:sz="0" w:space="0" w:color="auto"/>
          </w:divBdr>
        </w:div>
        <w:div w:id="1847623503">
          <w:marLeft w:val="0"/>
          <w:marRight w:val="0"/>
          <w:marTop w:val="0"/>
          <w:marBottom w:val="0"/>
          <w:divBdr>
            <w:top w:val="none" w:sz="0" w:space="0" w:color="auto"/>
            <w:left w:val="none" w:sz="0" w:space="0" w:color="auto"/>
            <w:bottom w:val="none" w:sz="0" w:space="0" w:color="auto"/>
            <w:right w:val="none" w:sz="0" w:space="0" w:color="auto"/>
          </w:divBdr>
        </w:div>
        <w:div w:id="1847623507">
          <w:marLeft w:val="0"/>
          <w:marRight w:val="0"/>
          <w:marTop w:val="0"/>
          <w:marBottom w:val="0"/>
          <w:divBdr>
            <w:top w:val="none" w:sz="0" w:space="0" w:color="auto"/>
            <w:left w:val="none" w:sz="0" w:space="0" w:color="auto"/>
            <w:bottom w:val="none" w:sz="0" w:space="0" w:color="auto"/>
            <w:right w:val="none" w:sz="0" w:space="0" w:color="auto"/>
          </w:divBdr>
        </w:div>
      </w:divsChild>
    </w:div>
    <w:div w:id="1847623469">
      <w:marLeft w:val="0"/>
      <w:marRight w:val="0"/>
      <w:marTop w:val="0"/>
      <w:marBottom w:val="0"/>
      <w:divBdr>
        <w:top w:val="none" w:sz="0" w:space="0" w:color="auto"/>
        <w:left w:val="none" w:sz="0" w:space="0" w:color="auto"/>
        <w:bottom w:val="none" w:sz="0" w:space="0" w:color="auto"/>
        <w:right w:val="none" w:sz="0" w:space="0" w:color="auto"/>
      </w:divBdr>
    </w:div>
    <w:div w:id="1847623475">
      <w:marLeft w:val="0"/>
      <w:marRight w:val="0"/>
      <w:marTop w:val="0"/>
      <w:marBottom w:val="0"/>
      <w:divBdr>
        <w:top w:val="none" w:sz="0" w:space="0" w:color="auto"/>
        <w:left w:val="none" w:sz="0" w:space="0" w:color="auto"/>
        <w:bottom w:val="none" w:sz="0" w:space="0" w:color="auto"/>
        <w:right w:val="none" w:sz="0" w:space="0" w:color="auto"/>
      </w:divBdr>
    </w:div>
    <w:div w:id="1847623479">
      <w:marLeft w:val="0"/>
      <w:marRight w:val="0"/>
      <w:marTop w:val="0"/>
      <w:marBottom w:val="0"/>
      <w:divBdr>
        <w:top w:val="none" w:sz="0" w:space="0" w:color="auto"/>
        <w:left w:val="none" w:sz="0" w:space="0" w:color="auto"/>
        <w:bottom w:val="none" w:sz="0" w:space="0" w:color="auto"/>
        <w:right w:val="none" w:sz="0" w:space="0" w:color="auto"/>
      </w:divBdr>
      <w:divsChild>
        <w:div w:id="1847623464">
          <w:marLeft w:val="0"/>
          <w:marRight w:val="0"/>
          <w:marTop w:val="0"/>
          <w:marBottom w:val="0"/>
          <w:divBdr>
            <w:top w:val="none" w:sz="0" w:space="0" w:color="auto"/>
            <w:left w:val="none" w:sz="0" w:space="0" w:color="auto"/>
            <w:bottom w:val="none" w:sz="0" w:space="0" w:color="auto"/>
            <w:right w:val="none" w:sz="0" w:space="0" w:color="auto"/>
          </w:divBdr>
        </w:div>
        <w:div w:id="1847623491">
          <w:marLeft w:val="0"/>
          <w:marRight w:val="0"/>
          <w:marTop w:val="0"/>
          <w:marBottom w:val="0"/>
          <w:divBdr>
            <w:top w:val="none" w:sz="0" w:space="0" w:color="auto"/>
            <w:left w:val="none" w:sz="0" w:space="0" w:color="auto"/>
            <w:bottom w:val="none" w:sz="0" w:space="0" w:color="auto"/>
            <w:right w:val="none" w:sz="0" w:space="0" w:color="auto"/>
          </w:divBdr>
        </w:div>
        <w:div w:id="1847623508">
          <w:marLeft w:val="0"/>
          <w:marRight w:val="0"/>
          <w:marTop w:val="0"/>
          <w:marBottom w:val="0"/>
          <w:divBdr>
            <w:top w:val="none" w:sz="0" w:space="0" w:color="auto"/>
            <w:left w:val="none" w:sz="0" w:space="0" w:color="auto"/>
            <w:bottom w:val="none" w:sz="0" w:space="0" w:color="auto"/>
            <w:right w:val="none" w:sz="0" w:space="0" w:color="auto"/>
          </w:divBdr>
        </w:div>
      </w:divsChild>
    </w:div>
    <w:div w:id="1847623480">
      <w:marLeft w:val="0"/>
      <w:marRight w:val="0"/>
      <w:marTop w:val="0"/>
      <w:marBottom w:val="0"/>
      <w:divBdr>
        <w:top w:val="none" w:sz="0" w:space="0" w:color="auto"/>
        <w:left w:val="none" w:sz="0" w:space="0" w:color="auto"/>
        <w:bottom w:val="none" w:sz="0" w:space="0" w:color="auto"/>
        <w:right w:val="none" w:sz="0" w:space="0" w:color="auto"/>
      </w:divBdr>
      <w:divsChild>
        <w:div w:id="1847623462">
          <w:marLeft w:val="0"/>
          <w:marRight w:val="0"/>
          <w:marTop w:val="0"/>
          <w:marBottom w:val="0"/>
          <w:divBdr>
            <w:top w:val="none" w:sz="0" w:space="0" w:color="auto"/>
            <w:left w:val="none" w:sz="0" w:space="0" w:color="auto"/>
            <w:bottom w:val="none" w:sz="0" w:space="0" w:color="auto"/>
            <w:right w:val="none" w:sz="0" w:space="0" w:color="auto"/>
          </w:divBdr>
        </w:div>
        <w:div w:id="1847623466">
          <w:marLeft w:val="0"/>
          <w:marRight w:val="0"/>
          <w:marTop w:val="0"/>
          <w:marBottom w:val="0"/>
          <w:divBdr>
            <w:top w:val="none" w:sz="0" w:space="0" w:color="auto"/>
            <w:left w:val="none" w:sz="0" w:space="0" w:color="auto"/>
            <w:bottom w:val="none" w:sz="0" w:space="0" w:color="auto"/>
            <w:right w:val="none" w:sz="0" w:space="0" w:color="auto"/>
          </w:divBdr>
        </w:div>
        <w:div w:id="1847623477">
          <w:marLeft w:val="0"/>
          <w:marRight w:val="0"/>
          <w:marTop w:val="0"/>
          <w:marBottom w:val="0"/>
          <w:divBdr>
            <w:top w:val="none" w:sz="0" w:space="0" w:color="auto"/>
            <w:left w:val="none" w:sz="0" w:space="0" w:color="auto"/>
            <w:bottom w:val="none" w:sz="0" w:space="0" w:color="auto"/>
            <w:right w:val="none" w:sz="0" w:space="0" w:color="auto"/>
          </w:divBdr>
          <w:divsChild>
            <w:div w:id="18476234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47623481">
      <w:marLeft w:val="0"/>
      <w:marRight w:val="0"/>
      <w:marTop w:val="0"/>
      <w:marBottom w:val="0"/>
      <w:divBdr>
        <w:top w:val="none" w:sz="0" w:space="0" w:color="auto"/>
        <w:left w:val="none" w:sz="0" w:space="0" w:color="auto"/>
        <w:bottom w:val="none" w:sz="0" w:space="0" w:color="auto"/>
        <w:right w:val="none" w:sz="0" w:space="0" w:color="auto"/>
      </w:divBdr>
    </w:div>
    <w:div w:id="1847623484">
      <w:marLeft w:val="0"/>
      <w:marRight w:val="0"/>
      <w:marTop w:val="0"/>
      <w:marBottom w:val="0"/>
      <w:divBdr>
        <w:top w:val="none" w:sz="0" w:space="0" w:color="auto"/>
        <w:left w:val="none" w:sz="0" w:space="0" w:color="auto"/>
        <w:bottom w:val="none" w:sz="0" w:space="0" w:color="auto"/>
        <w:right w:val="none" w:sz="0" w:space="0" w:color="auto"/>
      </w:divBdr>
    </w:div>
    <w:div w:id="1847623489">
      <w:marLeft w:val="0"/>
      <w:marRight w:val="0"/>
      <w:marTop w:val="0"/>
      <w:marBottom w:val="0"/>
      <w:divBdr>
        <w:top w:val="none" w:sz="0" w:space="0" w:color="auto"/>
        <w:left w:val="none" w:sz="0" w:space="0" w:color="auto"/>
        <w:bottom w:val="none" w:sz="0" w:space="0" w:color="auto"/>
        <w:right w:val="none" w:sz="0" w:space="0" w:color="auto"/>
      </w:divBdr>
      <w:divsChild>
        <w:div w:id="1847623476">
          <w:marLeft w:val="0"/>
          <w:marRight w:val="0"/>
          <w:marTop w:val="0"/>
          <w:marBottom w:val="0"/>
          <w:divBdr>
            <w:top w:val="none" w:sz="0" w:space="0" w:color="auto"/>
            <w:left w:val="none" w:sz="0" w:space="0" w:color="auto"/>
            <w:bottom w:val="none" w:sz="0" w:space="0" w:color="auto"/>
            <w:right w:val="none" w:sz="0" w:space="0" w:color="auto"/>
          </w:divBdr>
        </w:div>
        <w:div w:id="1847623482">
          <w:marLeft w:val="0"/>
          <w:marRight w:val="0"/>
          <w:marTop w:val="0"/>
          <w:marBottom w:val="0"/>
          <w:divBdr>
            <w:top w:val="none" w:sz="0" w:space="0" w:color="auto"/>
            <w:left w:val="none" w:sz="0" w:space="0" w:color="auto"/>
            <w:bottom w:val="none" w:sz="0" w:space="0" w:color="auto"/>
            <w:right w:val="none" w:sz="0" w:space="0" w:color="auto"/>
          </w:divBdr>
        </w:div>
        <w:div w:id="1847623485">
          <w:marLeft w:val="0"/>
          <w:marRight w:val="0"/>
          <w:marTop w:val="0"/>
          <w:marBottom w:val="0"/>
          <w:divBdr>
            <w:top w:val="none" w:sz="0" w:space="0" w:color="auto"/>
            <w:left w:val="none" w:sz="0" w:space="0" w:color="auto"/>
            <w:bottom w:val="none" w:sz="0" w:space="0" w:color="auto"/>
            <w:right w:val="none" w:sz="0" w:space="0" w:color="auto"/>
          </w:divBdr>
        </w:div>
        <w:div w:id="1847623486">
          <w:marLeft w:val="0"/>
          <w:marRight w:val="0"/>
          <w:marTop w:val="0"/>
          <w:marBottom w:val="0"/>
          <w:divBdr>
            <w:top w:val="none" w:sz="0" w:space="0" w:color="auto"/>
            <w:left w:val="none" w:sz="0" w:space="0" w:color="auto"/>
            <w:bottom w:val="none" w:sz="0" w:space="0" w:color="auto"/>
            <w:right w:val="none" w:sz="0" w:space="0" w:color="auto"/>
          </w:divBdr>
        </w:div>
        <w:div w:id="1847623499">
          <w:marLeft w:val="0"/>
          <w:marRight w:val="0"/>
          <w:marTop w:val="0"/>
          <w:marBottom w:val="0"/>
          <w:divBdr>
            <w:top w:val="none" w:sz="0" w:space="0" w:color="auto"/>
            <w:left w:val="none" w:sz="0" w:space="0" w:color="auto"/>
            <w:bottom w:val="none" w:sz="0" w:space="0" w:color="auto"/>
            <w:right w:val="none" w:sz="0" w:space="0" w:color="auto"/>
          </w:divBdr>
        </w:div>
        <w:div w:id="1847623501">
          <w:marLeft w:val="0"/>
          <w:marRight w:val="0"/>
          <w:marTop w:val="0"/>
          <w:marBottom w:val="0"/>
          <w:divBdr>
            <w:top w:val="none" w:sz="0" w:space="0" w:color="auto"/>
            <w:left w:val="none" w:sz="0" w:space="0" w:color="auto"/>
            <w:bottom w:val="none" w:sz="0" w:space="0" w:color="auto"/>
            <w:right w:val="none" w:sz="0" w:space="0" w:color="auto"/>
          </w:divBdr>
        </w:div>
        <w:div w:id="1847623509">
          <w:marLeft w:val="0"/>
          <w:marRight w:val="0"/>
          <w:marTop w:val="0"/>
          <w:marBottom w:val="0"/>
          <w:divBdr>
            <w:top w:val="none" w:sz="0" w:space="0" w:color="auto"/>
            <w:left w:val="none" w:sz="0" w:space="0" w:color="auto"/>
            <w:bottom w:val="none" w:sz="0" w:space="0" w:color="auto"/>
            <w:right w:val="none" w:sz="0" w:space="0" w:color="auto"/>
          </w:divBdr>
        </w:div>
      </w:divsChild>
    </w:div>
    <w:div w:id="1847623493">
      <w:marLeft w:val="0"/>
      <w:marRight w:val="0"/>
      <w:marTop w:val="0"/>
      <w:marBottom w:val="0"/>
      <w:divBdr>
        <w:top w:val="none" w:sz="0" w:space="0" w:color="auto"/>
        <w:left w:val="none" w:sz="0" w:space="0" w:color="auto"/>
        <w:bottom w:val="none" w:sz="0" w:space="0" w:color="auto"/>
        <w:right w:val="none" w:sz="0" w:space="0" w:color="auto"/>
      </w:divBdr>
    </w:div>
    <w:div w:id="1847623496">
      <w:marLeft w:val="0"/>
      <w:marRight w:val="0"/>
      <w:marTop w:val="0"/>
      <w:marBottom w:val="0"/>
      <w:divBdr>
        <w:top w:val="none" w:sz="0" w:space="0" w:color="auto"/>
        <w:left w:val="none" w:sz="0" w:space="0" w:color="auto"/>
        <w:bottom w:val="none" w:sz="0" w:space="0" w:color="auto"/>
        <w:right w:val="none" w:sz="0" w:space="0" w:color="auto"/>
      </w:divBdr>
      <w:divsChild>
        <w:div w:id="1847623490">
          <w:marLeft w:val="0"/>
          <w:marRight w:val="0"/>
          <w:marTop w:val="0"/>
          <w:marBottom w:val="0"/>
          <w:divBdr>
            <w:top w:val="none" w:sz="0" w:space="0" w:color="auto"/>
            <w:left w:val="none" w:sz="0" w:space="0" w:color="auto"/>
            <w:bottom w:val="none" w:sz="0" w:space="0" w:color="auto"/>
            <w:right w:val="none" w:sz="0" w:space="0" w:color="auto"/>
          </w:divBdr>
        </w:div>
        <w:div w:id="1847623502">
          <w:marLeft w:val="0"/>
          <w:marRight w:val="0"/>
          <w:marTop w:val="0"/>
          <w:marBottom w:val="0"/>
          <w:divBdr>
            <w:top w:val="none" w:sz="0" w:space="0" w:color="auto"/>
            <w:left w:val="none" w:sz="0" w:space="0" w:color="auto"/>
            <w:bottom w:val="none" w:sz="0" w:space="0" w:color="auto"/>
            <w:right w:val="none" w:sz="0" w:space="0" w:color="auto"/>
          </w:divBdr>
        </w:div>
      </w:divsChild>
    </w:div>
    <w:div w:id="1847623497">
      <w:marLeft w:val="0"/>
      <w:marRight w:val="0"/>
      <w:marTop w:val="0"/>
      <w:marBottom w:val="0"/>
      <w:divBdr>
        <w:top w:val="none" w:sz="0" w:space="0" w:color="auto"/>
        <w:left w:val="none" w:sz="0" w:space="0" w:color="auto"/>
        <w:bottom w:val="none" w:sz="0" w:space="0" w:color="auto"/>
        <w:right w:val="none" w:sz="0" w:space="0" w:color="auto"/>
      </w:divBdr>
    </w:div>
    <w:div w:id="1847623498">
      <w:marLeft w:val="0"/>
      <w:marRight w:val="0"/>
      <w:marTop w:val="0"/>
      <w:marBottom w:val="0"/>
      <w:divBdr>
        <w:top w:val="none" w:sz="0" w:space="0" w:color="auto"/>
        <w:left w:val="none" w:sz="0" w:space="0" w:color="auto"/>
        <w:bottom w:val="none" w:sz="0" w:space="0" w:color="auto"/>
        <w:right w:val="none" w:sz="0" w:space="0" w:color="auto"/>
      </w:divBdr>
    </w:div>
    <w:div w:id="1847623504">
      <w:marLeft w:val="0"/>
      <w:marRight w:val="0"/>
      <w:marTop w:val="0"/>
      <w:marBottom w:val="0"/>
      <w:divBdr>
        <w:top w:val="none" w:sz="0" w:space="0" w:color="auto"/>
        <w:left w:val="none" w:sz="0" w:space="0" w:color="auto"/>
        <w:bottom w:val="none" w:sz="0" w:space="0" w:color="auto"/>
        <w:right w:val="none" w:sz="0" w:space="0" w:color="auto"/>
      </w:divBdr>
      <w:divsChild>
        <w:div w:id="1847623506">
          <w:marLeft w:val="0"/>
          <w:marRight w:val="0"/>
          <w:marTop w:val="0"/>
          <w:marBottom w:val="0"/>
          <w:divBdr>
            <w:top w:val="none" w:sz="0" w:space="0" w:color="auto"/>
            <w:left w:val="none" w:sz="0" w:space="0" w:color="auto"/>
            <w:bottom w:val="none" w:sz="0" w:space="0" w:color="auto"/>
            <w:right w:val="none" w:sz="0" w:space="0" w:color="auto"/>
          </w:divBdr>
          <w:divsChild>
            <w:div w:id="1847623500">
              <w:marLeft w:val="0"/>
              <w:marRight w:val="0"/>
              <w:marTop w:val="0"/>
              <w:marBottom w:val="0"/>
              <w:divBdr>
                <w:top w:val="none" w:sz="0" w:space="0" w:color="auto"/>
                <w:left w:val="none" w:sz="0" w:space="0" w:color="auto"/>
                <w:bottom w:val="none" w:sz="0" w:space="0" w:color="auto"/>
                <w:right w:val="none" w:sz="0" w:space="0" w:color="auto"/>
              </w:divBdr>
            </w:div>
            <w:div w:id="18476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623505">
      <w:marLeft w:val="0"/>
      <w:marRight w:val="0"/>
      <w:marTop w:val="0"/>
      <w:marBottom w:val="0"/>
      <w:divBdr>
        <w:top w:val="none" w:sz="0" w:space="0" w:color="auto"/>
        <w:left w:val="none" w:sz="0" w:space="0" w:color="auto"/>
        <w:bottom w:val="none" w:sz="0" w:space="0" w:color="auto"/>
        <w:right w:val="none" w:sz="0" w:space="0" w:color="auto"/>
      </w:divBdr>
    </w:div>
    <w:div w:id="1847623511">
      <w:marLeft w:val="0"/>
      <w:marRight w:val="0"/>
      <w:marTop w:val="0"/>
      <w:marBottom w:val="0"/>
      <w:divBdr>
        <w:top w:val="none" w:sz="0" w:space="0" w:color="auto"/>
        <w:left w:val="none" w:sz="0" w:space="0" w:color="auto"/>
        <w:bottom w:val="none" w:sz="0" w:space="0" w:color="auto"/>
        <w:right w:val="none" w:sz="0" w:space="0" w:color="auto"/>
      </w:divBdr>
    </w:div>
    <w:div w:id="1847623512">
      <w:marLeft w:val="0"/>
      <w:marRight w:val="0"/>
      <w:marTop w:val="0"/>
      <w:marBottom w:val="0"/>
      <w:divBdr>
        <w:top w:val="none" w:sz="0" w:space="0" w:color="auto"/>
        <w:left w:val="none" w:sz="0" w:space="0" w:color="auto"/>
        <w:bottom w:val="none" w:sz="0" w:space="0" w:color="auto"/>
        <w:right w:val="none" w:sz="0" w:space="0" w:color="auto"/>
      </w:divBdr>
      <w:divsChild>
        <w:div w:id="1847623478">
          <w:marLeft w:val="0"/>
          <w:marRight w:val="0"/>
          <w:marTop w:val="0"/>
          <w:marBottom w:val="0"/>
          <w:divBdr>
            <w:top w:val="none" w:sz="0" w:space="0" w:color="auto"/>
            <w:left w:val="none" w:sz="0" w:space="0" w:color="auto"/>
            <w:bottom w:val="none" w:sz="0" w:space="0" w:color="auto"/>
            <w:right w:val="none" w:sz="0" w:space="0" w:color="auto"/>
          </w:divBdr>
          <w:divsChild>
            <w:div w:id="1847623471">
              <w:marLeft w:val="0"/>
              <w:marRight w:val="0"/>
              <w:marTop w:val="100"/>
              <w:marBottom w:val="100"/>
              <w:divBdr>
                <w:top w:val="none" w:sz="0" w:space="0" w:color="auto"/>
                <w:left w:val="none" w:sz="0" w:space="0" w:color="auto"/>
                <w:bottom w:val="none" w:sz="0" w:space="0" w:color="auto"/>
                <w:right w:val="none" w:sz="0" w:space="0" w:color="auto"/>
              </w:divBdr>
            </w:div>
          </w:divsChild>
        </w:div>
        <w:div w:id="1847623483">
          <w:marLeft w:val="0"/>
          <w:marRight w:val="0"/>
          <w:marTop w:val="0"/>
          <w:marBottom w:val="0"/>
          <w:divBdr>
            <w:top w:val="none" w:sz="0" w:space="0" w:color="auto"/>
            <w:left w:val="none" w:sz="0" w:space="0" w:color="auto"/>
            <w:bottom w:val="none" w:sz="0" w:space="0" w:color="auto"/>
            <w:right w:val="none" w:sz="0" w:space="0" w:color="auto"/>
          </w:divBdr>
        </w:div>
        <w:div w:id="1847623487">
          <w:marLeft w:val="0"/>
          <w:marRight w:val="0"/>
          <w:marTop w:val="0"/>
          <w:marBottom w:val="0"/>
          <w:divBdr>
            <w:top w:val="none" w:sz="0" w:space="0" w:color="auto"/>
            <w:left w:val="none" w:sz="0" w:space="0" w:color="auto"/>
            <w:bottom w:val="none" w:sz="0" w:space="0" w:color="auto"/>
            <w:right w:val="none" w:sz="0" w:space="0" w:color="auto"/>
          </w:divBdr>
          <w:divsChild>
            <w:div w:id="1847623513">
              <w:marLeft w:val="2490"/>
              <w:marRight w:val="0"/>
              <w:marTop w:val="0"/>
              <w:marBottom w:val="0"/>
              <w:divBdr>
                <w:top w:val="none" w:sz="0" w:space="0" w:color="auto"/>
                <w:left w:val="none" w:sz="0" w:space="0" w:color="auto"/>
                <w:bottom w:val="none" w:sz="0" w:space="0" w:color="auto"/>
                <w:right w:val="none" w:sz="0" w:space="0" w:color="auto"/>
              </w:divBdr>
              <w:divsChild>
                <w:div w:id="1847623472">
                  <w:marLeft w:val="0"/>
                  <w:marRight w:val="0"/>
                  <w:marTop w:val="0"/>
                  <w:marBottom w:val="0"/>
                  <w:divBdr>
                    <w:top w:val="none" w:sz="0" w:space="0" w:color="auto"/>
                    <w:left w:val="none" w:sz="0" w:space="0" w:color="auto"/>
                    <w:bottom w:val="none" w:sz="0" w:space="0" w:color="auto"/>
                    <w:right w:val="none" w:sz="0" w:space="0" w:color="auto"/>
                  </w:divBdr>
                  <w:divsChild>
                    <w:div w:id="1847623463">
                      <w:marLeft w:val="0"/>
                      <w:marRight w:val="0"/>
                      <w:marTop w:val="0"/>
                      <w:marBottom w:val="0"/>
                      <w:divBdr>
                        <w:top w:val="single" w:sz="6" w:space="0" w:color="CCCCCC"/>
                        <w:left w:val="single" w:sz="6" w:space="0" w:color="CCCCCC"/>
                        <w:bottom w:val="single" w:sz="6" w:space="4" w:color="CCCCCC"/>
                        <w:right w:val="single" w:sz="6" w:space="0" w:color="CCCCCC"/>
                      </w:divBdr>
                      <w:divsChild>
                        <w:div w:id="1847623470">
                          <w:marLeft w:val="150"/>
                          <w:marRight w:val="150"/>
                          <w:marTop w:val="75"/>
                          <w:marBottom w:val="75"/>
                          <w:divBdr>
                            <w:top w:val="none" w:sz="0" w:space="0" w:color="auto"/>
                            <w:left w:val="none" w:sz="0" w:space="0" w:color="auto"/>
                            <w:bottom w:val="none" w:sz="0" w:space="0" w:color="auto"/>
                            <w:right w:val="none" w:sz="0" w:space="0" w:color="auto"/>
                          </w:divBdr>
                          <w:divsChild>
                            <w:div w:id="1847623474">
                              <w:marLeft w:val="0"/>
                              <w:marRight w:val="0"/>
                              <w:marTop w:val="0"/>
                              <w:marBottom w:val="120"/>
                              <w:divBdr>
                                <w:top w:val="none" w:sz="0" w:space="0" w:color="auto"/>
                                <w:left w:val="none" w:sz="0" w:space="0" w:color="auto"/>
                                <w:bottom w:val="none" w:sz="0" w:space="0" w:color="auto"/>
                                <w:right w:val="none" w:sz="0" w:space="0" w:color="auto"/>
                              </w:divBdr>
                              <w:divsChild>
                                <w:div w:id="184762346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7623494">
          <w:marLeft w:val="-4470"/>
          <w:marRight w:val="0"/>
          <w:marTop w:val="0"/>
          <w:marBottom w:val="0"/>
          <w:divBdr>
            <w:top w:val="none" w:sz="0" w:space="0" w:color="auto"/>
            <w:left w:val="none" w:sz="0" w:space="0" w:color="auto"/>
            <w:bottom w:val="none" w:sz="0" w:space="0" w:color="auto"/>
            <w:right w:val="none" w:sz="0" w:space="0" w:color="auto"/>
          </w:divBdr>
          <w:divsChild>
            <w:div w:id="18476234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pensiamarket.ru/Partners.aspx?type=npf&amp;id=158" TargetMode="External"/><Relationship Id="rId26" Type="http://schemas.openxmlformats.org/officeDocument/2006/relationships/hyperlink" Target="http://cbr.ru/press/pr.aspx?file=03082015_170731sbrfr2015-08-03T17_01_03.htm" TargetMode="External"/><Relationship Id="rId39" Type="http://schemas.openxmlformats.org/officeDocument/2006/relationships/hyperlink" Target="http://www.nlu.ru/fondinfo.htm?id=1027" TargetMode="External"/><Relationship Id="rId21" Type="http://schemas.openxmlformats.org/officeDocument/2006/relationships/hyperlink" Target="http://www.pensiamarket.ru/Partners.aspx?type=npf&amp;id=11" TargetMode="External"/><Relationship Id="rId34" Type="http://schemas.openxmlformats.org/officeDocument/2006/relationships/hyperlink" Target="http://www.nlu.ru/pif-doxod-renking.htm?type=all&amp;categor=all&amp;mode=month&amp;sel_uk_id=0&amp;keynumber=201303&amp;page=1&amp;sort_field=uk_name&amp;sort_mode=asc" TargetMode="External"/><Relationship Id="rId42" Type="http://schemas.openxmlformats.org/officeDocument/2006/relationships/hyperlink" Target="http://nlsym.drizzlprox.appspot.com/pif.investfunds.ru/uk/1081" TargetMode="External"/><Relationship Id="rId47" Type="http://schemas.openxmlformats.org/officeDocument/2006/relationships/hyperlink" Target="http://pif.investfunds.ru/uk/112" TargetMode="External"/><Relationship Id="rId50" Type="http://schemas.openxmlformats.org/officeDocument/2006/relationships/hyperlink" Target="http://www.econorus.org" TargetMode="External"/><Relationship Id="rId55" Type="http://schemas.openxmlformats.org/officeDocument/2006/relationships/hyperlink" Target="http://pensionreform.ru/files/100238/%D0%AD%D0%9A%D0%A1%D0%9F%D0%95%D0%A0%D0%A2"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ensiamarket.ru/Partners.aspx?type=npf&amp;id=15" TargetMode="External"/><Relationship Id="rId25" Type="http://schemas.openxmlformats.org/officeDocument/2006/relationships/hyperlink" Target="http://cbr.ru/press/pr.aspx?file=03082015_165127sbrfr2015-08-03T16_44_02.htm" TargetMode="External"/><Relationship Id="rId33" Type="http://schemas.openxmlformats.org/officeDocument/2006/relationships/hyperlink" Target="http://www.nlu.ru/pif-doxod-renking.htm?type=all&amp;categor=all&amp;mode=month&amp;sel_uk_id=0&amp;keynumber=201303&amp;page=1&amp;sort_field=fond_name&amp;sort_mode=asc" TargetMode="External"/><Relationship Id="rId38" Type="http://schemas.openxmlformats.org/officeDocument/2006/relationships/hyperlink" Target="http://www.pensiamarket.ru/Partners.aspx?type=npf&amp;id=180" TargetMode="External"/><Relationship Id="rId46" Type="http://schemas.openxmlformats.org/officeDocument/2006/relationships/hyperlink" Target="http://pif.investfunds.ru/uk/75" TargetMode="External"/><Relationship Id="rId2" Type="http://schemas.openxmlformats.org/officeDocument/2006/relationships/styles" Target="styles.xml"/><Relationship Id="rId16" Type="http://schemas.openxmlformats.org/officeDocument/2006/relationships/hyperlink" Target="http://www.pensiamarket.ru/Partners.aspx?type=npf&amp;id=265" TargetMode="External"/><Relationship Id="rId20" Type="http://schemas.openxmlformats.org/officeDocument/2006/relationships/hyperlink" Target="http://www.pensiamarket.ru/Partners.aspx?type=npf&amp;id=19" TargetMode="External"/><Relationship Id="rId29" Type="http://schemas.openxmlformats.org/officeDocument/2006/relationships/hyperlink" Target="http://cbr.ru/press/pr.aspx?file=03082015_163847sbrfr2015-08-03T16_34_54.htm" TargetMode="External"/><Relationship Id="rId41" Type="http://schemas.openxmlformats.org/officeDocument/2006/relationships/hyperlink" Target="http://nlsym.drizzlprox.appspot.com/pif.investfunds.ru/uk/7" TargetMode="External"/><Relationship Id="rId54" Type="http://schemas.openxmlformats.org/officeDocument/2006/relationships/hyperlink" Target="http://www.pensiamarket.ru/Ranking.aspx?type=np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2.png"/><Relationship Id="rId32" Type="http://schemas.openxmlformats.org/officeDocument/2006/relationships/image" Target="media/image3.png"/><Relationship Id="rId37" Type="http://schemas.openxmlformats.org/officeDocument/2006/relationships/hyperlink" Target="http://www.pensiamarket.ru/Partners.aspx?type=npf&amp;id=21" TargetMode="External"/><Relationship Id="rId40" Type="http://schemas.openxmlformats.org/officeDocument/2006/relationships/hyperlink" Target="http://nlsym.drizzlprox.appspot.com/pif.investfunds.ru/uk/76" TargetMode="External"/><Relationship Id="rId45" Type="http://schemas.openxmlformats.org/officeDocument/2006/relationships/hyperlink" Target="http://nlsym.drizzlprox.appspot.com/pif.investfunds.ru/uk/27" TargetMode="External"/><Relationship Id="rId53" Type="http://schemas.openxmlformats.org/officeDocument/2006/relationships/hyperlink" Target="http://www.pensiamarket.ru/Ranking.aspx?rank=dohod&amp;type=npf" TargetMode="External"/><Relationship Id="rId5" Type="http://schemas.openxmlformats.org/officeDocument/2006/relationships/webSettings" Target="webSettings.xml"/><Relationship Id="rId15" Type="http://schemas.openxmlformats.org/officeDocument/2006/relationships/hyperlink" Target="http://www.pensiamarket.ru/Partners.aspx?type=npf&amp;id=28" TargetMode="External"/><Relationship Id="rId23" Type="http://schemas.openxmlformats.org/officeDocument/2006/relationships/hyperlink" Target="http://www.pensiamarket.ru/Partners.aspx?type=npf&amp;id=21" TargetMode="External"/><Relationship Id="rId28" Type="http://schemas.openxmlformats.org/officeDocument/2006/relationships/hyperlink" Target="http://cbr.ru/press/pr.aspx?file=03082015_164334sbrfr2015-08-03T16_39_33.htm" TargetMode="External"/><Relationship Id="rId36" Type="http://schemas.openxmlformats.org/officeDocument/2006/relationships/hyperlink" Target="http://pif.investfunds.ru/uk/82" TargetMode="External"/><Relationship Id="rId49" Type="http://schemas.openxmlformats.org/officeDocument/2006/relationships/hyperlink" Target="http://www.consultant.ru/" TargetMode="External"/><Relationship Id="rId57" Type="http://schemas.openxmlformats.org/officeDocument/2006/relationships/theme" Target="theme/theme1.xml"/><Relationship Id="rId10" Type="http://schemas.openxmlformats.org/officeDocument/2006/relationships/hyperlink" Target="http://www.pensiamarket.ru/Partners.aspx?type=npf&amp;id=21" TargetMode="External"/><Relationship Id="rId19" Type="http://schemas.openxmlformats.org/officeDocument/2006/relationships/hyperlink" Target="http://www.pensiamarket.ru/Partners.aspx?type=npf&amp;id=257" TargetMode="External"/><Relationship Id="rId31" Type="http://schemas.openxmlformats.org/officeDocument/2006/relationships/hyperlink" Target="http://cbr.ru/press/pr.aspx?file=03082015_172327sbrfr2015-08-03T17_20_14.htm" TargetMode="External"/><Relationship Id="rId44" Type="http://schemas.openxmlformats.org/officeDocument/2006/relationships/hyperlink" Target="http://nlsym.drizzlprox.appspot.com/pif.investfunds.ru/uk/81" TargetMode="External"/><Relationship Id="rId52" Type="http://schemas.openxmlformats.org/officeDocument/2006/relationships/hyperlink" Target="http://npfops.ru/news/537"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pensiamarket.ru/Partners.aspx?type=npf&amp;id=16" TargetMode="External"/><Relationship Id="rId22" Type="http://schemas.openxmlformats.org/officeDocument/2006/relationships/hyperlink" Target="http://www.pensiamarket.ru/Partners.aspx?type=npf&amp;id=20" TargetMode="External"/><Relationship Id="rId27" Type="http://schemas.openxmlformats.org/officeDocument/2006/relationships/hyperlink" Target="http://cbr.ru/press/pr.aspx?file=03082015_165906sbrfr2015-08-03T16_57_06.htm" TargetMode="External"/><Relationship Id="rId30" Type="http://schemas.openxmlformats.org/officeDocument/2006/relationships/hyperlink" Target="http://cbr.ru/press/pr.aspx?file=03082015_172531sbrfr2015-08-03T17_23_17.htm" TargetMode="External"/><Relationship Id="rId35" Type="http://schemas.openxmlformats.org/officeDocument/2006/relationships/hyperlink" Target="http://pif.investfunds.ru/uk/79" TargetMode="External"/><Relationship Id="rId43" Type="http://schemas.openxmlformats.org/officeDocument/2006/relationships/hyperlink" Target="http://nlsym.drizzlprox.appspot.com/pif.investfunds.ru/uk/73" TargetMode="External"/><Relationship Id="rId48" Type="http://schemas.openxmlformats.org/officeDocument/2006/relationships/hyperlink" Target="http://pif.investfunds.ru/uk/29" TargetMode="External"/><Relationship Id="rId56" Type="http://schemas.openxmlformats.org/officeDocument/2006/relationships/fontTable" Target="fontTable.xml"/><Relationship Id="rId8" Type="http://schemas.openxmlformats.org/officeDocument/2006/relationships/hyperlink" Target="http://www.pfrf.ru/investing_pension_funds/26844.html" TargetMode="External"/><Relationship Id="rId51" Type="http://schemas.openxmlformats.org/officeDocument/2006/relationships/hyperlink" Target="http://rospens.ru/research/ratings/reyting-npf-za-avgust-2015-goda.htm"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23</Pages>
  <Words>6099</Words>
  <Characters>34767</Characters>
  <Application>Microsoft Office Word</Application>
  <DocSecurity>0</DocSecurity>
  <Lines>289</Lines>
  <Paragraphs>81</Paragraphs>
  <ScaleCrop>false</ScaleCrop>
  <Company>SPecialiST RePack</Company>
  <LinksUpToDate>false</LinksUpToDate>
  <CharactersWithSpaces>40785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ворошилова</dc:creator>
  <cp:keywords/>
  <dc:description/>
  <cp:lastModifiedBy>1</cp:lastModifiedBy>
  <cp:revision>16</cp:revision>
  <cp:lastPrinted>2016-04-29T05:00:00Z</cp:lastPrinted>
  <dcterms:created xsi:type="dcterms:W3CDTF">2016-04-24T13:09:00Z</dcterms:created>
  <dcterms:modified xsi:type="dcterms:W3CDTF">2016-05-30T05:22:00Z</dcterms:modified>
</cp:coreProperties>
</file>