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ook w:val="00A0"/>
      </w:tblPr>
      <w:tblGrid>
        <w:gridCol w:w="4763"/>
        <w:gridCol w:w="4417"/>
      </w:tblGrid>
      <w:tr w:rsidR="00651B54" w:rsidRPr="00FC71B0" w:rsidTr="00082625">
        <w:tc>
          <w:tcPr>
            <w:tcW w:w="4763" w:type="dxa"/>
          </w:tcPr>
          <w:p w:rsidR="00651B54" w:rsidRPr="000826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>УДК 633.31:631.82</w:t>
            </w:r>
          </w:p>
          <w:p w:rsidR="00651B54" w:rsidRPr="000826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0826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082625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sz w:val="20"/>
                <w:szCs w:val="20"/>
              </w:rPr>
            </w:pPr>
            <w:r w:rsidRPr="005C6C25">
              <w:rPr>
                <w:rFonts w:ascii="Times New Roman" w:hAnsi="Times New Roman"/>
                <w:b/>
                <w:sz w:val="20"/>
                <w:szCs w:val="20"/>
              </w:rPr>
              <w:t>ПОТРЕБЛЕНИЕ РАСТЕНИЯМИ ЛЮЦЕРНЫ</w:t>
            </w:r>
            <w:bookmarkStart w:id="0" w:name="_GoBack"/>
            <w:bookmarkEnd w:id="0"/>
            <w:r w:rsidRPr="005C6C25">
              <w:rPr>
                <w:rFonts w:ascii="Times New Roman" w:hAnsi="Times New Roman"/>
                <w:b/>
                <w:sz w:val="20"/>
                <w:szCs w:val="20"/>
              </w:rPr>
              <w:t xml:space="preserve"> ЭЛЕМЕНТОВ МИНЕРАЛЬНОГО ПИТАНИЯ ПРИ ВНЕСЕНИИ МАКРОУДОБРЕНИЙ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>Чухиль Анастасия Александровна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 xml:space="preserve">аспирант 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>Сафонова Татьяна Геннадьевна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>младший научный сотрудник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i/>
                <w:sz w:val="20"/>
                <w:szCs w:val="20"/>
              </w:rPr>
            </w:pPr>
            <w:r w:rsidRPr="005C6C25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9C3D7F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z w:val="20"/>
                <w:szCs w:val="20"/>
              </w:rPr>
              <w:t>Совершенствование технологии выращивания люцерны и повышение ее продуктивности имеют для Краснодарского края большую практическую значимость. Разработка экологически и экономически обоснованных систем удобрения, обеспечивающих сбалансированное питание растений</w:t>
            </w:r>
            <w:r w:rsidRPr="009C3D7F">
              <w:rPr>
                <w:rFonts w:ascii="Times New Roman" w:hAnsi="Times New Roman"/>
                <w:sz w:val="20"/>
                <w:szCs w:val="20"/>
              </w:rPr>
              <w:t>,</w:t>
            </w:r>
            <w:r w:rsidRPr="005C6C25">
              <w:rPr>
                <w:rFonts w:ascii="Times New Roman" w:hAnsi="Times New Roman"/>
                <w:sz w:val="20"/>
                <w:szCs w:val="20"/>
              </w:rPr>
              <w:t xml:space="preserve"> играет важную роль при возделывании сельскохозяйственных культур. В результате исследования установлено, что для конкретных почвенно-климатических условий при использовании оптимальных доз минеральных удобрений возможны стабильные высокие у</w:t>
            </w:r>
            <w:r>
              <w:rPr>
                <w:rFonts w:ascii="Times New Roman" w:hAnsi="Times New Roman"/>
                <w:sz w:val="20"/>
                <w:szCs w:val="20"/>
              </w:rPr>
              <w:t>рожаи люцерны хорошего качества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0"/>
                <w:szCs w:val="20"/>
              </w:rPr>
            </w:pPr>
          </w:p>
          <w:p w:rsidR="00651B54" w:rsidRPr="009C3D7F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C6C25">
              <w:rPr>
                <w:rFonts w:ascii="Times New Roman" w:hAnsi="Times New Roman"/>
                <w:spacing w:val="-6"/>
                <w:sz w:val="20"/>
                <w:szCs w:val="20"/>
              </w:rPr>
              <w:t>Ключевые слова: ЛЮЦЕРНА ВТОРОГО ГОДА, МИНЕРАЛЬНЫЕ УДОБРЕНИЯ, ПРОДУКТИВНОСТЬ, ДИНАМИКА ЭЛЕМЕНТОВ ПИТАНИЯ</w:t>
            </w:r>
          </w:p>
        </w:tc>
        <w:tc>
          <w:tcPr>
            <w:tcW w:w="441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UDC 633.31:631.82</w:t>
            </w:r>
          </w:p>
          <w:p w:rsidR="00651B54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</w:pPr>
          </w:p>
          <w:p w:rsidR="00651B54" w:rsidRPr="008423D1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  <w:r w:rsidRPr="008423D1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Agriculture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 xml:space="preserve">CONSUMPTION OF ELEMENTS OF MINERAL NUTRIENTS </w:t>
            </w:r>
            <w:r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 xml:space="preserve">BY </w:t>
            </w:r>
            <w:r w:rsidRPr="005C6C25"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>ALFALFA PLANTS W</w:t>
            </w:r>
            <w:r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>HEN</w:t>
            </w:r>
            <w:r w:rsidRPr="005C6C25"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 xml:space="preserve"> USING FERTILIZER</w:t>
            </w:r>
            <w:r>
              <w:rPr>
                <w:rFonts w:ascii="Times New Roman" w:hAnsi="Times New Roman"/>
                <w:b/>
                <w:spacing w:val="-6"/>
                <w:sz w:val="20"/>
                <w:szCs w:val="20"/>
                <w:lang w:val="en-US"/>
              </w:rPr>
              <w:t>S</w:t>
            </w: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Chukhil Anastasia Alexandrovna</w:t>
            </w: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Safonova Tatiana</w:t>
            </w:r>
            <w:r w:rsidRPr="005C6C25">
              <w:rPr>
                <w:rFonts w:ascii="Tahoma" w:hAnsi="Tahoma" w:cs="Tahoma"/>
                <w:color w:val="000000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  <w:r w:rsidRPr="005C6C25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Gennadevna</w:t>
            </w: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  <w:r w:rsidRPr="005C6C25"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  <w:t>junior researcher</w:t>
            </w: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i/>
                <w:spacing w:val="-6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C6C25">
                <w:rPr>
                  <w:rFonts w:ascii="Times New Roman" w:hAnsi="Times New Roman"/>
                  <w:i/>
                  <w:spacing w:val="-6"/>
                  <w:sz w:val="20"/>
                  <w:szCs w:val="20"/>
                  <w:lang w:val="en-US"/>
                </w:rPr>
                <w:t>Kuban</w:t>
              </w:r>
            </w:smartTag>
            <w:r w:rsidRPr="005C6C25">
              <w:rPr>
                <w:rFonts w:ascii="Times New Roman" w:hAnsi="Times New Roman"/>
                <w:i/>
                <w:spacing w:val="-6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6C25">
                <w:rPr>
                  <w:rFonts w:ascii="Times New Roman" w:hAnsi="Times New Roman"/>
                  <w:i/>
                  <w:spacing w:val="-6"/>
                  <w:sz w:val="20"/>
                  <w:szCs w:val="20"/>
                  <w:lang w:val="en-US"/>
                </w:rPr>
                <w:t>State</w:t>
              </w:r>
            </w:smartTag>
            <w:r w:rsidRPr="005C6C25">
              <w:rPr>
                <w:rFonts w:ascii="Times New Roman" w:hAnsi="Times New Roman"/>
                <w:i/>
                <w:spacing w:val="-6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6C25">
                <w:rPr>
                  <w:rFonts w:ascii="Times New Roman" w:hAnsi="Times New Roman"/>
                  <w:i/>
                  <w:spacing w:val="-6"/>
                  <w:sz w:val="20"/>
                  <w:szCs w:val="20"/>
                  <w:lang w:val="en-US"/>
                </w:rPr>
                <w:t>Agrarian</w:t>
              </w:r>
            </w:smartTag>
            <w:r w:rsidRPr="005C6C25">
              <w:rPr>
                <w:rFonts w:ascii="Times New Roman" w:hAnsi="Times New Roman"/>
                <w:i/>
                <w:spacing w:val="-6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6C25">
                <w:rPr>
                  <w:rFonts w:ascii="Times New Roman" w:hAnsi="Times New Roman"/>
                  <w:i/>
                  <w:spacing w:val="-6"/>
                  <w:sz w:val="20"/>
                  <w:szCs w:val="20"/>
                  <w:lang w:val="en-US"/>
                </w:rPr>
                <w:t>University</w:t>
              </w:r>
            </w:smartTag>
            <w:r w:rsidRPr="005C6C25">
              <w:rPr>
                <w:rFonts w:ascii="Times New Roman" w:hAnsi="Times New Roman"/>
                <w:i/>
                <w:spacing w:val="-6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5C6C25">
                  <w:rPr>
                    <w:rFonts w:ascii="Times New Roman" w:hAnsi="Times New Roman"/>
                    <w:i/>
                    <w:spacing w:val="-6"/>
                    <w:sz w:val="20"/>
                    <w:szCs w:val="20"/>
                    <w:lang w:val="en-US"/>
                  </w:rPr>
                  <w:t>Krasnodar</w:t>
                </w:r>
              </w:smartTag>
              <w:r w:rsidRPr="005C6C25">
                <w:rPr>
                  <w:rFonts w:ascii="Times New Roman" w:hAnsi="Times New Roman"/>
                  <w:i/>
                  <w:spacing w:val="-6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C6C25">
                  <w:rPr>
                    <w:rFonts w:ascii="Times New Roman" w:hAnsi="Times New Roman"/>
                    <w:i/>
                    <w:spacing w:val="-6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</w:p>
          <w:p w:rsidR="00651B54" w:rsidRPr="005C6C25" w:rsidRDefault="00651B54" w:rsidP="00082625">
            <w:pPr>
              <w:pStyle w:val="ListParagraph"/>
              <w:spacing w:after="0" w:line="240" w:lineRule="auto"/>
              <w:ind w:left="0" w:right="22"/>
              <w:rPr>
                <w:rFonts w:ascii="Times New Roman" w:hAnsi="Times New Roman"/>
                <w:spacing w:val="-6"/>
                <w:sz w:val="20"/>
                <w:szCs w:val="20"/>
                <w:lang w:val="en-US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Improving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the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technology of alfalfa cultivation and increasing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its 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productivity for the </w:t>
            </w:r>
            <w:smartTag w:uri="urn:schemas-microsoft-com:office:smarttags" w:element="place">
              <w:r w:rsidRPr="005C6C25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DFDFD"/>
                  <w:lang w:val="en-US"/>
                </w:rPr>
                <w:t>Kuban</w:t>
              </w:r>
            </w:smartTag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region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have great practical significance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nowadays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. The research of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proper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environmental and economical systems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of 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fertilizers that provide balanced nutrition plays an important role in the growing of crops. As a result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, we have found that for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 specific soil and climatic conditions when using optimal doses of mineral fertilizers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it is 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possible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to have </w:t>
            </w: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stable high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>yields of good quality alfalfa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</w:p>
          <w:p w:rsidR="00651B54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</w:pPr>
            <w:r w:rsidRPr="005C6C2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DFDFD"/>
                <w:lang w:val="en-US"/>
              </w:rPr>
              <w:t xml:space="preserve">Keywords: ALFALFA SECOND YEAR, FERTILIZERS, PRODUCTIVITY, DYNAMICS OF NUTRIENTS </w:t>
            </w:r>
          </w:p>
          <w:p w:rsidR="00651B54" w:rsidRPr="005C6C25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</w:tbl>
    <w:p w:rsidR="00651B54" w:rsidRPr="004C7857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651B54" w:rsidRPr="0004181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color w:val="000000"/>
          <w:sz w:val="20"/>
          <w:szCs w:val="20"/>
          <w:shd w:val="clear" w:color="auto" w:fill="FDFDFD"/>
        </w:rPr>
      </w:pP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Формирование высокопродуктивного животноводства</w:t>
      </w:r>
      <w:r w:rsidRPr="00464B03">
        <w:rPr>
          <w:rFonts w:ascii="Times New Roman" w:hAnsi="Times New Roman"/>
          <w:sz w:val="28"/>
          <w:szCs w:val="28"/>
        </w:rPr>
        <w:t xml:space="preserve"> н</w:t>
      </w: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а современном этапе развития аграрной политики Краснодарского края невозможно без создания базы полноценных кормов, сбалансированных по всем питательным компонентами</w:t>
      </w:r>
      <w:r w:rsidRPr="00464B03">
        <w:rPr>
          <w:rFonts w:ascii="Times New Roman" w:hAnsi="Times New Roman"/>
          <w:sz w:val="28"/>
          <w:szCs w:val="28"/>
        </w:rPr>
        <w:t xml:space="preserve">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Verdana" w:hAnsi="Verdana"/>
          <w:color w:val="666666"/>
          <w:sz w:val="21"/>
          <w:szCs w:val="21"/>
          <w:shd w:val="clear" w:color="auto" w:fill="FFFFFF"/>
        </w:rPr>
      </w:pP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Люцерна является ценной кормовой культурой из многолетних бобовых трав, отличается высокой урожайностью и широко возделывается на Кубани [4]</w:t>
      </w:r>
      <w:r w:rsidRPr="00464B03">
        <w:rPr>
          <w:rFonts w:ascii="Verdana" w:hAnsi="Verdana"/>
          <w:color w:val="666666"/>
          <w:sz w:val="21"/>
          <w:szCs w:val="21"/>
          <w:shd w:val="clear" w:color="auto" w:fill="FFFFFF"/>
        </w:rPr>
        <w:t xml:space="preserve">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Важное значение имеет то, что из нее можно получать высокоэнергетические корма в в</w:t>
      </w:r>
      <w:r>
        <w:rPr>
          <w:rFonts w:ascii="Times New Roman" w:hAnsi="Times New Roman"/>
          <w:sz w:val="28"/>
          <w:szCs w:val="28"/>
          <w:shd w:val="clear" w:color="auto" w:fill="FFFFFF"/>
        </w:rPr>
        <w:t>иде зеленой массы, сена, сенажа и травяной муки. Отмечается очень высокая п</w:t>
      </w:r>
      <w:r w:rsidRPr="00464B03">
        <w:rPr>
          <w:rFonts w:ascii="Times New Roman" w:hAnsi="Times New Roman"/>
          <w:sz w:val="28"/>
          <w:szCs w:val="28"/>
          <w:shd w:val="clear" w:color="auto" w:fill="FFFFFF"/>
        </w:rPr>
        <w:t xml:space="preserve">оедаемость всеми видами скота, хозяйственная годность при высокой продуктивности может сохраняться до 4-5 лет [2]. </w:t>
      </w:r>
      <w:r w:rsidRPr="00464B03">
        <w:rPr>
          <w:rFonts w:ascii="Times New Roman" w:hAnsi="Times New Roman"/>
          <w:sz w:val="28"/>
          <w:szCs w:val="28"/>
        </w:rPr>
        <w:t xml:space="preserve">Она дает высокобелковый корм, богатый всеми необходимыми для животных витаминами, углеводами и микроэлементами </w:t>
      </w: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[5]</w:t>
      </w:r>
      <w:r w:rsidRPr="00464B03">
        <w:rPr>
          <w:rFonts w:ascii="Times New Roman" w:hAnsi="Times New Roman"/>
          <w:sz w:val="28"/>
          <w:szCs w:val="28"/>
        </w:rPr>
        <w:t>. Поэтому в</w:t>
      </w:r>
      <w:r w:rsidRPr="00464B03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ажным резервом укрепления кормовой базы животноводства является создание высокопродуктивных посевов многолетних бобовых трав, рациональное их использование и повышение урожайности.</w:t>
      </w:r>
      <w:r w:rsidRPr="00464B03">
        <w:rPr>
          <w:rStyle w:val="apple-converted-space"/>
          <w:rFonts w:ascii="Times New Roman" w:hAnsi="Times New Roman"/>
          <w:spacing w:val="4"/>
          <w:sz w:val="28"/>
          <w:szCs w:val="28"/>
          <w:shd w:val="clear" w:color="auto" w:fill="FFFFFF"/>
        </w:rPr>
        <w:t> 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Люцерна, как и другие культуры, в процессе онтогенеза имеет свойственную только ей динамику потребления элементов питания, поэтому на разных этапах роста и развития растений с помощью удобрений можно контролировать данный процесс </w:t>
      </w: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[9]</w:t>
      </w:r>
      <w:r w:rsidRPr="00464B03">
        <w:rPr>
          <w:rFonts w:ascii="Times New Roman" w:hAnsi="Times New Roman"/>
          <w:sz w:val="28"/>
          <w:szCs w:val="28"/>
        </w:rPr>
        <w:t>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В настоящее время одним из приоритетных направлений агрохимии является создание сбалансированной системы удобрения люцерны, включающей макро- и микроэлементы [3,7,8]. Исследования, проводимые в рисовом севообороте на рисовых почвах показали положительное влияние минеральных удобрений на агрохимические показатели </w:t>
      </w:r>
      <w:r>
        <w:rPr>
          <w:rFonts w:ascii="Times New Roman" w:hAnsi="Times New Roman"/>
          <w:sz w:val="28"/>
          <w:szCs w:val="28"/>
        </w:rPr>
        <w:t xml:space="preserve">плодородия </w:t>
      </w:r>
      <w:r w:rsidRPr="00464B03">
        <w:rPr>
          <w:rFonts w:ascii="Times New Roman" w:hAnsi="Times New Roman"/>
          <w:sz w:val="28"/>
          <w:szCs w:val="28"/>
        </w:rPr>
        <w:t>почв и продуктивность люцерны [1,5,6]. В связи с этим приобретает актуальность проведение соответствующих исследований на посевах люцерны, возделываемой на черноземе выщелоченном в зерно-травяно-пропашном севообороте, где система удобрения данной культуры остается слабоизученной.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Цель исследований – повышение продуктивности люцерны второго года жизни путем </w:t>
      </w:r>
      <w:r>
        <w:rPr>
          <w:rFonts w:ascii="Times New Roman" w:hAnsi="Times New Roman"/>
          <w:sz w:val="28"/>
          <w:szCs w:val="28"/>
        </w:rPr>
        <w:t>оптимизации системы удобрения</w:t>
      </w:r>
      <w:r w:rsidRPr="00464B03">
        <w:rPr>
          <w:rFonts w:ascii="Times New Roman" w:hAnsi="Times New Roman"/>
          <w:sz w:val="28"/>
          <w:szCs w:val="28"/>
        </w:rPr>
        <w:t xml:space="preserve">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В задачи исследований входило </w:t>
      </w:r>
      <w:r>
        <w:rPr>
          <w:rFonts w:ascii="Times New Roman" w:hAnsi="Times New Roman"/>
          <w:sz w:val="28"/>
          <w:szCs w:val="28"/>
        </w:rPr>
        <w:t>установление</w:t>
      </w:r>
      <w:r w:rsidRPr="00464B03">
        <w:rPr>
          <w:rFonts w:ascii="Times New Roman" w:hAnsi="Times New Roman"/>
          <w:sz w:val="28"/>
          <w:szCs w:val="28"/>
        </w:rPr>
        <w:t xml:space="preserve"> действие минеральных удобрений на динамику содержания азота, фосфора и калия в растениях люцерны 2-го года жизни; </w:t>
      </w:r>
      <w:r>
        <w:rPr>
          <w:rFonts w:ascii="Times New Roman" w:hAnsi="Times New Roman"/>
          <w:sz w:val="28"/>
          <w:szCs w:val="28"/>
        </w:rPr>
        <w:t>выявление</w:t>
      </w:r>
      <w:r w:rsidRPr="00464B03">
        <w:rPr>
          <w:rFonts w:ascii="Times New Roman" w:hAnsi="Times New Roman"/>
          <w:sz w:val="28"/>
          <w:szCs w:val="28"/>
        </w:rPr>
        <w:t xml:space="preserve"> влияни</w:t>
      </w:r>
      <w:r>
        <w:rPr>
          <w:rFonts w:ascii="Times New Roman" w:hAnsi="Times New Roman"/>
          <w:sz w:val="28"/>
          <w:szCs w:val="28"/>
        </w:rPr>
        <w:t>я</w:t>
      </w:r>
      <w:r w:rsidRPr="00464B03">
        <w:rPr>
          <w:rFonts w:ascii="Times New Roman" w:hAnsi="Times New Roman"/>
          <w:sz w:val="28"/>
          <w:szCs w:val="28"/>
        </w:rPr>
        <w:t xml:space="preserve"> применения удобрений на рост и развитие растений люцерны; </w:t>
      </w:r>
      <w:r>
        <w:rPr>
          <w:rFonts w:ascii="Times New Roman" w:hAnsi="Times New Roman"/>
          <w:sz w:val="28"/>
          <w:szCs w:val="28"/>
        </w:rPr>
        <w:t>изучение влияния</w:t>
      </w:r>
      <w:r w:rsidRPr="00464B03">
        <w:rPr>
          <w:rFonts w:ascii="Times New Roman" w:hAnsi="Times New Roman"/>
          <w:sz w:val="28"/>
          <w:szCs w:val="28"/>
        </w:rPr>
        <w:t xml:space="preserve"> минеральных удобрений на урожайность и качество зеленой массы люцерны.</w:t>
      </w:r>
    </w:p>
    <w:p w:rsidR="00651B54" w:rsidRPr="00464B03" w:rsidRDefault="00651B54" w:rsidP="00082625">
      <w:pPr>
        <w:pStyle w:val="ListParagraph"/>
        <w:spacing w:after="0" w:line="360" w:lineRule="auto"/>
        <w:ind w:left="0" w:right="22"/>
        <w:jc w:val="both"/>
      </w:pPr>
      <w:r w:rsidRPr="00464B03">
        <w:rPr>
          <w:rFonts w:ascii="Times New Roman" w:hAnsi="Times New Roman"/>
          <w:sz w:val="28"/>
          <w:szCs w:val="28"/>
          <w:lang w:eastAsia="en-US"/>
        </w:rPr>
        <w:t>Исследования поводились на с</w:t>
      </w:r>
      <w:r w:rsidRPr="00464B03">
        <w:rPr>
          <w:rFonts w:ascii="Times New Roman" w:hAnsi="Times New Roman"/>
          <w:sz w:val="28"/>
          <w:szCs w:val="28"/>
        </w:rPr>
        <w:t>тационарном полевом опыте кафедры агрохимии Кубанского госагроуниверситета, который в настоящее время включен в Реестр длительных полевых опытов с удобрениями и другими средствами химизации земледелия РАН.</w:t>
      </w:r>
      <w:r w:rsidRPr="00464B03">
        <w:t xml:space="preserve"> </w:t>
      </w:r>
    </w:p>
    <w:p w:rsidR="00651B54" w:rsidRPr="001951A7" w:rsidRDefault="00651B54" w:rsidP="00082625">
      <w:pPr>
        <w:pStyle w:val="ListParagraph"/>
        <w:spacing w:line="360" w:lineRule="auto"/>
        <w:ind w:left="0" w:right="22"/>
        <w:jc w:val="both"/>
        <w:rPr>
          <w:rFonts w:ascii="Times New Roman" w:hAnsi="Times New Roman"/>
          <w:spacing w:val="-6"/>
          <w:sz w:val="28"/>
          <w:szCs w:val="28"/>
        </w:rPr>
      </w:pPr>
      <w:r w:rsidRPr="001951A7">
        <w:rPr>
          <w:rFonts w:ascii="Times New Roman" w:hAnsi="Times New Roman"/>
          <w:spacing w:val="-6"/>
          <w:sz w:val="28"/>
          <w:szCs w:val="28"/>
        </w:rPr>
        <w:t xml:space="preserve">Схема опыта содержит семь вариантов по четыре повторности. Расположение делянок рендомезированное. Учетная площадь делянки </w:t>
      </w:r>
      <w:smartTag w:uri="urn:schemas-microsoft-com:office:smarttags" w:element="City">
        <w:r w:rsidRPr="001951A7">
          <w:rPr>
            <w:rFonts w:ascii="Times New Roman" w:hAnsi="Times New Roman"/>
            <w:spacing w:val="-6"/>
            <w:sz w:val="28"/>
            <w:szCs w:val="28"/>
          </w:rPr>
          <w:t>63 м</w:t>
        </w:r>
        <w:r w:rsidRPr="001951A7">
          <w:rPr>
            <w:rFonts w:ascii="Times New Roman" w:hAnsi="Times New Roman"/>
            <w:spacing w:val="-6"/>
            <w:sz w:val="28"/>
            <w:szCs w:val="28"/>
            <w:vertAlign w:val="superscript"/>
          </w:rPr>
          <w:t>2</w:t>
        </w:r>
      </w:smartTag>
      <w:r w:rsidRPr="001951A7">
        <w:rPr>
          <w:rFonts w:ascii="Times New Roman" w:hAnsi="Times New Roman"/>
          <w:spacing w:val="-6"/>
          <w:sz w:val="28"/>
          <w:szCs w:val="28"/>
        </w:rPr>
        <w:t>.</w:t>
      </w:r>
    </w:p>
    <w:tbl>
      <w:tblPr>
        <w:tblW w:w="9668" w:type="dxa"/>
        <w:tblCellMar>
          <w:left w:w="0" w:type="dxa"/>
          <w:right w:w="0" w:type="dxa"/>
        </w:tblCellMar>
        <w:tblLook w:val="00A0"/>
      </w:tblPr>
      <w:tblGrid>
        <w:gridCol w:w="1696"/>
        <w:gridCol w:w="4825"/>
        <w:gridCol w:w="3147"/>
      </w:tblGrid>
      <w:tr w:rsidR="00651B54" w:rsidRPr="005C6C25" w:rsidTr="002B39D7">
        <w:trPr>
          <w:trHeight w:val="446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              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Вариант опыта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Дозы удобрений</w:t>
            </w:r>
          </w:p>
        </w:tc>
      </w:tr>
      <w:tr w:rsidR="00651B54" w:rsidRPr="005C6C25" w:rsidTr="002E4260">
        <w:trPr>
          <w:trHeight w:val="199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spacing w:val="-4"/>
                <w:sz w:val="28"/>
                <w:szCs w:val="28"/>
              </w:rPr>
              <w:t>1.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000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Без удобрений</w:t>
            </w:r>
          </w:p>
        </w:tc>
      </w:tr>
      <w:tr w:rsidR="00651B54" w:rsidRPr="005C6C25" w:rsidTr="002E4260">
        <w:trPr>
          <w:trHeight w:val="147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2.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111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10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10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10</w:t>
            </w:r>
          </w:p>
        </w:tc>
      </w:tr>
      <w:tr w:rsidR="00651B54" w:rsidRPr="005C6C25" w:rsidTr="002E4260">
        <w:trPr>
          <w:trHeight w:val="81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3.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222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20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20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 xml:space="preserve"> 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20</w:t>
            </w:r>
          </w:p>
        </w:tc>
      </w:tr>
      <w:tr w:rsidR="00651B54" w:rsidRPr="005C6C25" w:rsidTr="002E4260">
        <w:trPr>
          <w:trHeight w:val="274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4.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333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3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3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3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</w:p>
        </w:tc>
      </w:tr>
      <w:tr w:rsidR="00651B54" w:rsidRPr="005C6C25" w:rsidTr="002E4260">
        <w:trPr>
          <w:trHeight w:val="55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spacing w:val="-4"/>
                <w:sz w:val="28"/>
                <w:szCs w:val="28"/>
              </w:rPr>
              <w:t>5.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200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20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0</w:t>
            </w:r>
          </w:p>
        </w:tc>
      </w:tr>
      <w:tr w:rsidR="00651B54" w:rsidRPr="005C6C25" w:rsidTr="002E4260">
        <w:trPr>
          <w:trHeight w:val="55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6.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020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2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0</w:t>
            </w:r>
          </w:p>
        </w:tc>
      </w:tr>
      <w:tr w:rsidR="00651B54" w:rsidRPr="005C6C25" w:rsidTr="002E4260">
        <w:trPr>
          <w:trHeight w:val="55"/>
        </w:trPr>
        <w:tc>
          <w:tcPr>
            <w:tcW w:w="1696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7.</w:t>
            </w:r>
          </w:p>
        </w:tc>
        <w:tc>
          <w:tcPr>
            <w:tcW w:w="4825" w:type="dxa"/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002</w:t>
            </w:r>
          </w:p>
        </w:tc>
        <w:tc>
          <w:tcPr>
            <w:tcW w:w="3147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651B54" w:rsidRPr="00464B03" w:rsidRDefault="00651B54" w:rsidP="00082625">
            <w:pPr>
              <w:spacing w:after="0" w:line="240" w:lineRule="auto"/>
              <w:ind w:right="22"/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</w:pP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>N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P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  <w:lang w:val="en-US"/>
              </w:rPr>
              <w:t>0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lang w:val="en-US"/>
              </w:rPr>
              <w:t xml:space="preserve"> K</w:t>
            </w:r>
            <w:r w:rsidRPr="00464B03">
              <w:rPr>
                <w:rFonts w:ascii="Times New Roman" w:hAnsi="Times New Roman"/>
                <w:bCs/>
                <w:spacing w:val="-4"/>
                <w:sz w:val="28"/>
                <w:szCs w:val="28"/>
                <w:vertAlign w:val="subscript"/>
              </w:rPr>
              <w:t>20</w:t>
            </w:r>
          </w:p>
        </w:tc>
      </w:tr>
    </w:tbl>
    <w:p w:rsidR="00651B54" w:rsidRPr="00464B03" w:rsidRDefault="00651B54" w:rsidP="00082625">
      <w:pPr>
        <w:spacing w:before="240"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Минеральные удобрения вносили в форме аммиачной селитры, суперфосфата двойного, хлористого калия под ранневесеннее боронование. Агротехника в опыте общепринятая для данной зоны. Размер, конфигурация и размещение делянок позволили механизировать все процессы по уходу за посевами и уборке урожая.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>Объекты исследований: люцерна 2-го года жизни сорта Фея (синегибридный сортотип). Сорт в течение вегетации дает 2-4 укоса. После зимовки рано и дружно трогается в рост, хорошо отрастает после скашивания. Средняя высота растений при скашивании на сено 50-</w:t>
      </w:r>
      <w:smartTag w:uri="urn:schemas-microsoft-com:office:smarttags" w:element="City">
        <w:r w:rsidRPr="00464B03">
          <w:rPr>
            <w:rFonts w:ascii="Times New Roman" w:hAnsi="Times New Roman"/>
            <w:spacing w:val="-4"/>
            <w:sz w:val="28"/>
            <w:szCs w:val="28"/>
          </w:rPr>
          <w:t>75 см</w:t>
        </w:r>
      </w:smartTag>
      <w:r w:rsidRPr="00464B03">
        <w:rPr>
          <w:rFonts w:ascii="Times New Roman" w:hAnsi="Times New Roman"/>
          <w:spacing w:val="-4"/>
          <w:sz w:val="28"/>
          <w:szCs w:val="28"/>
        </w:rPr>
        <w:t xml:space="preserve">, на семена – до </w:t>
      </w:r>
      <w:smartTag w:uri="urn:schemas-microsoft-com:office:smarttags" w:element="City">
        <w:r w:rsidRPr="00464B03">
          <w:rPr>
            <w:rFonts w:ascii="Times New Roman" w:hAnsi="Times New Roman"/>
            <w:spacing w:val="-4"/>
            <w:sz w:val="28"/>
            <w:szCs w:val="28"/>
          </w:rPr>
          <w:t>95 см</w:t>
        </w:r>
      </w:smartTag>
      <w:r w:rsidRPr="00464B03">
        <w:rPr>
          <w:rFonts w:ascii="Times New Roman" w:hAnsi="Times New Roman"/>
          <w:spacing w:val="-4"/>
          <w:sz w:val="28"/>
          <w:szCs w:val="28"/>
        </w:rPr>
        <w:t>. Созревшие бобы от светло- до темно-коричневого цвета, 3,8-</w:t>
      </w:r>
      <w:smartTag w:uri="urn:schemas-microsoft-com:office:smarttags" w:element="City">
        <w:r w:rsidRPr="00464B03">
          <w:rPr>
            <w:rFonts w:ascii="Times New Roman" w:hAnsi="Times New Roman"/>
            <w:spacing w:val="-4"/>
            <w:sz w:val="28"/>
            <w:szCs w:val="28"/>
          </w:rPr>
          <w:t>4,6 мм</w:t>
        </w:r>
      </w:smartTag>
      <w:r w:rsidRPr="00464B03">
        <w:rPr>
          <w:rFonts w:ascii="Times New Roman" w:hAnsi="Times New Roman"/>
          <w:spacing w:val="-4"/>
          <w:sz w:val="28"/>
          <w:szCs w:val="28"/>
        </w:rPr>
        <w:t xml:space="preserve"> в диаметре. Масса 1000 семян 1,8-</w:t>
      </w:r>
      <w:smartTag w:uri="urn:schemas-microsoft-com:office:smarttags" w:element="City">
        <w:r w:rsidRPr="00464B03">
          <w:rPr>
            <w:rFonts w:ascii="Times New Roman" w:hAnsi="Times New Roman"/>
            <w:spacing w:val="-4"/>
            <w:sz w:val="28"/>
            <w:szCs w:val="28"/>
          </w:rPr>
          <w:t>2,2 г</w:t>
        </w:r>
      </w:smartTag>
      <w:r w:rsidRPr="00464B03">
        <w:rPr>
          <w:rFonts w:ascii="Times New Roman" w:hAnsi="Times New Roman"/>
          <w:spacing w:val="-4"/>
          <w:sz w:val="28"/>
          <w:szCs w:val="28"/>
        </w:rPr>
        <w:t>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Почва - </w:t>
      </w:r>
      <w:r w:rsidRPr="00464B03">
        <w:rPr>
          <w:rFonts w:ascii="Times New Roman" w:hAnsi="Times New Roman"/>
          <w:sz w:val="28"/>
          <w:szCs w:val="28"/>
        </w:rPr>
        <w:t>чернозем выщелоченный слабогумусный сверхмощный легкоглинистый на лессовидных тяжелых суглинках.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-6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Аналитические работы выполнялись согласно общепринятым методикам. Растительные образцы отбирали поделяночно с каждого варианта и каждой повторности. В них определяли содержание азота, фосфора и калия методом мокрого озоления в серной кислоте с перекисью водорода: азот по Кьельдалю, фосфор – колориметрически, калий на пламенном фотометре. </w:t>
      </w:r>
      <w:r w:rsidRPr="00464B03">
        <w:rPr>
          <w:rFonts w:ascii="Times New Roman" w:hAnsi="Times New Roman"/>
          <w:spacing w:val="-6"/>
          <w:sz w:val="28"/>
          <w:szCs w:val="28"/>
        </w:rPr>
        <w:t>В течение всей вегетации наблюдали изменение линейного роста растений и накопление сухого вещества весовым методом (при высушивании в термостате при температуре 105</w:t>
      </w:r>
      <w:r w:rsidRPr="00464B03">
        <w:rPr>
          <w:rFonts w:ascii="Times New Roman" w:hAnsi="Times New Roman"/>
          <w:spacing w:val="-6"/>
          <w:sz w:val="28"/>
          <w:szCs w:val="28"/>
          <w:vertAlign w:val="superscript"/>
        </w:rPr>
        <w:t>о</w:t>
      </w:r>
      <w:r w:rsidRPr="00464B03">
        <w:rPr>
          <w:rFonts w:ascii="Times New Roman" w:hAnsi="Times New Roman"/>
          <w:spacing w:val="-6"/>
          <w:sz w:val="28"/>
          <w:szCs w:val="28"/>
        </w:rPr>
        <w:t xml:space="preserve">С в течение 6 ч.).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-6"/>
          <w:sz w:val="28"/>
          <w:szCs w:val="28"/>
        </w:rPr>
      </w:pPr>
      <w:r w:rsidRPr="00464B03">
        <w:rPr>
          <w:rFonts w:ascii="Times New Roman" w:hAnsi="Times New Roman"/>
          <w:spacing w:val="-6"/>
          <w:sz w:val="28"/>
          <w:szCs w:val="28"/>
        </w:rPr>
        <w:t xml:space="preserve">В полевом опыте учет урожайности зеленой массы проводили поделяночно методом сплошной уборки.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pacing w:val="-6"/>
          <w:sz w:val="28"/>
          <w:szCs w:val="28"/>
        </w:rPr>
      </w:pPr>
      <w:r w:rsidRPr="00464B03">
        <w:rPr>
          <w:rFonts w:ascii="Times New Roman" w:hAnsi="Times New Roman"/>
          <w:spacing w:val="-6"/>
          <w:sz w:val="28"/>
          <w:szCs w:val="28"/>
        </w:rPr>
        <w:t>Статистическая оценка экспериментальных данных осуществлялась методом дисперсионного анализа.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b/>
          <w:sz w:val="28"/>
          <w:szCs w:val="28"/>
        </w:rPr>
        <w:t xml:space="preserve">Результаты исследований. </w:t>
      </w:r>
      <w:r w:rsidRPr="00464B03">
        <w:rPr>
          <w:rFonts w:ascii="Times New Roman" w:hAnsi="Times New Roman"/>
          <w:sz w:val="28"/>
          <w:szCs w:val="28"/>
        </w:rPr>
        <w:t xml:space="preserve">Минеральные удобрения, улучшая пищевой режим почвы, существенно повлияли на потребление люцерной наиболее дефицитных элементов питания – азота, фосфора и калия и изменяли химический состав растений. 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Система удобрения люцерны обусловливается ее биологическими особенностями. Значительную часть необходимого азота растения люцерны получают из атмосферы с помощью симбиотической фиксации клубеньковыми бактериями. Количество биологически связанного азота варьирует в широких пределах в зависимости от физических, физико-химических и агрохимических свойств почвы [1].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Поглощение растениями азота в первую очередь зависит от содержания данного элемента питания в почве. По результатам исследований видно, что люцерна на удобренных вариантах, содержала больше азота, чем на неудобренных (рисунок 1). 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center"/>
        <w:outlineLvl w:val="0"/>
        <w:rPr>
          <w:rFonts w:ascii="Times New Roman" w:hAnsi="Times New Roman"/>
          <w:sz w:val="28"/>
          <w:szCs w:val="28"/>
        </w:rPr>
      </w:pPr>
      <w:r w:rsidRPr="000741C5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3.8pt;height:234pt;visibility:visible">
            <v:imagedata r:id="rId7" o:title=""/>
          </v:shape>
        </w:pict>
      </w:r>
    </w:p>
    <w:p w:rsidR="00651B54" w:rsidRPr="00464B03" w:rsidRDefault="00651B54" w:rsidP="00082625">
      <w:pPr>
        <w:spacing w:before="240" w:line="360" w:lineRule="auto"/>
        <w:ind w:right="22"/>
        <w:jc w:val="center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Рис. 1. – Содержание азота в растениях люцерны, %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При внесении двойной дозы фосфорного (Р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>) и азотного (</w:t>
      </w:r>
      <w:r w:rsidRPr="00464B03">
        <w:rPr>
          <w:rFonts w:ascii="Times New Roman" w:hAnsi="Times New Roman"/>
          <w:sz w:val="28"/>
          <w:szCs w:val="28"/>
          <w:lang w:val="en-US"/>
        </w:rPr>
        <w:t>N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 xml:space="preserve">) удобрения, а также единичной нормы полного минерального удобрения содержание азота в зеленой массе люцерны в первом укосе составило 2,03, 2,18 и 2,33 % соответственно. 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Максимальное содержание азота отмечено в вариантах с двойной (</w:t>
      </w:r>
      <w:r w:rsidRPr="00464B03">
        <w:rPr>
          <w:rFonts w:ascii="Times New Roman" w:hAnsi="Times New Roman"/>
          <w:sz w:val="28"/>
          <w:szCs w:val="28"/>
          <w:lang w:val="en-US"/>
        </w:rPr>
        <w:t>N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  <w:lang w:val="en-US"/>
        </w:rPr>
        <w:t>P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  <w:lang w:val="en-US"/>
        </w:rPr>
        <w:t>K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>) и тройной (</w:t>
      </w:r>
      <w:r w:rsidRPr="00464B03">
        <w:rPr>
          <w:rFonts w:ascii="Times New Roman" w:hAnsi="Times New Roman"/>
          <w:sz w:val="28"/>
          <w:szCs w:val="28"/>
          <w:lang w:val="en-US"/>
        </w:rPr>
        <w:t>N</w:t>
      </w:r>
      <w:r w:rsidRPr="00464B03">
        <w:rPr>
          <w:rFonts w:ascii="Times New Roman" w:hAnsi="Times New Roman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sz w:val="28"/>
          <w:szCs w:val="28"/>
          <w:lang w:val="en-US"/>
        </w:rPr>
        <w:t>P</w:t>
      </w:r>
      <w:r w:rsidRPr="00464B03">
        <w:rPr>
          <w:rFonts w:ascii="Times New Roman" w:hAnsi="Times New Roman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sz w:val="28"/>
          <w:szCs w:val="28"/>
          <w:lang w:val="en-US"/>
        </w:rPr>
        <w:t>K</w:t>
      </w:r>
      <w:r w:rsidRPr="00464B03">
        <w:rPr>
          <w:rFonts w:ascii="Times New Roman" w:hAnsi="Times New Roman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sz w:val="28"/>
          <w:szCs w:val="28"/>
        </w:rPr>
        <w:t>) нормой полного удобрения – 2,51 и 2,69 %.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Двойные дозы калия (</w:t>
      </w:r>
      <w:r w:rsidRPr="00464B03">
        <w:rPr>
          <w:rFonts w:ascii="Times New Roman" w:hAnsi="Times New Roman"/>
          <w:sz w:val="28"/>
          <w:szCs w:val="28"/>
          <w:lang w:val="en-US"/>
        </w:rPr>
        <w:t>K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>) не оказали существенного влияния на определяемый показатель.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Во втором и третьем укосах тенденция сохранилась: минимальное содержание азота в растениях люцерны зафиксировано на контроле 1,88-1,91%, максимальное– 2,69-2,67 %, при внесении тройной нормы полного минерального удобрения.</w:t>
      </w:r>
    </w:p>
    <w:p w:rsidR="00651B54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bCs/>
          <w:sz w:val="28"/>
          <w:szCs w:val="28"/>
        </w:rPr>
        <w:t>Фосфор</w:t>
      </w:r>
      <w:r w:rsidRPr="00464B03">
        <w:rPr>
          <w:rFonts w:ascii="Times New Roman" w:hAnsi="Times New Roman"/>
          <w:sz w:val="28"/>
          <w:szCs w:val="28"/>
        </w:rPr>
        <w:t xml:space="preserve"> играет исключительно важную роль в жизни растений регулятора дыхательных процессов и переносчика энергии. Химические реакции с участием этого элемента составляют основу энергетики живой клетки.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center"/>
        <w:outlineLvl w:val="0"/>
        <w:rPr>
          <w:rFonts w:ascii="Times New Roman" w:hAnsi="Times New Roman"/>
          <w:sz w:val="28"/>
          <w:szCs w:val="28"/>
        </w:rPr>
      </w:pPr>
      <w:r w:rsidRPr="000741C5">
        <w:rPr>
          <w:rFonts w:ascii="Times New Roman" w:hAnsi="Times New Roman"/>
          <w:noProof/>
          <w:sz w:val="28"/>
          <w:szCs w:val="28"/>
        </w:rPr>
        <w:pict>
          <v:shape id="Рисунок 5" o:spid="_x0000_i1026" type="#_x0000_t75" style="width:463.2pt;height:234pt;visibility:visible">
            <v:imagedata r:id="rId8" o:title=""/>
          </v:shape>
        </w:pict>
      </w:r>
    </w:p>
    <w:p w:rsidR="00651B54" w:rsidRDefault="00651B54" w:rsidP="00082625">
      <w:pPr>
        <w:spacing w:before="240" w:line="360" w:lineRule="auto"/>
        <w:ind w:right="22"/>
        <w:jc w:val="center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Рис. 2. – Содержание фосфора в растениях люцерны, %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В различные периоды жизни растения потребляют неодинаковое количество фосфора. Наибольшее количество фосфора в вегетативных органах растений люцерны присутствует в период отрастания. По мере развития растений количество фосфора постепенно сокращается. Минимальное его содержание отмечено в фазу цветения (укосы).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Минеральные удобрения существенно повышали содержание фосфора в зеленой массе люцерны. В первом укосе минимальное количество фосфора обнаружено в варианте без внесения удобрений – 0,52 %, максимальное при внесении двойной и тройной нормы полного удобрения – 0,69 и 0,71 % соответственно (рисунок 2).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Двойные дозы (Р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>) фосфорного удобрения повышали содержание фосфора в зеленой массе люцерны до 0,67 %. На вариантах с двойными дозами азота (</w:t>
      </w:r>
      <w:r w:rsidRPr="00464B03">
        <w:rPr>
          <w:rFonts w:ascii="Times New Roman" w:hAnsi="Times New Roman"/>
          <w:sz w:val="28"/>
          <w:szCs w:val="28"/>
          <w:lang w:val="en-US"/>
        </w:rPr>
        <w:t>N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>) и калия (К</w:t>
      </w:r>
      <w:r w:rsidRPr="00464B03">
        <w:rPr>
          <w:rFonts w:ascii="Times New Roman" w:hAnsi="Times New Roman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sz w:val="28"/>
          <w:szCs w:val="28"/>
        </w:rPr>
        <w:t xml:space="preserve">) данный показатель составил 0,57 и 0,54 % соответственно. 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Данная зависимость сохраняется во втором и третьем укосах для всех вариантов исследования.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Калий улучшает поступление воды в клетки, повышает осмотическое давление и тургор, уменьшает транспирацию, усиливает устойчивость биоколлоидов клетки, улучшает весь ход обмена веществ, повышает жизненность организма.</w:t>
      </w:r>
    </w:p>
    <w:p w:rsidR="00651B54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Люцерна нуждается в интенсивном калином питании. Недостаток его приводит к ослаблению азотфиксирующей активности клубеньковых бактерий. </w:t>
      </w:r>
    </w:p>
    <w:p w:rsidR="00651B54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По вариантам опыта содержание калия в зеленой массе люцерны повышается (рисунок 3). При первом укосе в варианте без внесения удобрений растениях люцерны содержали калий в количестве 1,63 %, во второй укос – 1,65 %, третий – 1,61 %.</w:t>
      </w:r>
    </w:p>
    <w:p w:rsidR="00651B54" w:rsidRPr="00A06B49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A06B49">
        <w:rPr>
          <w:rFonts w:ascii="Times New Roman" w:hAnsi="Times New Roman"/>
          <w:sz w:val="28"/>
          <w:szCs w:val="28"/>
        </w:rPr>
        <w:t>Азотные и фосфорные удобрения в двойной дозе оказали положительное действие на рост этого показателя. Двойная доза калийных удобрений К</w:t>
      </w:r>
      <w:r w:rsidRPr="00A06B49">
        <w:rPr>
          <w:rFonts w:ascii="Times New Roman" w:hAnsi="Times New Roman"/>
          <w:sz w:val="28"/>
          <w:szCs w:val="28"/>
          <w:vertAlign w:val="subscript"/>
        </w:rPr>
        <w:t xml:space="preserve">20 </w:t>
      </w:r>
      <w:r w:rsidRPr="00A06B49">
        <w:rPr>
          <w:rFonts w:ascii="Times New Roman" w:hAnsi="Times New Roman"/>
          <w:sz w:val="28"/>
          <w:szCs w:val="28"/>
        </w:rPr>
        <w:t xml:space="preserve">в течение вегетации увеличила содержание калия до 1,73-1,78 %. </w:t>
      </w:r>
    </w:p>
    <w:p w:rsidR="00651B54" w:rsidRPr="00464B03" w:rsidRDefault="00651B54" w:rsidP="00082625">
      <w:pPr>
        <w:pStyle w:val="ListParagraph"/>
        <w:spacing w:before="240" w:after="0" w:line="360" w:lineRule="auto"/>
        <w:ind w:left="0" w:right="22"/>
        <w:jc w:val="center"/>
        <w:rPr>
          <w:rFonts w:ascii="Times New Roman" w:hAnsi="Times New Roman"/>
          <w:sz w:val="28"/>
          <w:szCs w:val="28"/>
        </w:rPr>
      </w:pPr>
      <w:r w:rsidRPr="000741C5">
        <w:rPr>
          <w:rFonts w:ascii="Times New Roman" w:hAnsi="Times New Roman"/>
          <w:noProof/>
          <w:sz w:val="28"/>
          <w:szCs w:val="28"/>
        </w:rPr>
        <w:pict>
          <v:shape id="Рисунок 6" o:spid="_x0000_i1027" type="#_x0000_t75" style="width:457.2pt;height:234pt;visibility:visible">
            <v:imagedata r:id="rId9" o:title=""/>
          </v:shape>
        </w:pict>
      </w:r>
    </w:p>
    <w:p w:rsidR="00651B54" w:rsidRPr="00464B03" w:rsidRDefault="00651B54" w:rsidP="00082625">
      <w:pPr>
        <w:spacing w:before="240" w:line="360" w:lineRule="auto"/>
        <w:ind w:right="22"/>
        <w:jc w:val="center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Рис. 3. – Содержание калия в растениях люцерны, %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При внесении двойной и тройной нормы полного удобрения количество калия в зеленой массе люцерны было максимальным и составляло 1,74-1,83 % и 1,82-1,88 % соответственно.</w:t>
      </w:r>
    </w:p>
    <w:p w:rsidR="00651B54" w:rsidRPr="00464B03" w:rsidRDefault="00651B54" w:rsidP="00082625">
      <w:pPr>
        <w:pStyle w:val="BodyTextIndent"/>
        <w:spacing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О происходящих в растениях процессах роста может свидетельствовать ряд признаков, к которым относятся, прежде всего густота стояния, высота и биомасса растений.</w:t>
      </w:r>
    </w:p>
    <w:p w:rsidR="00651B54" w:rsidRPr="00464B03" w:rsidRDefault="00651B54" w:rsidP="00082625">
      <w:pPr>
        <w:pStyle w:val="BodyTextIndent"/>
        <w:spacing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  <w:vertAlign w:val="superscript"/>
        </w:rPr>
      </w:pPr>
      <w:r w:rsidRPr="00464B03">
        <w:rPr>
          <w:rFonts w:ascii="Times New Roman" w:hAnsi="Times New Roman"/>
          <w:sz w:val="28"/>
          <w:szCs w:val="28"/>
        </w:rPr>
        <w:t>Таблица 1 – Густота стояния растений люцерны, шт./м</w:t>
      </w:r>
      <w:r w:rsidRPr="00464B03">
        <w:rPr>
          <w:rFonts w:ascii="Times New Roman" w:hAnsi="Times New Roman"/>
          <w:sz w:val="28"/>
          <w:szCs w:val="28"/>
          <w:vertAlign w:val="superscript"/>
        </w:rPr>
        <w:t>2</w:t>
      </w:r>
    </w:p>
    <w:tbl>
      <w:tblPr>
        <w:tblW w:w="8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1"/>
        <w:gridCol w:w="2200"/>
        <w:gridCol w:w="2005"/>
        <w:gridCol w:w="2148"/>
      </w:tblGrid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 укос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 укос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 укос</w:t>
            </w:r>
          </w:p>
        </w:tc>
      </w:tr>
      <w:tr w:rsidR="00651B54" w:rsidRPr="005C6C25" w:rsidTr="005C6C25">
        <w:trPr>
          <w:trHeight w:val="199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удобрений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</w:tr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</w:tr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</w:tr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</w:tr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</w:tr>
      <w:tr w:rsidR="00651B54" w:rsidRPr="005C6C25" w:rsidTr="005C6C25">
        <w:trPr>
          <w:trHeight w:val="314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</w:tr>
      <w:tr w:rsidR="00651B54" w:rsidRPr="005C6C25" w:rsidTr="005C6C25">
        <w:trPr>
          <w:trHeight w:val="330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</w:tr>
      <w:tr w:rsidR="00651B54" w:rsidRPr="005C6C25" w:rsidTr="005C6C25">
        <w:trPr>
          <w:trHeight w:val="296"/>
        </w:trPr>
        <w:tc>
          <w:tcPr>
            <w:tcW w:w="2341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5C6C25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2200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200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148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</w:tbl>
    <w:p w:rsidR="00651B54" w:rsidRPr="00464B03" w:rsidRDefault="00651B54" w:rsidP="00082625">
      <w:pPr>
        <w:pStyle w:val="BodyTextIndent"/>
        <w:spacing w:before="240"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  <w:shd w:val="clear" w:color="auto" w:fill="FFFFFF"/>
        </w:rPr>
      </w:pPr>
      <w:r w:rsidRPr="00464B03">
        <w:rPr>
          <w:rFonts w:ascii="Times New Roman" w:hAnsi="Times New Roman"/>
          <w:sz w:val="28"/>
          <w:szCs w:val="28"/>
        </w:rPr>
        <w:t>Во всех исследуемые варианты с применением удобрений густота стояния растений увеличивалась, но н</w:t>
      </w:r>
      <w:r w:rsidRPr="00464B03">
        <w:rPr>
          <w:rFonts w:ascii="Times New Roman" w:hAnsi="Times New Roman"/>
          <w:sz w:val="28"/>
          <w:szCs w:val="28"/>
          <w:shd w:val="clear" w:color="auto" w:fill="FFFFFF"/>
        </w:rPr>
        <w:t>аибольшее положительное влияние на данный показатель во второй год жизни люцерны оказывали</w:t>
      </w:r>
      <w:r w:rsidRPr="00464B0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двойные и тройные нормы полного удобрения. Количество растений к первому укосу на удобренных вариантах на 51-96 шт./м</w:t>
      </w:r>
      <w:r w:rsidRPr="00464B03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464B0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больше, чем в неудобренном посеве (таблица 1). </w:t>
      </w:r>
    </w:p>
    <w:p w:rsidR="00651B54" w:rsidRPr="00464B03" w:rsidRDefault="00651B54" w:rsidP="00082625">
      <w:pPr>
        <w:pStyle w:val="BodyTextIndent"/>
        <w:spacing w:after="0" w:line="360" w:lineRule="auto"/>
        <w:ind w:left="0" w:right="22"/>
        <w:jc w:val="both"/>
        <w:outlineLvl w:val="0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color w:val="000000"/>
          <w:sz w:val="28"/>
          <w:szCs w:val="28"/>
        </w:rPr>
        <w:t xml:space="preserve">Подсчет густоты стояния растений показал, что </w:t>
      </w:r>
      <w:r w:rsidRPr="00464B03">
        <w:rPr>
          <w:rFonts w:ascii="Times New Roman" w:hAnsi="Times New Roman"/>
          <w:sz w:val="28"/>
          <w:szCs w:val="28"/>
        </w:rPr>
        <w:t>во второй год жизни люцерны в следствие интенсивных укосов посевы значительно изреживаются. К третьему укосу вегетации на 1 м</w:t>
      </w:r>
      <w:r w:rsidRPr="00464B03">
        <w:rPr>
          <w:rFonts w:ascii="Times New Roman" w:hAnsi="Times New Roman"/>
          <w:sz w:val="28"/>
          <w:szCs w:val="28"/>
          <w:vertAlign w:val="superscript"/>
        </w:rPr>
        <w:t>2</w:t>
      </w:r>
      <w:r w:rsidRPr="00464B03">
        <w:rPr>
          <w:rFonts w:ascii="Times New Roman" w:hAnsi="Times New Roman"/>
          <w:sz w:val="28"/>
          <w:szCs w:val="28"/>
        </w:rPr>
        <w:t xml:space="preserve"> в варианте с использованием двойной нормы полного удобрения </w:t>
      </w:r>
      <w:r w:rsidRPr="00464B03">
        <w:rPr>
          <w:rFonts w:ascii="Times New Roman" w:hAnsi="Times New Roman"/>
          <w:color w:val="000000"/>
          <w:sz w:val="28"/>
          <w:szCs w:val="28"/>
        </w:rPr>
        <w:t>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464B03">
        <w:rPr>
          <w:rFonts w:ascii="Times New Roman" w:hAnsi="Times New Roman"/>
          <w:sz w:val="28"/>
          <w:szCs w:val="28"/>
        </w:rPr>
        <w:t>произрастало на 37 растений больше, чем на контроле.</w:t>
      </w: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Оптимизация условий минерального питания растений, как правило, способствует лучшему их росту и развитию, а в конечном итоге и большей продуктивности посевов. В наших исследованиях удобрения благоприятствовали линейному росту растений люцерны (таблица 2).</w:t>
      </w:r>
      <w:r w:rsidRPr="00464B03">
        <w:rPr>
          <w:rFonts w:ascii="Times New Roman" w:hAnsi="Times New Roman"/>
          <w:spacing w:val="-4"/>
          <w:sz w:val="28"/>
          <w:szCs w:val="28"/>
        </w:rPr>
        <w:t xml:space="preserve">К первому укосу растения люцерны варианта без внесения удобрений имели высоту 68 см, второго укоса – 46 см, третьего – 45 см. Среднесуточный прирост растений в высоту в среднем по укосам составил 1,51, 1,16 и 1,23 см соответственно. </w:t>
      </w:r>
    </w:p>
    <w:p w:rsidR="00651B54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Внесение удобрений положительно повлияло на высоту люцерны. При внесении одинарной нормы полного удобрения растения превышали контроль на 7,6-10,1 %. Действие двойных и тройных норм полного удобрения было еще более значительным, высота растений по трем укосам превышала контроль на 14,7-39,0 % и 22,1-22,8 % соответственно. </w:t>
      </w: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При раздельном внесении минеральных удобрений на посевах люцерны наибольшее влияние на среднесуточный прирост растений в высоту оказали двойные дозы азотных и калийных удобрений. </w:t>
      </w: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  <w:r w:rsidRPr="00464B03">
        <w:rPr>
          <w:rFonts w:ascii="Times New Roman" w:hAnsi="Times New Roman"/>
          <w:spacing w:val="-4"/>
          <w:sz w:val="28"/>
          <w:szCs w:val="28"/>
        </w:rPr>
        <w:t xml:space="preserve">Действие фосфорных удобрений на определяемый показатель было значительно слабее. </w:t>
      </w: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51B54" w:rsidRPr="00464B03" w:rsidRDefault="00651B54" w:rsidP="00082625">
      <w:pPr>
        <w:spacing w:before="24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Таблица 2 – Высота растений люцерны в зависимости от удобрений, см</w:t>
      </w:r>
    </w:p>
    <w:tbl>
      <w:tblPr>
        <w:tblW w:w="8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2"/>
        <w:gridCol w:w="1201"/>
        <w:gridCol w:w="1202"/>
        <w:gridCol w:w="1202"/>
        <w:gridCol w:w="961"/>
        <w:gridCol w:w="961"/>
        <w:gridCol w:w="963"/>
      </w:tblGrid>
      <w:tr w:rsidR="00651B54" w:rsidRPr="005C6C25" w:rsidTr="005C6C25">
        <w:trPr>
          <w:trHeight w:val="230"/>
        </w:trPr>
        <w:tc>
          <w:tcPr>
            <w:tcW w:w="2292" w:type="dxa"/>
            <w:vMerge w:val="restart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3605" w:type="dxa"/>
            <w:gridSpan w:val="3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Фаза вегетации (цветение)</w:t>
            </w:r>
          </w:p>
        </w:tc>
        <w:tc>
          <w:tcPr>
            <w:tcW w:w="2885" w:type="dxa"/>
            <w:gridSpan w:val="3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Среднесуточный прирост</w:t>
            </w:r>
          </w:p>
        </w:tc>
      </w:tr>
      <w:tr w:rsidR="00651B54" w:rsidRPr="005C6C25" w:rsidTr="005C6C25">
        <w:trPr>
          <w:trHeight w:val="84"/>
        </w:trPr>
        <w:tc>
          <w:tcPr>
            <w:tcW w:w="2292" w:type="dxa"/>
            <w:vMerge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 укос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 укос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 укос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 укос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 укос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 укос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удобрений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1,51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1,27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1,66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1,35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1,76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651B54" w:rsidRPr="005C6C25" w:rsidTr="005C6C25">
        <w:trPr>
          <w:trHeight w:val="73"/>
        </w:trPr>
        <w:tc>
          <w:tcPr>
            <w:tcW w:w="22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5C6C25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20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20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Использование удобрений на посевах люцерны второго года привело к более интенсивному накоплению биомассы. </w:t>
      </w:r>
    </w:p>
    <w:p w:rsidR="00651B54" w:rsidRPr="00464B03" w:rsidRDefault="00651B54" w:rsidP="00082625">
      <w:pPr>
        <w:tabs>
          <w:tab w:val="left" w:pos="1560"/>
        </w:tabs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Наибольшее влияние оказали минеральные удобрения при совместном их применении (таблица 3).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Максимальный прост сухого вещества отмечен в вариантах с двойной и тройной нормой полного удобрения. Среднесуточный прирост сухого вещества на этих вариантах превышал контроль во время первого укоса на 0,92 и 0,98 ц/га, второго – 0,66 и 0,71 ц/га, третьего – 0,46 и 0,49 ц/га соответственно.</w:t>
      </w:r>
    </w:p>
    <w:p w:rsidR="00651B54" w:rsidRDefault="00651B54" w:rsidP="00082625">
      <w:pPr>
        <w:spacing w:before="240" w:line="360" w:lineRule="auto"/>
        <w:ind w:right="22"/>
        <w:jc w:val="both"/>
        <w:rPr>
          <w:rFonts w:ascii="Times New Roman" w:hAnsi="Times New Roman"/>
          <w:sz w:val="28"/>
          <w:szCs w:val="28"/>
          <w:lang w:val="en-US"/>
        </w:rPr>
      </w:pPr>
      <w:r w:rsidRPr="00464B03">
        <w:rPr>
          <w:rFonts w:ascii="Times New Roman" w:hAnsi="Times New Roman"/>
          <w:sz w:val="28"/>
          <w:szCs w:val="28"/>
        </w:rPr>
        <w:t>Таблица 3 – Накопление сухого вещества люцерновым агроценозом при внесении минеральных удобрений</w:t>
      </w:r>
    </w:p>
    <w:p w:rsidR="00651B54" w:rsidRPr="00FC71B0" w:rsidRDefault="00651B54" w:rsidP="00082625">
      <w:pPr>
        <w:spacing w:before="240" w:line="360" w:lineRule="auto"/>
        <w:ind w:right="22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8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2"/>
        <w:gridCol w:w="1133"/>
        <w:gridCol w:w="1134"/>
        <w:gridCol w:w="1193"/>
        <w:gridCol w:w="1075"/>
        <w:gridCol w:w="1133"/>
        <w:gridCol w:w="1135"/>
      </w:tblGrid>
      <w:tr w:rsidR="00651B54" w:rsidRPr="005C6C25" w:rsidTr="005C6C25">
        <w:trPr>
          <w:trHeight w:val="334"/>
        </w:trPr>
        <w:tc>
          <w:tcPr>
            <w:tcW w:w="1992" w:type="dxa"/>
            <w:vMerge w:val="restart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3460" w:type="dxa"/>
            <w:gridSpan w:val="3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Сухая масса, ц/га</w:t>
            </w:r>
          </w:p>
        </w:tc>
        <w:tc>
          <w:tcPr>
            <w:tcW w:w="3343" w:type="dxa"/>
            <w:gridSpan w:val="3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Среднесуточный прирост, ц/га</w:t>
            </w:r>
          </w:p>
        </w:tc>
      </w:tr>
      <w:tr w:rsidR="00651B54" w:rsidRPr="005C6C25" w:rsidTr="005C6C25">
        <w:trPr>
          <w:trHeight w:val="294"/>
        </w:trPr>
        <w:tc>
          <w:tcPr>
            <w:tcW w:w="1992" w:type="dxa"/>
            <w:vMerge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 укос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 укос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 укос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 укос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 укос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tLeast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 укос</w:t>
            </w:r>
          </w:p>
        </w:tc>
      </w:tr>
      <w:tr w:rsidR="00651B54" w:rsidRPr="005C6C25" w:rsidTr="005C6C25">
        <w:trPr>
          <w:trHeight w:val="144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удобрений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36,34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23,23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15,31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</w:tr>
      <w:tr w:rsidR="00651B54" w:rsidRPr="005C6C25" w:rsidTr="005C6C25">
        <w:trPr>
          <w:trHeight w:val="7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39,24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25,08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16,53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651B54" w:rsidRPr="005C6C25" w:rsidTr="005C6C25">
        <w:trPr>
          <w:trHeight w:val="7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38,41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24,55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16,18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651B54" w:rsidRPr="005C6C25" w:rsidTr="005C6C25">
        <w:trPr>
          <w:trHeight w:val="127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37,58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24,02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15,83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</w:tr>
      <w:tr w:rsidR="00651B54" w:rsidRPr="005C6C25" w:rsidTr="005C6C25">
        <w:trPr>
          <w:trHeight w:val="7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40,47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25,87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17,05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0,90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</w:tr>
      <w:tr w:rsidR="00651B54" w:rsidRPr="005C6C25" w:rsidTr="005C6C25">
        <w:trPr>
          <w:trHeight w:val="7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41,30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26,40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17,40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</w:tr>
      <w:tr w:rsidR="00651B54" w:rsidRPr="005C6C25" w:rsidTr="005C6C25">
        <w:trPr>
          <w:trHeight w:val="12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44,19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28,25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18,62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</w:tr>
      <w:tr w:rsidR="00651B54" w:rsidRPr="005C6C25" w:rsidTr="005C6C25">
        <w:trPr>
          <w:trHeight w:val="75"/>
        </w:trPr>
        <w:tc>
          <w:tcPr>
            <w:tcW w:w="1992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5C6C25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3,31</w:t>
            </w:r>
          </w:p>
        </w:tc>
        <w:tc>
          <w:tcPr>
            <w:tcW w:w="1134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2,11</w:t>
            </w:r>
          </w:p>
        </w:tc>
        <w:tc>
          <w:tcPr>
            <w:tcW w:w="1192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1075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tLeast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51B54" w:rsidRDefault="00651B54" w:rsidP="00082625">
      <w:pPr>
        <w:widowControl w:val="0"/>
        <w:autoSpaceDE w:val="0"/>
        <w:autoSpaceDN w:val="0"/>
        <w:adjustRightInd w:val="0"/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Применение минеральных удобрений отразилось на величине урожайности зеленой массы люцерны (таблица 4).</w:t>
      </w:r>
    </w:p>
    <w:p w:rsidR="00651B54" w:rsidRPr="00FC71B0" w:rsidRDefault="00651B54" w:rsidP="00082625">
      <w:pPr>
        <w:widowControl w:val="0"/>
        <w:autoSpaceDE w:val="0"/>
        <w:autoSpaceDN w:val="0"/>
        <w:adjustRightInd w:val="0"/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CA52AD">
        <w:rPr>
          <w:rFonts w:ascii="Times New Roman" w:hAnsi="Times New Roman"/>
          <w:sz w:val="28"/>
          <w:szCs w:val="28"/>
        </w:rPr>
        <w:t xml:space="preserve"> В течение от вегетационного периода отмечалось снижение урожайности от первого укоса к последующему. Это связано с уменьшением в почве количества доступных форм элементов минерального питания растений, уменьшением запасов влаги, а также биологическими особенностями люцерны.</w:t>
      </w:r>
    </w:p>
    <w:p w:rsidR="00651B54" w:rsidRDefault="00651B54" w:rsidP="00082625">
      <w:pPr>
        <w:widowControl w:val="0"/>
        <w:autoSpaceDE w:val="0"/>
        <w:autoSpaceDN w:val="0"/>
        <w:adjustRightInd w:val="0"/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1B54" w:rsidRDefault="00651B54" w:rsidP="00082625">
      <w:pPr>
        <w:widowControl w:val="0"/>
        <w:autoSpaceDE w:val="0"/>
        <w:autoSpaceDN w:val="0"/>
        <w:adjustRightInd w:val="0"/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1B54" w:rsidRPr="00FC71B0" w:rsidRDefault="00651B54" w:rsidP="00082625">
      <w:pPr>
        <w:widowControl w:val="0"/>
        <w:autoSpaceDE w:val="0"/>
        <w:autoSpaceDN w:val="0"/>
        <w:adjustRightInd w:val="0"/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51B54" w:rsidRPr="00464B03" w:rsidRDefault="00651B54" w:rsidP="00082625">
      <w:pPr>
        <w:widowControl w:val="0"/>
        <w:autoSpaceDE w:val="0"/>
        <w:autoSpaceDN w:val="0"/>
        <w:adjustRightInd w:val="0"/>
        <w:spacing w:before="24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Таблица 4 – Урожайность зеленой массы люцерны при применении минеральных удобрений, ц/га </w:t>
      </w:r>
    </w:p>
    <w:tbl>
      <w:tblPr>
        <w:tblpPr w:leftFromText="180" w:rightFromText="180" w:vertAnchor="text" w:horzAnchor="margin" w:tblpY="81"/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988"/>
        <w:gridCol w:w="987"/>
        <w:gridCol w:w="989"/>
        <w:gridCol w:w="1695"/>
        <w:gridCol w:w="1099"/>
        <w:gridCol w:w="1182"/>
      </w:tblGrid>
      <w:tr w:rsidR="00651B54" w:rsidRPr="005C6C25" w:rsidTr="003B6743">
        <w:trPr>
          <w:trHeight w:val="629"/>
        </w:trPr>
        <w:tc>
          <w:tcPr>
            <w:tcW w:w="1857" w:type="dxa"/>
            <w:vMerge w:val="restart"/>
            <w:tcBorders>
              <w:lef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2964" w:type="dxa"/>
            <w:gridSpan w:val="3"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Урожайность, ц/га</w:t>
            </w:r>
          </w:p>
        </w:tc>
        <w:tc>
          <w:tcPr>
            <w:tcW w:w="1695" w:type="dxa"/>
            <w:vMerge w:val="restart"/>
            <w:vAlign w:val="center"/>
          </w:tcPr>
          <w:p w:rsidR="00651B54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 xml:space="preserve">Средняя урожайность </w:t>
            </w:r>
          </w:p>
          <w:p w:rsidR="00651B54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 xml:space="preserve">за 3 укоса, </w:t>
            </w:r>
          </w:p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ц/га</w:t>
            </w:r>
          </w:p>
        </w:tc>
        <w:tc>
          <w:tcPr>
            <w:tcW w:w="2281" w:type="dxa"/>
            <w:gridSpan w:val="2"/>
            <w:vMerge w:val="restart"/>
            <w:tcBorders>
              <w:right w:val="single" w:sz="4" w:space="0" w:color="FFFFFF"/>
            </w:tcBorders>
            <w:vAlign w:val="center"/>
          </w:tcPr>
          <w:p w:rsidR="00651B54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 xml:space="preserve">Прибавка </w:t>
            </w:r>
          </w:p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урожайности</w:t>
            </w:r>
          </w:p>
        </w:tc>
      </w:tr>
      <w:tr w:rsidR="00651B54" w:rsidRPr="005C6C25" w:rsidTr="00CA52AD">
        <w:trPr>
          <w:trHeight w:val="276"/>
        </w:trPr>
        <w:tc>
          <w:tcPr>
            <w:tcW w:w="1857" w:type="dxa"/>
            <w:vMerge/>
            <w:tcBorders>
              <w:lef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1-й укос</w:t>
            </w:r>
          </w:p>
        </w:tc>
        <w:tc>
          <w:tcPr>
            <w:tcW w:w="987" w:type="dxa"/>
            <w:vMerge w:val="restart"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  <w:tc>
          <w:tcPr>
            <w:tcW w:w="989" w:type="dxa"/>
            <w:vMerge w:val="restart"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3-й укос</w:t>
            </w:r>
          </w:p>
        </w:tc>
        <w:tc>
          <w:tcPr>
            <w:tcW w:w="1695" w:type="dxa"/>
            <w:vMerge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gridSpan w:val="2"/>
            <w:vMerge/>
            <w:tcBorders>
              <w:righ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B54" w:rsidRPr="005C6C25" w:rsidTr="00CA52AD">
        <w:trPr>
          <w:trHeight w:val="70"/>
        </w:trPr>
        <w:tc>
          <w:tcPr>
            <w:tcW w:w="1857" w:type="dxa"/>
            <w:vMerge/>
            <w:tcBorders>
              <w:lef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ц/га</w:t>
            </w:r>
          </w:p>
        </w:tc>
        <w:tc>
          <w:tcPr>
            <w:tcW w:w="1182" w:type="dxa"/>
            <w:tcBorders>
              <w:righ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51B54" w:rsidRPr="005C6C25" w:rsidTr="003B6743">
        <w:trPr>
          <w:trHeight w:val="131"/>
        </w:trPr>
        <w:tc>
          <w:tcPr>
            <w:tcW w:w="1857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удобрений</w:t>
            </w:r>
          </w:p>
        </w:tc>
        <w:tc>
          <w:tcPr>
            <w:tcW w:w="988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359,1</w:t>
            </w:r>
          </w:p>
        </w:tc>
        <w:tc>
          <w:tcPr>
            <w:tcW w:w="98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269,4</w:t>
            </w:r>
          </w:p>
        </w:tc>
        <w:tc>
          <w:tcPr>
            <w:tcW w:w="98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695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099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1B54" w:rsidRPr="005C6C25" w:rsidTr="003B6743">
        <w:trPr>
          <w:trHeight w:val="72"/>
        </w:trPr>
        <w:tc>
          <w:tcPr>
            <w:tcW w:w="1857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988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395,9</w:t>
            </w:r>
          </w:p>
        </w:tc>
        <w:tc>
          <w:tcPr>
            <w:tcW w:w="98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296,9</w:t>
            </w:r>
          </w:p>
        </w:tc>
        <w:tc>
          <w:tcPr>
            <w:tcW w:w="98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695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09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182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651B54" w:rsidRPr="005C6C25" w:rsidTr="003B6743">
        <w:trPr>
          <w:trHeight w:val="287"/>
        </w:trPr>
        <w:tc>
          <w:tcPr>
            <w:tcW w:w="1857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988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98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281,6</w:t>
            </w:r>
          </w:p>
        </w:tc>
        <w:tc>
          <w:tcPr>
            <w:tcW w:w="98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695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09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182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</w:tr>
      <w:tr w:rsidR="00651B54" w:rsidRPr="005C6C25" w:rsidTr="003B6743">
        <w:trPr>
          <w:trHeight w:val="287"/>
        </w:trPr>
        <w:tc>
          <w:tcPr>
            <w:tcW w:w="1857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988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387,7</w:t>
            </w:r>
          </w:p>
        </w:tc>
        <w:tc>
          <w:tcPr>
            <w:tcW w:w="98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98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695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308,5</w:t>
            </w:r>
          </w:p>
        </w:tc>
        <w:tc>
          <w:tcPr>
            <w:tcW w:w="109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82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651B54" w:rsidRPr="005C6C25" w:rsidTr="003B6743">
        <w:trPr>
          <w:trHeight w:val="287"/>
        </w:trPr>
        <w:tc>
          <w:tcPr>
            <w:tcW w:w="1857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988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408,1</w:t>
            </w:r>
          </w:p>
        </w:tc>
        <w:tc>
          <w:tcPr>
            <w:tcW w:w="987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306,1</w:t>
            </w:r>
          </w:p>
        </w:tc>
        <w:tc>
          <w:tcPr>
            <w:tcW w:w="98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695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324,8</w:t>
            </w:r>
          </w:p>
        </w:tc>
        <w:tc>
          <w:tcPr>
            <w:tcW w:w="1099" w:type="dxa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82" w:type="dxa"/>
            <w:tcBorders>
              <w:righ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</w:tr>
      <w:tr w:rsidR="00651B54" w:rsidRPr="005C6C25" w:rsidTr="003B6743">
        <w:trPr>
          <w:trHeight w:val="287"/>
        </w:trPr>
        <w:tc>
          <w:tcPr>
            <w:tcW w:w="1857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988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987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98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695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09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61,7</w:t>
            </w:r>
          </w:p>
        </w:tc>
        <w:tc>
          <w:tcPr>
            <w:tcW w:w="1182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21,6</w:t>
            </w:r>
          </w:p>
        </w:tc>
      </w:tr>
      <w:tr w:rsidR="00651B54" w:rsidRPr="005C6C25" w:rsidTr="003B6743">
        <w:trPr>
          <w:trHeight w:val="287"/>
        </w:trPr>
        <w:tc>
          <w:tcPr>
            <w:tcW w:w="1857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988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987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341,3</w:t>
            </w:r>
          </w:p>
        </w:tc>
        <w:tc>
          <w:tcPr>
            <w:tcW w:w="98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290,1</w:t>
            </w:r>
          </w:p>
        </w:tc>
        <w:tc>
          <w:tcPr>
            <w:tcW w:w="1695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362,1</w:t>
            </w:r>
          </w:p>
        </w:tc>
        <w:tc>
          <w:tcPr>
            <w:tcW w:w="109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182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</w:tr>
      <w:tr w:rsidR="00651B54" w:rsidRPr="005C6C25" w:rsidTr="003B6743">
        <w:trPr>
          <w:trHeight w:val="72"/>
        </w:trPr>
        <w:tc>
          <w:tcPr>
            <w:tcW w:w="1857" w:type="dxa"/>
            <w:tcBorders>
              <w:left w:val="single" w:sz="4" w:space="0" w:color="FFFFFF"/>
            </w:tcBorders>
            <w:vAlign w:val="center"/>
          </w:tcPr>
          <w:p w:rsidR="00651B54" w:rsidRPr="00464B03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4B03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464B03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988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987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36,9</w:t>
            </w:r>
          </w:p>
        </w:tc>
        <w:tc>
          <w:tcPr>
            <w:tcW w:w="98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695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9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51B54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</w:p>
    <w:p w:rsidR="00651B54" w:rsidRPr="00464B03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В варианте без внесения удобрений</w:t>
      </w:r>
      <w:r w:rsidRPr="00FC71B0">
        <w:rPr>
          <w:rFonts w:ascii="Times New Roman" w:hAnsi="Times New Roman"/>
          <w:sz w:val="28"/>
          <w:szCs w:val="28"/>
        </w:rPr>
        <w:t>,</w:t>
      </w:r>
      <w:r w:rsidRPr="00464B03">
        <w:rPr>
          <w:rFonts w:ascii="Times New Roman" w:hAnsi="Times New Roman"/>
          <w:sz w:val="28"/>
          <w:szCs w:val="28"/>
        </w:rPr>
        <w:t xml:space="preserve"> урожайность зеленой массы люцерны в среднем за три укоса составила 285,8 ц/га. </w:t>
      </w:r>
    </w:p>
    <w:p w:rsidR="00651B54" w:rsidRPr="00464B03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Применение минеральных удобрений отразилось на величине урожайности зеленой массы люцерны. Прибавка от двойной дозы азота </w:t>
      </w:r>
      <w:r w:rsidRPr="00464B03">
        <w:rPr>
          <w:rFonts w:ascii="Times New Roman" w:hAnsi="Times New Roman"/>
          <w:color w:val="000000"/>
          <w:sz w:val="24"/>
          <w:szCs w:val="24"/>
        </w:rPr>
        <w:t>N</w:t>
      </w:r>
      <w:r w:rsidRPr="00464B03">
        <w:rPr>
          <w:rFonts w:ascii="Times New Roman" w:hAnsi="Times New Roman"/>
          <w:color w:val="000000"/>
          <w:sz w:val="24"/>
          <w:szCs w:val="24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4B03">
        <w:rPr>
          <w:rFonts w:ascii="Times New Roman" w:hAnsi="Times New Roman"/>
          <w:color w:val="000000"/>
          <w:sz w:val="28"/>
          <w:szCs w:val="28"/>
        </w:rPr>
        <w:t>составила 29,2 ц/га. Эффективность фосфора и калия ниже по сравнению с азотом, прибавка от фосфора составила 13,0 ц/га, от калия 22,7 ц/га.</w:t>
      </w:r>
    </w:p>
    <w:p w:rsidR="00651B54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</w:rPr>
      </w:pPr>
      <w:r w:rsidRPr="00464B03">
        <w:rPr>
          <w:rFonts w:ascii="Times New Roman" w:hAnsi="Times New Roman"/>
          <w:color w:val="000000"/>
          <w:sz w:val="28"/>
          <w:szCs w:val="28"/>
        </w:rPr>
        <w:t>Наибольшая урожайность зеленой массы люцерны получена на вариантах с двойной (N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) и тройной (N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) нормой полного минерального удобрения. Достоверная прибавка урожайности составила 61,7 и 76,3 ц/га.</w:t>
      </w:r>
    </w:p>
    <w:p w:rsidR="00651B54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CA52AD">
        <w:rPr>
          <w:rFonts w:ascii="Times New Roman" w:hAnsi="Times New Roman"/>
          <w:color w:val="000000"/>
          <w:sz w:val="28"/>
          <w:szCs w:val="28"/>
        </w:rPr>
        <w:t>Сбор кормовых единиц, при внесении удобрений по вариантам исследований превышал контроль на 2,5-20,2 ц/га. Максимальный прирост кормовых единиц получен при внесении двойной и тройной нормы полного удобрения и составил 76,4 и 77,2 ц/га.</w:t>
      </w:r>
    </w:p>
    <w:p w:rsidR="00651B54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51B54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51B54" w:rsidRPr="00FC71B0" w:rsidRDefault="00651B54" w:rsidP="00082625">
      <w:pPr>
        <w:widowControl w:val="0"/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51B54" w:rsidRPr="00464B03" w:rsidRDefault="00651B54" w:rsidP="00082625">
      <w:pPr>
        <w:spacing w:before="24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Таблица 5 – Качество зеленой массы люцерны</w:t>
      </w:r>
    </w:p>
    <w:tbl>
      <w:tblPr>
        <w:tblW w:w="8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8"/>
        <w:gridCol w:w="1850"/>
        <w:gridCol w:w="1850"/>
        <w:gridCol w:w="1850"/>
      </w:tblGrid>
      <w:tr w:rsidR="00651B54" w:rsidRPr="005C6C25" w:rsidTr="005C6C25">
        <w:trPr>
          <w:trHeight w:val="252"/>
        </w:trPr>
        <w:tc>
          <w:tcPr>
            <w:tcW w:w="3258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uto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 xml:space="preserve">Кормовые </w:t>
            </w:r>
          </w:p>
          <w:p w:rsidR="00651B54" w:rsidRPr="005C6C25" w:rsidRDefault="00651B54" w:rsidP="00082625">
            <w:pPr>
              <w:pStyle w:val="BodyTextIndent"/>
              <w:spacing w:after="0" w:line="240" w:lineRule="auto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единицы, ц/га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uto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Протеин, %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pStyle w:val="BodyTextIndent"/>
              <w:spacing w:after="0" w:line="240" w:lineRule="auto"/>
              <w:ind w:left="0" w:right="2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sz w:val="24"/>
                <w:szCs w:val="24"/>
              </w:rPr>
              <w:t>Зола, %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Без удобрений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8,2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8,1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58,7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</w:tr>
      <w:tr w:rsidR="00651B54" w:rsidRPr="005C6C25" w:rsidTr="005C6C25">
        <w:trPr>
          <w:trHeight w:val="288"/>
        </w:trPr>
        <w:tc>
          <w:tcPr>
            <w:tcW w:w="3258" w:type="dxa"/>
            <w:tcBorders>
              <w:lef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Pr="005C6C2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850" w:type="dxa"/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1850" w:type="dxa"/>
            <w:tcBorders>
              <w:right w:val="single" w:sz="4" w:space="0" w:color="FFFFFF"/>
            </w:tcBorders>
            <w:vAlign w:val="center"/>
          </w:tcPr>
          <w:p w:rsidR="00651B54" w:rsidRPr="005C6C25" w:rsidRDefault="00651B54" w:rsidP="00082625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6C25"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</w:tr>
    </w:tbl>
    <w:p w:rsidR="00651B54" w:rsidRPr="00464B03" w:rsidRDefault="00651B54" w:rsidP="00082625">
      <w:pPr>
        <w:spacing w:before="240" w:after="0" w:line="36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>Содержание протеина в зеленой массе люцерны на контроле – 15,7 %. Внесение единичной нормы полного удобрения повысило данный показатель до 17,8 %. Двойная и тройная нормы полного удобрения увеличивали сбор протеина на 6,9 и 7,2 % соответственно.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</w:rPr>
      </w:pPr>
      <w:r w:rsidRPr="00464B03">
        <w:rPr>
          <w:rFonts w:ascii="Times New Roman" w:hAnsi="Times New Roman"/>
          <w:sz w:val="28"/>
          <w:szCs w:val="28"/>
        </w:rPr>
        <w:t xml:space="preserve">При внесении </w:t>
      </w:r>
      <w:r w:rsidRPr="00464B03">
        <w:rPr>
          <w:rFonts w:ascii="Times New Roman" w:hAnsi="Times New Roman"/>
          <w:color w:val="000000"/>
          <w:sz w:val="28"/>
          <w:szCs w:val="28"/>
        </w:rPr>
        <w:t>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20 </w:t>
      </w:r>
      <w:r w:rsidRPr="00464B03">
        <w:rPr>
          <w:rFonts w:ascii="Times New Roman" w:hAnsi="Times New Roman"/>
          <w:color w:val="000000"/>
          <w:sz w:val="28"/>
          <w:szCs w:val="28"/>
        </w:rPr>
        <w:t>и 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 xml:space="preserve"> содержание золы в растениях колебалось от 7,7 до 7,9 %, в то время как использование фосфорных и калийных удобрений в двойных дозах увеличивало количество золы в растениях до 8,3и 8,4 %.</w:t>
      </w:r>
    </w:p>
    <w:p w:rsidR="00651B54" w:rsidRPr="00464B03" w:rsidRDefault="00651B54" w:rsidP="00082625">
      <w:pPr>
        <w:spacing w:after="0" w:line="360" w:lineRule="auto"/>
        <w:ind w:right="22"/>
        <w:jc w:val="both"/>
        <w:rPr>
          <w:rFonts w:ascii="Times New Roman" w:hAnsi="Times New Roman"/>
          <w:color w:val="000000"/>
          <w:sz w:val="28"/>
          <w:szCs w:val="28"/>
        </w:rPr>
      </w:pPr>
      <w:r w:rsidRPr="00464B03">
        <w:rPr>
          <w:rFonts w:ascii="Times New Roman" w:hAnsi="Times New Roman"/>
          <w:color w:val="000000"/>
          <w:sz w:val="28"/>
          <w:szCs w:val="28"/>
        </w:rPr>
        <w:t>Таким образом, на черноземе выщелоченном Западного Предкавказья внесение 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20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20 </w:t>
      </w:r>
      <w:r w:rsidRPr="00464B03">
        <w:rPr>
          <w:rFonts w:ascii="Times New Roman" w:hAnsi="Times New Roman"/>
          <w:color w:val="000000"/>
          <w:sz w:val="28"/>
          <w:szCs w:val="28"/>
        </w:rPr>
        <w:t>обеспечивает высокую урожайность люцерны второго года с хорошим качеством. Дальнейшее увеличение доз удобрений до N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P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>K</w:t>
      </w:r>
      <w:r w:rsidRPr="00464B03">
        <w:rPr>
          <w:rFonts w:ascii="Times New Roman" w:hAnsi="Times New Roman"/>
          <w:color w:val="000000"/>
          <w:sz w:val="28"/>
          <w:szCs w:val="28"/>
          <w:vertAlign w:val="subscript"/>
        </w:rPr>
        <w:t>30</w:t>
      </w:r>
      <w:r w:rsidRPr="00464B03">
        <w:rPr>
          <w:rFonts w:ascii="Times New Roman" w:hAnsi="Times New Roman"/>
          <w:color w:val="000000"/>
          <w:sz w:val="28"/>
          <w:szCs w:val="28"/>
        </w:rPr>
        <w:t xml:space="preserve"> не приводит к улучшению заявленных показателей, а значит приводит к снижению окупаемости урожаем.</w:t>
      </w:r>
    </w:p>
    <w:p w:rsidR="00651B54" w:rsidRPr="004170AD" w:rsidRDefault="00651B54" w:rsidP="00082625">
      <w:pPr>
        <w:spacing w:before="240" w:line="240" w:lineRule="auto"/>
        <w:ind w:right="2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170AD"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 xml:space="preserve">Бондарева Т.Н. Урожайность зерна риса и зеленой массы люцерны при внесении микроудобрений / Т.Н. Бондарева, Х.Д. Хурум, А.Х. Шеуджен, Л.М. Онищенко / Доклады Россельхозакадемии. – 2010. - №2. – 17-19 с. 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>Василько В.П. Продуктивность зеленой массы люцерны разных лет жизни на черноземе выщелоченном в условиях Кубани / В.П. Василько, И.С. Сысенко, С.И. Новоселецкий // Научный журнал КубГАУ, №93(09), 2013. – 21 с.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>Дроздова В.В. Высота растений и накопление биомассы люцерновым агроценозом при внесении удобрений / В.В. Дроз</w:t>
      </w:r>
      <w:r>
        <w:rPr>
          <w:rFonts w:ascii="Times New Roman" w:hAnsi="Times New Roman"/>
          <w:sz w:val="24"/>
          <w:szCs w:val="24"/>
          <w:lang w:eastAsia="en-US"/>
        </w:rPr>
        <w:t xml:space="preserve">дова, А.Х. Шеуджен, А.Ю. Хуако 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/ Научный журнал КубГАУ, №99(05), 2014. – 14 с. 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>Хурум Х.Д. Система удобрения люцерны / Х.Д. Хуру</w:t>
      </w:r>
      <w:r>
        <w:rPr>
          <w:rFonts w:ascii="Times New Roman" w:hAnsi="Times New Roman"/>
          <w:sz w:val="24"/>
          <w:szCs w:val="24"/>
          <w:lang w:eastAsia="en-US"/>
        </w:rPr>
        <w:t xml:space="preserve">м, А.Х. Шеуджен, Л.М. Онищенко </w:t>
      </w:r>
      <w:r w:rsidRPr="004170AD">
        <w:rPr>
          <w:rFonts w:ascii="Times New Roman" w:hAnsi="Times New Roman"/>
          <w:sz w:val="24"/>
          <w:szCs w:val="24"/>
          <w:lang w:eastAsia="en-US"/>
        </w:rPr>
        <w:t>/ Вестник Казанского государственного университета. 2009. - №1(11). – 115-117 с.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>Шеуджен А.Х. Люцерна / А.Х. Шеуджен, Л.М. Онищенко, Х.Д. Хурум / Майкоп: ОАО «Полиграфиздат «Адыгея», 2007. – 226 с.</w:t>
      </w:r>
    </w:p>
    <w:p w:rsidR="00651B54" w:rsidRPr="00DC65C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pacing w:val="-12"/>
          <w:sz w:val="24"/>
          <w:szCs w:val="24"/>
          <w:lang w:eastAsia="en-US"/>
        </w:rPr>
      </w:pPr>
      <w:r w:rsidRPr="00DC65CD">
        <w:rPr>
          <w:rFonts w:ascii="Times New Roman" w:hAnsi="Times New Roman"/>
          <w:spacing w:val="-12"/>
          <w:sz w:val="24"/>
          <w:szCs w:val="24"/>
          <w:lang w:eastAsia="en-US"/>
        </w:rPr>
        <w:t>Шеуджен А.Х. Минеральное питание и удобрение люцерны: монография / А.Х. Шеуджен [и др.]; под редакцией А.Х. Шеуджена. – Краснодар: КубГАУ, 2015. – 189 с.</w:t>
      </w:r>
    </w:p>
    <w:p w:rsidR="00651B54" w:rsidRPr="00DC65C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DC65CD">
        <w:rPr>
          <w:rFonts w:ascii="Times New Roman" w:hAnsi="Times New Roman"/>
          <w:spacing w:val="-12"/>
          <w:sz w:val="24"/>
          <w:szCs w:val="24"/>
          <w:lang w:eastAsia="en-US"/>
        </w:rPr>
        <w:t>Шеуджен А.Х. Продуктивность люцерны при внесении микроудобрений / А.Х. Шеуджен, Л.М. Онищенко, Х.Д. Хурум / Тр. КубГАУ, вып. 3(7). – 2007. – 112-115 с.</w:t>
      </w:r>
      <w:r w:rsidRPr="00DC65CD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</w:p>
    <w:p w:rsidR="00651B54" w:rsidRPr="004170A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0AD">
        <w:rPr>
          <w:rFonts w:ascii="Times New Roman" w:hAnsi="Times New Roman"/>
          <w:sz w:val="24"/>
          <w:szCs w:val="24"/>
          <w:lang w:eastAsia="en-US"/>
        </w:rPr>
        <w:t>Шеуджен А.Х. Плодородие почвы и продуктивность люцерны при внесении микроудобрений / А.Х. Шеудж</w:t>
      </w:r>
      <w:r>
        <w:rPr>
          <w:rFonts w:ascii="Times New Roman" w:hAnsi="Times New Roman"/>
          <w:sz w:val="24"/>
          <w:szCs w:val="24"/>
          <w:lang w:eastAsia="en-US"/>
        </w:rPr>
        <w:t>ен, Л.М. Онищенко, Х.Д. Хурум /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Плодородие. – 2006. - №1(28). 18-19 с.</w:t>
      </w:r>
    </w:p>
    <w:p w:rsidR="00651B54" w:rsidRPr="00DC65CD" w:rsidRDefault="00651B54" w:rsidP="00082625">
      <w:pPr>
        <w:numPr>
          <w:ilvl w:val="0"/>
          <w:numId w:val="34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pacing w:val="10"/>
          <w:sz w:val="24"/>
          <w:szCs w:val="24"/>
          <w:lang w:eastAsia="en-US"/>
        </w:rPr>
      </w:pPr>
      <w:r w:rsidRPr="00DC65CD">
        <w:rPr>
          <w:rFonts w:ascii="Times New Roman" w:hAnsi="Times New Roman"/>
          <w:spacing w:val="10"/>
          <w:sz w:val="24"/>
          <w:szCs w:val="24"/>
          <w:lang w:eastAsia="en-US"/>
        </w:rPr>
        <w:t>Шеуджен А.Х. Удобрение люцерны / А.Х. Шеудж</w:t>
      </w:r>
      <w:r>
        <w:rPr>
          <w:rFonts w:ascii="Times New Roman" w:hAnsi="Times New Roman"/>
          <w:spacing w:val="10"/>
          <w:sz w:val="24"/>
          <w:szCs w:val="24"/>
          <w:lang w:eastAsia="en-US"/>
        </w:rPr>
        <w:t>ен, Л.М. Онищенко, Х.Д. Хурум /</w:t>
      </w:r>
      <w:r w:rsidRPr="00DC65CD">
        <w:rPr>
          <w:rFonts w:ascii="Times New Roman" w:hAnsi="Times New Roman"/>
          <w:spacing w:val="10"/>
          <w:sz w:val="24"/>
          <w:szCs w:val="24"/>
          <w:lang w:eastAsia="en-US"/>
        </w:rPr>
        <w:t xml:space="preserve"> Майкоп: ГУРИПП «Адыгея». – 2005. – 43 с. </w:t>
      </w:r>
    </w:p>
    <w:p w:rsidR="00651B54" w:rsidRPr="003A28E7" w:rsidRDefault="00651B54" w:rsidP="00082625">
      <w:pPr>
        <w:spacing w:after="160" w:line="240" w:lineRule="auto"/>
        <w:ind w:right="22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51B54" w:rsidRDefault="00651B54" w:rsidP="00082625">
      <w:pPr>
        <w:spacing w:after="160" w:line="240" w:lineRule="auto"/>
        <w:ind w:right="22"/>
        <w:contextualSpacing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A28E7">
        <w:rPr>
          <w:rFonts w:ascii="Times New Roman" w:hAnsi="Times New Roman"/>
          <w:b/>
          <w:sz w:val="24"/>
          <w:szCs w:val="24"/>
          <w:lang w:eastAsia="en-US"/>
        </w:rPr>
        <w:t>References</w:t>
      </w:r>
    </w:p>
    <w:p w:rsidR="00651B54" w:rsidRPr="00AC4F2E" w:rsidRDefault="00651B54" w:rsidP="00082625">
      <w:pPr>
        <w:pStyle w:val="ListParagraph"/>
        <w:numPr>
          <w:ilvl w:val="0"/>
          <w:numId w:val="35"/>
        </w:numPr>
        <w:spacing w:after="0" w:line="240" w:lineRule="auto"/>
        <w:ind w:left="0" w:right="22" w:firstLine="0"/>
        <w:jc w:val="both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Bondareva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T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>.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N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>.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Urogaynost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zerna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risa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I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zeloy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massi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lucerni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pri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vnesenii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mikroudobreniy</w:t>
      </w:r>
      <w:r w:rsidRPr="009C2AFA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/ T.N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Bondareva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H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.D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Hurum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.H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L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.M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Onischenko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 /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Dokladi</w:t>
      </w:r>
      <w:r w:rsidRPr="00D363F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Rosselhozakademii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. – 2010. - №2. – 17-19 s</w:t>
      </w:r>
      <w:r w:rsidRPr="00AC4F2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</w:p>
    <w:p w:rsidR="00651B54" w:rsidRPr="004170AD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Vasilko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V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val="en-US" w:eastAsia="en-US"/>
        </w:rPr>
        <w:t>P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Produktivnost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zelenoy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massi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lucerni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paznih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let</w:t>
      </w:r>
      <w:r w:rsidRPr="00D363F7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gizni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na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chernozeme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vischelochennom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v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usloviyah</w:t>
      </w:r>
      <w:r w:rsidRPr="008544B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Kubani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/ </w:t>
      </w:r>
      <w:r>
        <w:rPr>
          <w:rFonts w:ascii="Times New Roman" w:hAnsi="Times New Roman"/>
          <w:sz w:val="24"/>
          <w:szCs w:val="24"/>
          <w:lang w:val="en-US" w:eastAsia="en-US"/>
        </w:rPr>
        <w:t>V</w:t>
      </w:r>
      <w:r>
        <w:rPr>
          <w:rFonts w:ascii="Times New Roman" w:hAnsi="Times New Roman"/>
          <w:sz w:val="24"/>
          <w:szCs w:val="24"/>
          <w:lang w:eastAsia="en-US"/>
        </w:rPr>
        <w:t>.P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Vasilko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/>
          <w:sz w:val="24"/>
          <w:szCs w:val="24"/>
          <w:lang w:eastAsia="en-US"/>
        </w:rPr>
        <w:t>.S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Sisenko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en-US"/>
        </w:rPr>
        <w:t>S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val="en-US" w:eastAsia="en-US"/>
        </w:rPr>
        <w:t>I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Novoseleckiy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/ </w:t>
      </w:r>
      <w:r>
        <w:rPr>
          <w:rFonts w:ascii="Times New Roman" w:hAnsi="Times New Roman"/>
          <w:sz w:val="24"/>
          <w:szCs w:val="24"/>
          <w:lang w:val="en-US" w:eastAsia="en-US"/>
        </w:rPr>
        <w:t>Nauchniy</w:t>
      </w:r>
      <w:r w:rsidRPr="0040457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gurnal</w:t>
      </w:r>
      <w:r w:rsidRPr="0040457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KubGAU</w:t>
      </w:r>
      <w:r>
        <w:rPr>
          <w:rFonts w:ascii="Times New Roman" w:hAnsi="Times New Roman"/>
          <w:sz w:val="24"/>
          <w:szCs w:val="24"/>
          <w:lang w:eastAsia="en-US"/>
        </w:rPr>
        <w:t>, №93(09), 2013. – 21 s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</w:p>
    <w:p w:rsidR="00651B54" w:rsidRPr="004170AD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 w:eastAsia="en-US"/>
        </w:rPr>
        <w:t>Drozdova</w:t>
      </w:r>
      <w:r>
        <w:rPr>
          <w:rFonts w:ascii="Times New Roman" w:hAnsi="Times New Roman"/>
          <w:sz w:val="24"/>
          <w:szCs w:val="24"/>
          <w:lang w:eastAsia="en-US"/>
        </w:rPr>
        <w:t xml:space="preserve"> V.V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Visota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rasteniy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I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nakoplenie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biomassi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lucernovim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agrocenozom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pri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vnesenii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udobreniy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/ </w:t>
      </w:r>
      <w:r>
        <w:rPr>
          <w:rFonts w:ascii="Times New Roman" w:hAnsi="Times New Roman"/>
          <w:sz w:val="24"/>
          <w:szCs w:val="24"/>
          <w:lang w:val="en-US" w:eastAsia="en-US"/>
        </w:rPr>
        <w:t>V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val="en-US" w:eastAsia="en-US"/>
        </w:rPr>
        <w:t>V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Drozdova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DF7B45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DF7B45">
        <w:rPr>
          <w:rFonts w:ascii="Times New Roman" w:hAnsi="Times New Roman"/>
          <w:sz w:val="24"/>
          <w:szCs w:val="24"/>
          <w:lang w:eastAsia="en-US"/>
        </w:rPr>
        <w:t xml:space="preserve">.H. </w:t>
      </w:r>
      <w:r w:rsidRPr="00DF7B45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z w:val="24"/>
          <w:szCs w:val="24"/>
          <w:lang w:val="en-US" w:eastAsia="en-US"/>
        </w:rPr>
        <w:t>U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Huako</w:t>
      </w:r>
      <w:r>
        <w:rPr>
          <w:rFonts w:ascii="Times New Roman" w:hAnsi="Times New Roman"/>
          <w:sz w:val="24"/>
          <w:szCs w:val="24"/>
          <w:lang w:eastAsia="en-US"/>
        </w:rPr>
        <w:t xml:space="preserve"> /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Nauchniy</w:t>
      </w:r>
      <w:r w:rsidRPr="0040457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gurnal</w:t>
      </w:r>
      <w:r w:rsidRPr="0040457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KubGAU</w:t>
      </w:r>
      <w:r>
        <w:rPr>
          <w:rFonts w:ascii="Times New Roman" w:hAnsi="Times New Roman"/>
          <w:sz w:val="24"/>
          <w:szCs w:val="24"/>
          <w:lang w:eastAsia="en-US"/>
        </w:rPr>
        <w:t>, №99(05), 2014. – 14 s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651B54" w:rsidRPr="002D083E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Hurum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H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>.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D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Sistema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udobreniya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lucerni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/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H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>.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D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. Hurum,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.H.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,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L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.M.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Onischenko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//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Vestnik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Kazanskogo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gosudarstvennogo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universiteta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>. 2009. - №1(11). – 115-117 s.</w:t>
      </w:r>
    </w:p>
    <w:p w:rsidR="00651B54" w:rsidRPr="004170AD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 xml:space="preserve">.H. </w:t>
      </w:r>
      <w:r>
        <w:rPr>
          <w:rFonts w:ascii="Times New Roman" w:hAnsi="Times New Roman"/>
          <w:sz w:val="24"/>
          <w:szCs w:val="24"/>
          <w:lang w:val="en-US" w:eastAsia="en-US"/>
        </w:rPr>
        <w:t>Lucerna</w:t>
      </w:r>
      <w:r>
        <w:rPr>
          <w:rFonts w:ascii="Times New Roman" w:hAnsi="Times New Roman"/>
          <w:sz w:val="24"/>
          <w:szCs w:val="24"/>
          <w:lang w:eastAsia="en-US"/>
        </w:rPr>
        <w:t xml:space="preserve"> /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.H.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L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.M.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Onischenko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.D.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Hurum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/ </w:t>
      </w:r>
      <w:r>
        <w:rPr>
          <w:rFonts w:ascii="Times New Roman" w:hAnsi="Times New Roman"/>
          <w:sz w:val="24"/>
          <w:szCs w:val="24"/>
          <w:lang w:val="en-US" w:eastAsia="en-US"/>
        </w:rPr>
        <w:t>Maykop</w:t>
      </w:r>
      <w:r w:rsidRPr="004170AD">
        <w:rPr>
          <w:rFonts w:ascii="Times New Roman" w:hAnsi="Times New Roman"/>
          <w:sz w:val="24"/>
          <w:szCs w:val="24"/>
          <w:lang w:eastAsia="en-US"/>
        </w:rPr>
        <w:t>: ОАО «</w:t>
      </w:r>
      <w:r>
        <w:rPr>
          <w:rFonts w:ascii="Times New Roman" w:hAnsi="Times New Roman"/>
          <w:sz w:val="24"/>
          <w:szCs w:val="24"/>
          <w:lang w:val="en-US" w:eastAsia="en-US"/>
        </w:rPr>
        <w:t>Poligrafizdat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«</w:t>
      </w:r>
      <w:r>
        <w:rPr>
          <w:rFonts w:ascii="Times New Roman" w:hAnsi="Times New Roman"/>
          <w:sz w:val="24"/>
          <w:szCs w:val="24"/>
          <w:lang w:val="en-US" w:eastAsia="en-US"/>
        </w:rPr>
        <w:t>Adigeya</w:t>
      </w:r>
      <w:r>
        <w:rPr>
          <w:rFonts w:ascii="Times New Roman" w:hAnsi="Times New Roman"/>
          <w:sz w:val="24"/>
          <w:szCs w:val="24"/>
          <w:lang w:eastAsia="en-US"/>
        </w:rPr>
        <w:t>», 2007. – 226 s</w:t>
      </w:r>
      <w:r w:rsidRPr="004170AD">
        <w:rPr>
          <w:rFonts w:ascii="Times New Roman" w:hAnsi="Times New Roman"/>
          <w:sz w:val="24"/>
          <w:szCs w:val="24"/>
          <w:lang w:eastAsia="en-US"/>
        </w:rPr>
        <w:t>.</w:t>
      </w:r>
    </w:p>
    <w:p w:rsidR="00651B54" w:rsidRPr="004C7857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.H.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Mineralnoe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pitanie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I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udobrenie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lucerni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: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monografia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 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/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.H.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[</w:t>
      </w:r>
      <w:r>
        <w:rPr>
          <w:rFonts w:ascii="Times New Roman" w:hAnsi="Times New Roman"/>
          <w:sz w:val="24"/>
          <w:szCs w:val="24"/>
          <w:lang w:val="en-US" w:eastAsia="en-US"/>
        </w:rPr>
        <w:t>i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dr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.]; </w:t>
      </w:r>
      <w:r>
        <w:rPr>
          <w:rFonts w:ascii="Times New Roman" w:hAnsi="Times New Roman"/>
          <w:sz w:val="24"/>
          <w:szCs w:val="24"/>
          <w:lang w:val="en-US" w:eastAsia="en-US"/>
        </w:rPr>
        <w:t>pod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redakciey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.H.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Sheudzhen</w:t>
      </w:r>
      <w:r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 – </w:t>
      </w:r>
      <w:r>
        <w:rPr>
          <w:rFonts w:ascii="Times New Roman" w:hAnsi="Times New Roman"/>
          <w:sz w:val="24"/>
          <w:szCs w:val="24"/>
          <w:lang w:val="en-US" w:eastAsia="en-US"/>
        </w:rPr>
        <w:t>Krasnodar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: </w:t>
      </w:r>
      <w:r>
        <w:rPr>
          <w:rFonts w:ascii="Times New Roman" w:hAnsi="Times New Roman"/>
          <w:sz w:val="24"/>
          <w:szCs w:val="24"/>
          <w:lang w:val="en-US" w:eastAsia="en-US"/>
        </w:rPr>
        <w:t>KubGAU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, 2015. – 189 </w:t>
      </w:r>
      <w:r>
        <w:rPr>
          <w:rFonts w:ascii="Times New Roman" w:hAnsi="Times New Roman"/>
          <w:sz w:val="24"/>
          <w:szCs w:val="24"/>
          <w:lang w:val="en-US" w:eastAsia="en-US"/>
        </w:rPr>
        <w:t>s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651B54" w:rsidRPr="004170AD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.H.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Produktivnost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lucerni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pri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bnesenii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mikroudobreniy</w:t>
      </w:r>
      <w:r w:rsidRPr="004C7857">
        <w:rPr>
          <w:rFonts w:ascii="Times New Roman" w:hAnsi="Times New Roman"/>
          <w:spacing w:val="-6"/>
          <w:sz w:val="24"/>
          <w:szCs w:val="24"/>
          <w:lang w:val="en-US" w:eastAsia="en-US"/>
        </w:rPr>
        <w:t xml:space="preserve"> 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/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.H.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L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.M.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Onischenko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.D.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Hurum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 / </w:t>
      </w:r>
      <w:r>
        <w:rPr>
          <w:rFonts w:ascii="Times New Roman" w:hAnsi="Times New Roman"/>
          <w:sz w:val="24"/>
          <w:szCs w:val="24"/>
          <w:lang w:val="en-US" w:eastAsia="en-US"/>
        </w:rPr>
        <w:t>Tr</w:t>
      </w:r>
      <w:r w:rsidRPr="004C7857">
        <w:rPr>
          <w:rFonts w:ascii="Times New Roman" w:hAnsi="Times New Roman"/>
          <w:sz w:val="24"/>
          <w:szCs w:val="24"/>
          <w:lang w:val="en-US" w:eastAsia="en-US"/>
        </w:rPr>
        <w:t xml:space="preserve">. </w:t>
      </w:r>
      <w:r>
        <w:rPr>
          <w:rFonts w:ascii="Times New Roman" w:hAnsi="Times New Roman"/>
          <w:sz w:val="24"/>
          <w:szCs w:val="24"/>
          <w:lang w:val="en-US" w:eastAsia="en-US"/>
        </w:rPr>
        <w:t>KubGAU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en-US"/>
        </w:rPr>
        <w:t>vip</w:t>
      </w:r>
      <w:r>
        <w:rPr>
          <w:rFonts w:ascii="Times New Roman" w:hAnsi="Times New Roman"/>
          <w:sz w:val="24"/>
          <w:szCs w:val="24"/>
          <w:lang w:eastAsia="en-US"/>
        </w:rPr>
        <w:t>. 3(7). – 2007. – 112-115 s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651B54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>.H.</w:t>
      </w:r>
      <w:r w:rsidRPr="007804B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Plodorodie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pochvi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I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produktivnost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lucerni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pri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vnesenii</w:t>
      </w:r>
      <w:r w:rsidRPr="0066186E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val="en-US" w:eastAsia="en-US"/>
        </w:rPr>
        <w:t>mikroudobreniy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/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5C2929">
        <w:rPr>
          <w:rFonts w:ascii="Times New Roman" w:hAnsi="Times New Roman"/>
          <w:sz w:val="24"/>
          <w:szCs w:val="24"/>
          <w:lang w:eastAsia="en-US"/>
        </w:rPr>
        <w:t xml:space="preserve">.H.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L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.M.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Onischenko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.D.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Hurum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170AD">
        <w:rPr>
          <w:rFonts w:ascii="Times New Roman" w:hAnsi="Times New Roman"/>
          <w:sz w:val="24"/>
          <w:szCs w:val="24"/>
          <w:lang w:eastAsia="en-US"/>
        </w:rPr>
        <w:t>/ Плодородие. – 2006. - №1(28). 18-19 с.</w:t>
      </w:r>
    </w:p>
    <w:p w:rsidR="00651B54" w:rsidRPr="00013075" w:rsidRDefault="00651B54" w:rsidP="00082625">
      <w:pPr>
        <w:numPr>
          <w:ilvl w:val="0"/>
          <w:numId w:val="35"/>
        </w:numPr>
        <w:spacing w:after="160" w:line="240" w:lineRule="auto"/>
        <w:ind w:left="0" w:right="22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2D083E">
        <w:rPr>
          <w:rFonts w:ascii="Times New Roman" w:hAnsi="Times New Roman"/>
          <w:spacing w:val="-6"/>
          <w:sz w:val="24"/>
          <w:szCs w:val="24"/>
          <w:lang w:val="en-US" w:eastAsia="en-US"/>
        </w:rPr>
        <w:t>A</w:t>
      </w:r>
      <w:r w:rsidRPr="002D083E">
        <w:rPr>
          <w:rFonts w:ascii="Times New Roman" w:hAnsi="Times New Roman"/>
          <w:spacing w:val="-6"/>
          <w:sz w:val="24"/>
          <w:szCs w:val="24"/>
          <w:lang w:eastAsia="en-US"/>
        </w:rPr>
        <w:t>.H.</w:t>
      </w:r>
      <w:r w:rsidRPr="007804B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Udobrenie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lucerni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/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A</w:t>
      </w:r>
      <w:r w:rsidRPr="005C2929">
        <w:rPr>
          <w:rFonts w:ascii="Times New Roman" w:hAnsi="Times New Roman"/>
          <w:sz w:val="24"/>
          <w:szCs w:val="24"/>
          <w:lang w:eastAsia="en-US"/>
        </w:rPr>
        <w:t xml:space="preserve">.H. </w:t>
      </w:r>
      <w:r w:rsidRPr="005C2929">
        <w:rPr>
          <w:rFonts w:ascii="Times New Roman" w:hAnsi="Times New Roman"/>
          <w:sz w:val="24"/>
          <w:szCs w:val="24"/>
          <w:lang w:val="en-US" w:eastAsia="en-US"/>
        </w:rPr>
        <w:t>Sheudzhen</w:t>
      </w:r>
      <w:r w:rsidRPr="004170AD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L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.M.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Onischenko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</w:t>
      </w:r>
      <w:r w:rsidRPr="00BB78E0">
        <w:rPr>
          <w:rFonts w:ascii="Times New Roman" w:hAnsi="Times New Roman"/>
          <w:sz w:val="24"/>
          <w:szCs w:val="24"/>
          <w:lang w:eastAsia="en-US"/>
        </w:rPr>
        <w:t xml:space="preserve">.D. </w:t>
      </w:r>
      <w:r w:rsidRPr="00BB78E0">
        <w:rPr>
          <w:rFonts w:ascii="Times New Roman" w:hAnsi="Times New Roman"/>
          <w:sz w:val="24"/>
          <w:szCs w:val="24"/>
          <w:lang w:val="en-US" w:eastAsia="en-US"/>
        </w:rPr>
        <w:t>Hurum</w:t>
      </w:r>
      <w:r>
        <w:rPr>
          <w:rFonts w:ascii="Times New Roman" w:hAnsi="Times New Roman"/>
          <w:sz w:val="24"/>
          <w:szCs w:val="24"/>
          <w:lang w:eastAsia="en-US"/>
        </w:rPr>
        <w:t xml:space="preserve"> /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en-US"/>
        </w:rPr>
        <w:t>Maykop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: </w:t>
      </w:r>
      <w:r>
        <w:rPr>
          <w:rFonts w:ascii="Times New Roman" w:hAnsi="Times New Roman"/>
          <w:sz w:val="24"/>
          <w:szCs w:val="24"/>
          <w:lang w:val="en-US" w:eastAsia="en-US"/>
        </w:rPr>
        <w:t>GURIPP</w:t>
      </w:r>
      <w:r w:rsidRPr="00013075">
        <w:rPr>
          <w:rFonts w:ascii="Times New Roman" w:hAnsi="Times New Roman"/>
          <w:sz w:val="24"/>
          <w:szCs w:val="24"/>
          <w:lang w:eastAsia="en-US"/>
        </w:rPr>
        <w:t xml:space="preserve"> «</w:t>
      </w:r>
      <w:r>
        <w:rPr>
          <w:rFonts w:ascii="Times New Roman" w:hAnsi="Times New Roman"/>
          <w:sz w:val="24"/>
          <w:szCs w:val="24"/>
          <w:lang w:val="en-US" w:eastAsia="en-US"/>
        </w:rPr>
        <w:t>Adigeya</w:t>
      </w:r>
      <w:r>
        <w:rPr>
          <w:rFonts w:ascii="Times New Roman" w:hAnsi="Times New Roman"/>
          <w:sz w:val="24"/>
          <w:szCs w:val="24"/>
          <w:lang w:eastAsia="en-US"/>
        </w:rPr>
        <w:t>». – 2005. – 43 s</w:t>
      </w:r>
      <w:r w:rsidRPr="00013075">
        <w:rPr>
          <w:rFonts w:ascii="Times New Roman" w:hAnsi="Times New Roman"/>
          <w:sz w:val="24"/>
          <w:szCs w:val="24"/>
          <w:lang w:eastAsia="en-US"/>
        </w:rPr>
        <w:t>.</w:t>
      </w:r>
    </w:p>
    <w:sectPr w:rsidR="00651B54" w:rsidRPr="00013075" w:rsidSect="000826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8" w:right="1466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B54" w:rsidRDefault="00651B54">
      <w:pPr>
        <w:spacing w:after="0" w:line="240" w:lineRule="auto"/>
      </w:pPr>
      <w:r>
        <w:separator/>
      </w:r>
    </w:p>
  </w:endnote>
  <w:endnote w:type="continuationSeparator" w:id="0">
    <w:p w:rsidR="00651B54" w:rsidRDefault="00651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Default="00651B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Pr="00082625" w:rsidRDefault="00651B54" w:rsidP="00082625">
    <w:pPr>
      <w:pStyle w:val="Footer"/>
      <w:rPr>
        <w:lang w:val="en-US"/>
      </w:rPr>
    </w:pPr>
    <w:r w:rsidRPr="00660126">
      <w:rPr>
        <w:rFonts w:ascii="Times New Roman" w:hAnsi="Times New Roman"/>
        <w:sz w:val="24"/>
        <w:szCs w:val="24"/>
      </w:rPr>
      <w:t>http://ej.kubagro.ru/201</w:t>
    </w:r>
    <w:r w:rsidRPr="00660126">
      <w:rPr>
        <w:rFonts w:ascii="Times New Roman" w:hAnsi="Times New Roman"/>
        <w:sz w:val="24"/>
        <w:szCs w:val="24"/>
        <w:lang w:val="en-US"/>
      </w:rPr>
      <w:t>6</w:t>
    </w:r>
    <w:r w:rsidRPr="00660126">
      <w:rPr>
        <w:rFonts w:ascii="Times New Roman" w:hAnsi="Times New Roman"/>
        <w:sz w:val="24"/>
        <w:szCs w:val="24"/>
      </w:rPr>
      <w:t>/</w:t>
    </w:r>
    <w:r w:rsidRPr="00660126">
      <w:rPr>
        <w:rFonts w:ascii="Times New Roman" w:hAnsi="Times New Roman"/>
        <w:sz w:val="24"/>
        <w:szCs w:val="24"/>
        <w:lang w:val="en-US"/>
      </w:rPr>
      <w:t>04</w:t>
    </w:r>
    <w:r w:rsidRPr="00660126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40</w:t>
    </w:r>
    <w:r w:rsidRPr="00660126">
      <w:rPr>
        <w:rFonts w:ascii="Times New Roman" w:hAnsi="Times New Roman"/>
        <w:sz w:val="24"/>
        <w:szCs w:val="24"/>
      </w:rP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Default="00651B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B54" w:rsidRDefault="00651B54">
      <w:pPr>
        <w:spacing w:after="0" w:line="240" w:lineRule="auto"/>
      </w:pPr>
      <w:r>
        <w:separator/>
      </w:r>
    </w:p>
  </w:footnote>
  <w:footnote w:type="continuationSeparator" w:id="0">
    <w:p w:rsidR="00651B54" w:rsidRDefault="00651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Default="00651B54" w:rsidP="00776F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1B54" w:rsidRDefault="00651B54" w:rsidP="0008262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Pr="00082625" w:rsidRDefault="00651B54" w:rsidP="00776FF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82625">
      <w:rPr>
        <w:rStyle w:val="PageNumber"/>
        <w:rFonts w:ascii="Times New Roman" w:hAnsi="Times New Roman"/>
        <w:sz w:val="28"/>
        <w:szCs w:val="28"/>
      </w:rPr>
      <w:fldChar w:fldCharType="begin"/>
    </w:r>
    <w:r w:rsidRPr="0008262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8262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082625">
      <w:rPr>
        <w:rStyle w:val="PageNumber"/>
        <w:rFonts w:ascii="Times New Roman" w:hAnsi="Times New Roman"/>
        <w:sz w:val="28"/>
        <w:szCs w:val="28"/>
      </w:rPr>
      <w:fldChar w:fldCharType="end"/>
    </w:r>
  </w:p>
  <w:p w:rsidR="00651B54" w:rsidRPr="00082625" w:rsidRDefault="00651B54" w:rsidP="00082625">
    <w:pPr>
      <w:pStyle w:val="Header"/>
      <w:ind w:right="360"/>
      <w:rPr>
        <w:lang w:val="en-US"/>
      </w:rPr>
    </w:pPr>
    <w:r w:rsidRPr="00ED158C">
      <w:rPr>
        <w:rFonts w:ascii="Times New Roman" w:hAnsi="Times New Roman"/>
        <w:sz w:val="24"/>
        <w:szCs w:val="24"/>
      </w:rPr>
      <w:t>Научный журнал КубГАУ, №</w:t>
    </w:r>
    <w:r w:rsidRPr="00ED158C">
      <w:rPr>
        <w:rFonts w:ascii="Times New Roman" w:hAnsi="Times New Roman"/>
        <w:sz w:val="24"/>
        <w:szCs w:val="24"/>
        <w:lang w:val="en-US"/>
      </w:rPr>
      <w:t>118</w:t>
    </w:r>
    <w:r w:rsidRPr="00ED158C">
      <w:rPr>
        <w:rFonts w:ascii="Times New Roman" w:hAnsi="Times New Roman"/>
        <w:sz w:val="24"/>
        <w:szCs w:val="24"/>
      </w:rPr>
      <w:t>(0</w:t>
    </w:r>
    <w:r w:rsidRPr="00ED158C">
      <w:rPr>
        <w:rFonts w:ascii="Times New Roman" w:hAnsi="Times New Roman"/>
        <w:sz w:val="24"/>
        <w:szCs w:val="24"/>
        <w:lang w:val="en-US"/>
      </w:rPr>
      <w:t>4</w:t>
    </w:r>
    <w:r w:rsidRPr="00ED158C">
      <w:rPr>
        <w:rFonts w:ascii="Times New Roman" w:hAnsi="Times New Roman"/>
        <w:sz w:val="24"/>
        <w:szCs w:val="24"/>
      </w:rPr>
      <w:t>), 201</w:t>
    </w:r>
    <w:r w:rsidRPr="00ED158C">
      <w:rPr>
        <w:rFonts w:ascii="Times New Roman" w:hAnsi="Times New Roman"/>
        <w:sz w:val="24"/>
        <w:szCs w:val="24"/>
        <w:lang w:val="en-US"/>
      </w:rPr>
      <w:t>6</w:t>
    </w:r>
    <w:r w:rsidRPr="00ED158C">
      <w:rPr>
        <w:rFonts w:ascii="Times New Roman" w:hAnsi="Times New Roman"/>
        <w:sz w:val="24"/>
        <w:szCs w:val="24"/>
      </w:rPr>
      <w:t xml:space="preserve"> года</w:t>
    </w:r>
  </w:p>
  <w:p w:rsidR="00651B54" w:rsidRDefault="00651B5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B54" w:rsidRDefault="00651B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2055"/>
    <w:multiLevelType w:val="multilevel"/>
    <w:tmpl w:val="38547F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04A54E0D"/>
    <w:multiLevelType w:val="multilevel"/>
    <w:tmpl w:val="275EC74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cs="Times New Roman" w:hint="default"/>
      </w:rPr>
    </w:lvl>
  </w:abstractNum>
  <w:abstractNum w:abstractNumId="2">
    <w:nsid w:val="053F636D"/>
    <w:multiLevelType w:val="hybridMultilevel"/>
    <w:tmpl w:val="4A90E10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952F5"/>
    <w:multiLevelType w:val="hybridMultilevel"/>
    <w:tmpl w:val="70F4A9CE"/>
    <w:lvl w:ilvl="0" w:tplc="8DA0D1E2">
      <w:start w:val="1"/>
      <w:numFmt w:val="upperLetter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4">
    <w:nsid w:val="0E2E3017"/>
    <w:multiLevelType w:val="hybridMultilevel"/>
    <w:tmpl w:val="86DAD3A0"/>
    <w:lvl w:ilvl="0" w:tplc="540A6ABE">
      <w:start w:val="1"/>
      <w:numFmt w:val="upperLett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4FD73AB"/>
    <w:multiLevelType w:val="multilevel"/>
    <w:tmpl w:val="BCA6D1E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15091F15"/>
    <w:multiLevelType w:val="multilevel"/>
    <w:tmpl w:val="5430287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15CD10B4"/>
    <w:multiLevelType w:val="multilevel"/>
    <w:tmpl w:val="F76EC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199B0BF3"/>
    <w:multiLevelType w:val="hybridMultilevel"/>
    <w:tmpl w:val="F836D800"/>
    <w:lvl w:ilvl="0" w:tplc="5A6A0206">
      <w:start w:val="1"/>
      <w:numFmt w:val="upperLett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BF77EE8"/>
    <w:multiLevelType w:val="hybridMultilevel"/>
    <w:tmpl w:val="D158D38C"/>
    <w:lvl w:ilvl="0" w:tplc="478E60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E027208"/>
    <w:multiLevelType w:val="hybridMultilevel"/>
    <w:tmpl w:val="5A9A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C37666"/>
    <w:multiLevelType w:val="multilevel"/>
    <w:tmpl w:val="55065C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26BA587F"/>
    <w:multiLevelType w:val="multilevel"/>
    <w:tmpl w:val="38547F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C6E23E4"/>
    <w:multiLevelType w:val="multilevel"/>
    <w:tmpl w:val="0FD8181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4">
    <w:nsid w:val="2CDF242E"/>
    <w:multiLevelType w:val="multilevel"/>
    <w:tmpl w:val="9F1C81F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36" w:hanging="2160"/>
      </w:pPr>
      <w:rPr>
        <w:rFonts w:cs="Times New Roman" w:hint="default"/>
      </w:rPr>
    </w:lvl>
  </w:abstractNum>
  <w:abstractNum w:abstractNumId="15">
    <w:nsid w:val="32187CB8"/>
    <w:multiLevelType w:val="hybridMultilevel"/>
    <w:tmpl w:val="E7C61EF2"/>
    <w:lvl w:ilvl="0" w:tplc="6450B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36C6435"/>
    <w:multiLevelType w:val="multilevel"/>
    <w:tmpl w:val="38547F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34893625"/>
    <w:multiLevelType w:val="hybridMultilevel"/>
    <w:tmpl w:val="BD669326"/>
    <w:lvl w:ilvl="0" w:tplc="D56AD8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3BA01E06"/>
    <w:multiLevelType w:val="singleLevel"/>
    <w:tmpl w:val="F2E606BA"/>
    <w:lvl w:ilvl="0">
      <w:start w:val="5"/>
      <w:numFmt w:val="decimal"/>
      <w:lvlText w:val="%1."/>
      <w:legacy w:legacy="1" w:legacySpace="0" w:legacyIndent="254"/>
      <w:lvlJc w:val="left"/>
      <w:pPr>
        <w:ind w:left="852"/>
      </w:pPr>
      <w:rPr>
        <w:rFonts w:ascii="Times New Roman" w:hAnsi="Times New Roman" w:cs="Times New Roman" w:hint="default"/>
      </w:rPr>
    </w:lvl>
  </w:abstractNum>
  <w:abstractNum w:abstractNumId="19">
    <w:nsid w:val="4077511B"/>
    <w:multiLevelType w:val="hybridMultilevel"/>
    <w:tmpl w:val="8904C462"/>
    <w:lvl w:ilvl="0" w:tplc="FE629982">
      <w:start w:val="1"/>
      <w:numFmt w:val="upperLett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2BD16FA"/>
    <w:multiLevelType w:val="hybridMultilevel"/>
    <w:tmpl w:val="42C85184"/>
    <w:lvl w:ilvl="0" w:tplc="9006CD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A91A39"/>
    <w:multiLevelType w:val="hybridMultilevel"/>
    <w:tmpl w:val="BD669326"/>
    <w:lvl w:ilvl="0" w:tplc="D56AD8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7AE1662"/>
    <w:multiLevelType w:val="multilevel"/>
    <w:tmpl w:val="400EC322"/>
    <w:lvl w:ilvl="0">
      <w:start w:val="3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20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3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7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1" w:hanging="2160"/>
      </w:pPr>
      <w:rPr>
        <w:rFonts w:cs="Times New Roman" w:hint="default"/>
      </w:rPr>
    </w:lvl>
  </w:abstractNum>
  <w:abstractNum w:abstractNumId="23">
    <w:nsid w:val="524F74A5"/>
    <w:multiLevelType w:val="hybridMultilevel"/>
    <w:tmpl w:val="F026A302"/>
    <w:lvl w:ilvl="0" w:tplc="E086F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D62D0F"/>
    <w:multiLevelType w:val="multilevel"/>
    <w:tmpl w:val="C9A8DA8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cs="Times New Roman" w:hint="default"/>
      </w:rPr>
    </w:lvl>
  </w:abstractNum>
  <w:abstractNum w:abstractNumId="25">
    <w:nsid w:val="587F37FA"/>
    <w:multiLevelType w:val="multilevel"/>
    <w:tmpl w:val="0492CD4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="Times New Roman" w:hint="default"/>
      </w:rPr>
    </w:lvl>
  </w:abstractNum>
  <w:abstractNum w:abstractNumId="26">
    <w:nsid w:val="59BA024B"/>
    <w:multiLevelType w:val="multilevel"/>
    <w:tmpl w:val="3DA0A13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7">
    <w:nsid w:val="5E5B154A"/>
    <w:multiLevelType w:val="multilevel"/>
    <w:tmpl w:val="38547F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8">
    <w:nsid w:val="5F592EEB"/>
    <w:multiLevelType w:val="hybridMultilevel"/>
    <w:tmpl w:val="2EC239F0"/>
    <w:lvl w:ilvl="0" w:tplc="BFD296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62E128DD"/>
    <w:multiLevelType w:val="hybridMultilevel"/>
    <w:tmpl w:val="2C983808"/>
    <w:lvl w:ilvl="0" w:tplc="B3FC3ED0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62F9317B"/>
    <w:multiLevelType w:val="multilevel"/>
    <w:tmpl w:val="38547F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1">
    <w:nsid w:val="6657698A"/>
    <w:multiLevelType w:val="hybridMultilevel"/>
    <w:tmpl w:val="EAA2D90A"/>
    <w:lvl w:ilvl="0" w:tplc="F5BCD3DA">
      <w:start w:val="1"/>
      <w:numFmt w:val="upp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>
    <w:nsid w:val="6B4B5C2B"/>
    <w:multiLevelType w:val="multilevel"/>
    <w:tmpl w:val="55065C7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0D02413"/>
    <w:multiLevelType w:val="hybridMultilevel"/>
    <w:tmpl w:val="4EA8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49379D7"/>
    <w:multiLevelType w:val="hybridMultilevel"/>
    <w:tmpl w:val="20604840"/>
    <w:lvl w:ilvl="0" w:tplc="E086F5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0"/>
  </w:num>
  <w:num w:numId="4">
    <w:abstractNumId w:val="14"/>
  </w:num>
  <w:num w:numId="5">
    <w:abstractNumId w:val="34"/>
  </w:num>
  <w:num w:numId="6">
    <w:abstractNumId w:val="13"/>
  </w:num>
  <w:num w:numId="7">
    <w:abstractNumId w:val="33"/>
  </w:num>
  <w:num w:numId="8">
    <w:abstractNumId w:val="16"/>
  </w:num>
  <w:num w:numId="9">
    <w:abstractNumId w:val="7"/>
  </w:num>
  <w:num w:numId="10">
    <w:abstractNumId w:val="12"/>
  </w:num>
  <w:num w:numId="11">
    <w:abstractNumId w:val="22"/>
  </w:num>
  <w:num w:numId="12">
    <w:abstractNumId w:val="27"/>
  </w:num>
  <w:num w:numId="13">
    <w:abstractNumId w:val="5"/>
  </w:num>
  <w:num w:numId="14">
    <w:abstractNumId w:val="32"/>
  </w:num>
  <w:num w:numId="15">
    <w:abstractNumId w:val="30"/>
  </w:num>
  <w:num w:numId="16">
    <w:abstractNumId w:val="6"/>
  </w:num>
  <w:num w:numId="17">
    <w:abstractNumId w:val="1"/>
  </w:num>
  <w:num w:numId="18">
    <w:abstractNumId w:val="25"/>
    <w:lvlOverride w:ilvl="0">
      <w:startOverride w:val="1"/>
    </w:lvlOverride>
  </w:num>
  <w:num w:numId="19">
    <w:abstractNumId w:val="18"/>
    <w:lvlOverride w:ilvl="0">
      <w:startOverride w:val="5"/>
    </w:lvlOverride>
  </w:num>
  <w:num w:numId="20">
    <w:abstractNumId w:val="11"/>
  </w:num>
  <w:num w:numId="21">
    <w:abstractNumId w:val="9"/>
  </w:num>
  <w:num w:numId="22">
    <w:abstractNumId w:val="2"/>
  </w:num>
  <w:num w:numId="23">
    <w:abstractNumId w:val="15"/>
  </w:num>
  <w:num w:numId="24">
    <w:abstractNumId w:val="24"/>
  </w:num>
  <w:num w:numId="25">
    <w:abstractNumId w:val="26"/>
  </w:num>
  <w:num w:numId="26">
    <w:abstractNumId w:val="28"/>
  </w:num>
  <w:num w:numId="27">
    <w:abstractNumId w:val="29"/>
  </w:num>
  <w:num w:numId="28">
    <w:abstractNumId w:val="31"/>
  </w:num>
  <w:num w:numId="29">
    <w:abstractNumId w:val="3"/>
  </w:num>
  <w:num w:numId="30">
    <w:abstractNumId w:val="8"/>
  </w:num>
  <w:num w:numId="31">
    <w:abstractNumId w:val="4"/>
  </w:num>
  <w:num w:numId="32">
    <w:abstractNumId w:val="19"/>
  </w:num>
  <w:num w:numId="33">
    <w:abstractNumId w:val="21"/>
  </w:num>
  <w:num w:numId="34">
    <w:abstractNumId w:val="10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97D"/>
    <w:rsid w:val="00013075"/>
    <w:rsid w:val="0003283C"/>
    <w:rsid w:val="00041813"/>
    <w:rsid w:val="000419AE"/>
    <w:rsid w:val="00042FDA"/>
    <w:rsid w:val="00044A56"/>
    <w:rsid w:val="0005775E"/>
    <w:rsid w:val="00064A7A"/>
    <w:rsid w:val="000741C5"/>
    <w:rsid w:val="00082625"/>
    <w:rsid w:val="00086B25"/>
    <w:rsid w:val="00090220"/>
    <w:rsid w:val="000B0AD5"/>
    <w:rsid w:val="000B38C5"/>
    <w:rsid w:val="000C47AE"/>
    <w:rsid w:val="000E1886"/>
    <w:rsid w:val="000F038B"/>
    <w:rsid w:val="000F1B44"/>
    <w:rsid w:val="00111BCD"/>
    <w:rsid w:val="00126BF9"/>
    <w:rsid w:val="00132AFF"/>
    <w:rsid w:val="001577C3"/>
    <w:rsid w:val="0016079C"/>
    <w:rsid w:val="00164E46"/>
    <w:rsid w:val="001742D8"/>
    <w:rsid w:val="001951A7"/>
    <w:rsid w:val="001B1FDF"/>
    <w:rsid w:val="001D2920"/>
    <w:rsid w:val="001E60F5"/>
    <w:rsid w:val="0023787A"/>
    <w:rsid w:val="00240C14"/>
    <w:rsid w:val="00263456"/>
    <w:rsid w:val="00274BFF"/>
    <w:rsid w:val="00294303"/>
    <w:rsid w:val="002A1FF0"/>
    <w:rsid w:val="002B321E"/>
    <w:rsid w:val="002B39D7"/>
    <w:rsid w:val="002D083E"/>
    <w:rsid w:val="002D3326"/>
    <w:rsid w:val="002D3E24"/>
    <w:rsid w:val="002E4260"/>
    <w:rsid w:val="002F0B20"/>
    <w:rsid w:val="00331BBB"/>
    <w:rsid w:val="00354DA4"/>
    <w:rsid w:val="00357187"/>
    <w:rsid w:val="00357676"/>
    <w:rsid w:val="003A28E7"/>
    <w:rsid w:val="003B6743"/>
    <w:rsid w:val="003C143F"/>
    <w:rsid w:val="003D285C"/>
    <w:rsid w:val="00404571"/>
    <w:rsid w:val="00416A8C"/>
    <w:rsid w:val="004170AD"/>
    <w:rsid w:val="00421879"/>
    <w:rsid w:val="00457E5E"/>
    <w:rsid w:val="00464B03"/>
    <w:rsid w:val="004729F1"/>
    <w:rsid w:val="00474E29"/>
    <w:rsid w:val="0049289B"/>
    <w:rsid w:val="004B72BB"/>
    <w:rsid w:val="004C7857"/>
    <w:rsid w:val="004D6A21"/>
    <w:rsid w:val="0052344A"/>
    <w:rsid w:val="005340A4"/>
    <w:rsid w:val="00581831"/>
    <w:rsid w:val="00590987"/>
    <w:rsid w:val="005977CB"/>
    <w:rsid w:val="005A5EAD"/>
    <w:rsid w:val="005A6116"/>
    <w:rsid w:val="005B7E27"/>
    <w:rsid w:val="005C06E8"/>
    <w:rsid w:val="005C2929"/>
    <w:rsid w:val="005C6C25"/>
    <w:rsid w:val="005E7AAD"/>
    <w:rsid w:val="005F0B13"/>
    <w:rsid w:val="00603C21"/>
    <w:rsid w:val="00605175"/>
    <w:rsid w:val="006135DE"/>
    <w:rsid w:val="00624A03"/>
    <w:rsid w:val="00626185"/>
    <w:rsid w:val="00641982"/>
    <w:rsid w:val="00651B54"/>
    <w:rsid w:val="00660126"/>
    <w:rsid w:val="0066186E"/>
    <w:rsid w:val="006B1BF6"/>
    <w:rsid w:val="006E4008"/>
    <w:rsid w:val="006E74D0"/>
    <w:rsid w:val="007146B5"/>
    <w:rsid w:val="00721F93"/>
    <w:rsid w:val="00740D54"/>
    <w:rsid w:val="00742CEF"/>
    <w:rsid w:val="007664B1"/>
    <w:rsid w:val="0077050D"/>
    <w:rsid w:val="00774838"/>
    <w:rsid w:val="00776FF6"/>
    <w:rsid w:val="007804B7"/>
    <w:rsid w:val="0079591D"/>
    <w:rsid w:val="007A276A"/>
    <w:rsid w:val="007A61F8"/>
    <w:rsid w:val="007B2A86"/>
    <w:rsid w:val="007B5D32"/>
    <w:rsid w:val="007D04AA"/>
    <w:rsid w:val="008133B1"/>
    <w:rsid w:val="00825848"/>
    <w:rsid w:val="008423D1"/>
    <w:rsid w:val="00846637"/>
    <w:rsid w:val="008544B5"/>
    <w:rsid w:val="00892064"/>
    <w:rsid w:val="008B39A9"/>
    <w:rsid w:val="008B7170"/>
    <w:rsid w:val="008E4722"/>
    <w:rsid w:val="008E6F5C"/>
    <w:rsid w:val="008E7ACD"/>
    <w:rsid w:val="00915872"/>
    <w:rsid w:val="009277E9"/>
    <w:rsid w:val="00927930"/>
    <w:rsid w:val="00934B3B"/>
    <w:rsid w:val="0093610F"/>
    <w:rsid w:val="00940E0A"/>
    <w:rsid w:val="00982B0D"/>
    <w:rsid w:val="00984C61"/>
    <w:rsid w:val="00986148"/>
    <w:rsid w:val="00994143"/>
    <w:rsid w:val="009A11E0"/>
    <w:rsid w:val="009C2AFA"/>
    <w:rsid w:val="009C302C"/>
    <w:rsid w:val="009C3D7F"/>
    <w:rsid w:val="009C7DFC"/>
    <w:rsid w:val="009D6886"/>
    <w:rsid w:val="00A06B49"/>
    <w:rsid w:val="00A5329D"/>
    <w:rsid w:val="00A70E0F"/>
    <w:rsid w:val="00A82882"/>
    <w:rsid w:val="00A92805"/>
    <w:rsid w:val="00AB4298"/>
    <w:rsid w:val="00AB5A22"/>
    <w:rsid w:val="00AC4F2E"/>
    <w:rsid w:val="00AD24EE"/>
    <w:rsid w:val="00B02765"/>
    <w:rsid w:val="00B04D4E"/>
    <w:rsid w:val="00B1454F"/>
    <w:rsid w:val="00B271AB"/>
    <w:rsid w:val="00B30A64"/>
    <w:rsid w:val="00B66944"/>
    <w:rsid w:val="00B9031D"/>
    <w:rsid w:val="00BA794E"/>
    <w:rsid w:val="00BA7FCC"/>
    <w:rsid w:val="00BB78E0"/>
    <w:rsid w:val="00BF539E"/>
    <w:rsid w:val="00C05137"/>
    <w:rsid w:val="00C06BD7"/>
    <w:rsid w:val="00C10189"/>
    <w:rsid w:val="00C25869"/>
    <w:rsid w:val="00C322BA"/>
    <w:rsid w:val="00C72586"/>
    <w:rsid w:val="00C819F4"/>
    <w:rsid w:val="00C94D4E"/>
    <w:rsid w:val="00CA52AD"/>
    <w:rsid w:val="00CE49D0"/>
    <w:rsid w:val="00CF1181"/>
    <w:rsid w:val="00CF12DA"/>
    <w:rsid w:val="00D22C83"/>
    <w:rsid w:val="00D34975"/>
    <w:rsid w:val="00D363F7"/>
    <w:rsid w:val="00D56551"/>
    <w:rsid w:val="00D677D6"/>
    <w:rsid w:val="00D91E8D"/>
    <w:rsid w:val="00DC65CD"/>
    <w:rsid w:val="00DD318B"/>
    <w:rsid w:val="00DD76D7"/>
    <w:rsid w:val="00DE6004"/>
    <w:rsid w:val="00DF1315"/>
    <w:rsid w:val="00DF7B45"/>
    <w:rsid w:val="00E05344"/>
    <w:rsid w:val="00E139CD"/>
    <w:rsid w:val="00E13D44"/>
    <w:rsid w:val="00E1597D"/>
    <w:rsid w:val="00E20320"/>
    <w:rsid w:val="00E47A5C"/>
    <w:rsid w:val="00E554DD"/>
    <w:rsid w:val="00E664AE"/>
    <w:rsid w:val="00E81D02"/>
    <w:rsid w:val="00E84899"/>
    <w:rsid w:val="00EA439F"/>
    <w:rsid w:val="00EA4CD6"/>
    <w:rsid w:val="00EC001F"/>
    <w:rsid w:val="00ED158C"/>
    <w:rsid w:val="00ED5506"/>
    <w:rsid w:val="00ED5512"/>
    <w:rsid w:val="00F13E7E"/>
    <w:rsid w:val="00F15A0F"/>
    <w:rsid w:val="00F2578B"/>
    <w:rsid w:val="00F26255"/>
    <w:rsid w:val="00F536FE"/>
    <w:rsid w:val="00F66AA1"/>
    <w:rsid w:val="00F74A53"/>
    <w:rsid w:val="00F80801"/>
    <w:rsid w:val="00F81BE6"/>
    <w:rsid w:val="00FB3BF6"/>
    <w:rsid w:val="00FC71B0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C4F2E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12DA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12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12DA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12DA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CF12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CF12DA"/>
    <w:pPr>
      <w:ind w:left="720"/>
      <w:contextualSpacing/>
    </w:pPr>
  </w:style>
  <w:style w:type="paragraph" w:customStyle="1" w:styleId="1">
    <w:name w:val="Заголовок_1"/>
    <w:basedOn w:val="Normal"/>
    <w:uiPriority w:val="99"/>
    <w:rsid w:val="00CF12DA"/>
    <w:pPr>
      <w:spacing w:after="0" w:line="360" w:lineRule="auto"/>
      <w:jc w:val="center"/>
    </w:pPr>
    <w:rPr>
      <w:rFonts w:ascii="Times New Roman" w:hAnsi="Times New Roman"/>
      <w:b/>
      <w:sz w:val="28"/>
      <w:szCs w:val="20"/>
    </w:rPr>
  </w:style>
  <w:style w:type="table" w:styleId="TableGrid">
    <w:name w:val="Table Grid"/>
    <w:basedOn w:val="TableNormal"/>
    <w:uiPriority w:val="99"/>
    <w:rsid w:val="00CF12D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99"/>
    <w:rsid w:val="00CF12DA"/>
    <w:rPr>
      <w:rFonts w:eastAsia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customStyle="1" w:styleId="PlainTable5">
    <w:name w:val="Plain Table 5"/>
    <w:uiPriority w:val="99"/>
    <w:rsid w:val="00CF12DA"/>
    <w:rPr>
      <w:rFonts w:eastAsia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CF12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12DA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F1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12DA"/>
    <w:rPr>
      <w:rFonts w:ascii="Segoe UI" w:hAnsi="Segoe UI" w:cs="Segoe UI"/>
      <w:sz w:val="18"/>
      <w:szCs w:val="18"/>
      <w:lang w:eastAsia="ru-RU"/>
    </w:rPr>
  </w:style>
  <w:style w:type="table" w:customStyle="1" w:styleId="10">
    <w:name w:val="Сетка таблицы1"/>
    <w:uiPriority w:val="99"/>
    <w:rsid w:val="00CF12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F12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1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F12DA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CF1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12DA"/>
    <w:rPr>
      <w:rFonts w:eastAsia="Times New Roman" w:cs="Times New Roman"/>
      <w:lang w:eastAsia="ru-RU"/>
    </w:rPr>
  </w:style>
  <w:style w:type="table" w:customStyle="1" w:styleId="3">
    <w:name w:val="Сетка таблицы3"/>
    <w:uiPriority w:val="99"/>
    <w:rsid w:val="00CF12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CF12DA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99"/>
    <w:rsid w:val="00CF12DA"/>
    <w:pPr>
      <w:spacing w:after="100" w:line="259" w:lineRule="auto"/>
      <w:ind w:left="220"/>
    </w:pPr>
  </w:style>
  <w:style w:type="paragraph" w:styleId="TOC1">
    <w:name w:val="toc 1"/>
    <w:basedOn w:val="Normal"/>
    <w:next w:val="Normal"/>
    <w:autoRedefine/>
    <w:uiPriority w:val="99"/>
    <w:rsid w:val="00CF12DA"/>
    <w:pPr>
      <w:spacing w:after="100" w:line="259" w:lineRule="auto"/>
    </w:pPr>
  </w:style>
  <w:style w:type="paragraph" w:styleId="TOC3">
    <w:name w:val="toc 3"/>
    <w:basedOn w:val="Normal"/>
    <w:next w:val="Normal"/>
    <w:autoRedefine/>
    <w:uiPriority w:val="99"/>
    <w:rsid w:val="00CF12DA"/>
    <w:pPr>
      <w:spacing w:after="100" w:line="259" w:lineRule="auto"/>
      <w:ind w:left="440"/>
    </w:pPr>
  </w:style>
  <w:style w:type="character" w:styleId="Hyperlink">
    <w:name w:val="Hyperlink"/>
    <w:basedOn w:val="DefaultParagraphFont"/>
    <w:uiPriority w:val="99"/>
    <w:rsid w:val="00CF12DA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semiHidden/>
    <w:rsid w:val="00CF12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826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640</TotalTime>
  <Pages>13</Pages>
  <Words>2860</Words>
  <Characters>16305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Sergey</cp:lastModifiedBy>
  <cp:revision>26</cp:revision>
  <dcterms:created xsi:type="dcterms:W3CDTF">2015-09-07T12:38:00Z</dcterms:created>
  <dcterms:modified xsi:type="dcterms:W3CDTF">2016-05-08T06:43:00Z</dcterms:modified>
</cp:coreProperties>
</file>