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951E6" w:rsidRPr="003F64E9" w:rsidTr="004F0D2C">
        <w:trPr>
          <w:trHeight w:val="709"/>
        </w:trPr>
        <w:tc>
          <w:tcPr>
            <w:tcW w:w="4643" w:type="dxa"/>
          </w:tcPr>
          <w:p w:rsidR="001951E6" w:rsidRPr="003F64E9" w:rsidRDefault="001951E6" w:rsidP="004F0D2C">
            <w:pPr>
              <w:spacing w:after="0" w:line="240" w:lineRule="auto"/>
              <w:rPr>
                <w:rFonts w:ascii="Times New Roman" w:hAnsi="Times New Roman"/>
                <w:sz w:val="20"/>
                <w:szCs w:val="20"/>
              </w:rPr>
            </w:pPr>
            <w:bookmarkStart w:id="0" w:name="_GoBack"/>
            <w:bookmarkEnd w:id="0"/>
            <w:r w:rsidRPr="003F64E9">
              <w:rPr>
                <w:rFonts w:ascii="Times New Roman" w:hAnsi="Times New Roman"/>
                <w:sz w:val="20"/>
                <w:szCs w:val="20"/>
              </w:rPr>
              <w:t>УДК 657.1</w:t>
            </w:r>
          </w:p>
          <w:p w:rsidR="001951E6" w:rsidRPr="003F64E9" w:rsidRDefault="001951E6" w:rsidP="004F0D2C">
            <w:pPr>
              <w:spacing w:after="0" w:line="240" w:lineRule="auto"/>
              <w:rPr>
                <w:rFonts w:ascii="Times New Roman" w:hAnsi="Times New Roman"/>
                <w:sz w:val="20"/>
                <w:szCs w:val="20"/>
              </w:rPr>
            </w:pPr>
          </w:p>
          <w:p w:rsidR="001951E6"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08.00.</w:t>
            </w:r>
            <w:r>
              <w:rPr>
                <w:rFonts w:ascii="Times New Roman" w:hAnsi="Times New Roman"/>
                <w:sz w:val="20"/>
                <w:szCs w:val="20"/>
                <w:lang w:val="en-US"/>
              </w:rPr>
              <w:t xml:space="preserve">00 </w:t>
            </w:r>
            <w:r>
              <w:rPr>
                <w:rFonts w:ascii="Times New Roman" w:hAnsi="Times New Roman"/>
                <w:sz w:val="20"/>
                <w:szCs w:val="20"/>
              </w:rPr>
              <w:t>Экономические науки</w:t>
            </w:r>
          </w:p>
          <w:p w:rsidR="001951E6" w:rsidRPr="003F64E9" w:rsidRDefault="001951E6" w:rsidP="004F0D2C">
            <w:pPr>
              <w:spacing w:after="0" w:line="240" w:lineRule="auto"/>
              <w:rPr>
                <w:rFonts w:ascii="Times New Roman" w:hAnsi="Times New Roman"/>
                <w:sz w:val="20"/>
                <w:szCs w:val="20"/>
              </w:rPr>
            </w:pPr>
          </w:p>
        </w:tc>
        <w:tc>
          <w:tcPr>
            <w:tcW w:w="4643" w:type="dxa"/>
          </w:tcPr>
          <w:p w:rsidR="001951E6" w:rsidRPr="003F64E9"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UDC 657.1</w:t>
            </w:r>
          </w:p>
          <w:p w:rsidR="001951E6" w:rsidRPr="003F64E9" w:rsidRDefault="001951E6" w:rsidP="004F0D2C">
            <w:pPr>
              <w:spacing w:after="0" w:line="240" w:lineRule="auto"/>
              <w:rPr>
                <w:rFonts w:ascii="Times New Roman" w:hAnsi="Times New Roman"/>
                <w:sz w:val="20"/>
                <w:szCs w:val="20"/>
              </w:rPr>
            </w:pPr>
          </w:p>
          <w:p w:rsidR="001951E6" w:rsidRPr="003F64E9" w:rsidRDefault="001951E6" w:rsidP="004F0D2C">
            <w:pPr>
              <w:spacing w:after="0" w:line="240" w:lineRule="auto"/>
              <w:rPr>
                <w:rFonts w:ascii="Times New Roman" w:hAnsi="Times New Roman"/>
                <w:sz w:val="20"/>
                <w:szCs w:val="20"/>
              </w:rPr>
            </w:pPr>
            <w:r>
              <w:rPr>
                <w:rFonts w:ascii="Times New Roman" w:hAnsi="Times New Roman"/>
                <w:sz w:val="20"/>
                <w:szCs w:val="20"/>
                <w:lang w:val="en-US"/>
              </w:rPr>
              <w:t xml:space="preserve">Economics </w:t>
            </w:r>
          </w:p>
        </w:tc>
      </w:tr>
      <w:tr w:rsidR="001951E6" w:rsidRPr="00E31088" w:rsidTr="004F0D2C">
        <w:trPr>
          <w:trHeight w:val="693"/>
        </w:trPr>
        <w:tc>
          <w:tcPr>
            <w:tcW w:w="4643" w:type="dxa"/>
          </w:tcPr>
          <w:p w:rsidR="001951E6" w:rsidRPr="003F64E9" w:rsidRDefault="001951E6" w:rsidP="004F0D2C">
            <w:pPr>
              <w:spacing w:after="0" w:line="240" w:lineRule="auto"/>
              <w:rPr>
                <w:rFonts w:ascii="Times New Roman" w:hAnsi="Times New Roman"/>
                <w:b/>
                <w:color w:val="000000"/>
                <w:sz w:val="20"/>
                <w:szCs w:val="20"/>
                <w:shd w:val="clear" w:color="auto" w:fill="FFFFFF"/>
              </w:rPr>
            </w:pPr>
            <w:r w:rsidRPr="003F64E9">
              <w:rPr>
                <w:rFonts w:ascii="Times New Roman" w:hAnsi="Times New Roman"/>
                <w:b/>
                <w:color w:val="000000"/>
                <w:sz w:val="20"/>
                <w:szCs w:val="20"/>
                <w:shd w:val="clear" w:color="auto" w:fill="FFFFFF"/>
              </w:rPr>
              <w:t>СОГЛАСОВАННОСТЬ УЧЕТНЫХ СВЕДЕНИЙ КАК УСЛОВИЕ ЭФФЕКТИВНОГО ХОЗЯЙСТВОВАНИЯ И ОБОСНОВАНИЯ НАЛОГОВОЙ ВЫГОДЫ</w:t>
            </w:r>
          </w:p>
          <w:p w:rsidR="001951E6" w:rsidRPr="003F64E9" w:rsidRDefault="001951E6" w:rsidP="004F0D2C">
            <w:pPr>
              <w:spacing w:after="0" w:line="240" w:lineRule="auto"/>
              <w:rPr>
                <w:rFonts w:ascii="Arial" w:hAnsi="Arial" w:cs="Arial"/>
                <w:color w:val="000000"/>
                <w:sz w:val="20"/>
                <w:szCs w:val="20"/>
                <w:shd w:val="clear" w:color="auto" w:fill="FFFFFF"/>
              </w:rPr>
            </w:pPr>
            <w:r w:rsidRPr="003F64E9">
              <w:rPr>
                <w:rFonts w:ascii="Arial" w:hAnsi="Arial" w:cs="Arial"/>
                <w:color w:val="000000"/>
                <w:sz w:val="20"/>
                <w:szCs w:val="20"/>
                <w:shd w:val="clear" w:color="auto" w:fill="FFFFFF"/>
              </w:rPr>
              <w:tab/>
            </w:r>
          </w:p>
        </w:tc>
        <w:tc>
          <w:tcPr>
            <w:tcW w:w="4643" w:type="dxa"/>
          </w:tcPr>
          <w:p w:rsidR="001951E6" w:rsidRPr="003F64E9" w:rsidRDefault="001951E6" w:rsidP="004F0D2C">
            <w:pPr>
              <w:spacing w:after="0" w:line="240" w:lineRule="auto"/>
              <w:rPr>
                <w:rFonts w:ascii="Times New Roman" w:hAnsi="Times New Roman"/>
                <w:b/>
                <w:sz w:val="20"/>
                <w:szCs w:val="20"/>
                <w:lang w:val="en-US"/>
              </w:rPr>
            </w:pPr>
            <w:r w:rsidRPr="003F64E9">
              <w:rPr>
                <w:rFonts w:ascii="Times New Roman" w:hAnsi="Times New Roman"/>
                <w:b/>
                <w:sz w:val="20"/>
                <w:szCs w:val="20"/>
                <w:lang w:val="en-US"/>
              </w:rPr>
              <w:t>CONSISTENCY</w:t>
            </w:r>
            <w:r w:rsidRPr="00E31088">
              <w:rPr>
                <w:rFonts w:ascii="Times New Roman" w:hAnsi="Times New Roman"/>
                <w:b/>
                <w:sz w:val="20"/>
                <w:szCs w:val="20"/>
                <w:lang w:val="en-US"/>
              </w:rPr>
              <w:t xml:space="preserve"> </w:t>
            </w:r>
            <w:r w:rsidRPr="003F64E9">
              <w:rPr>
                <w:rFonts w:ascii="Times New Roman" w:hAnsi="Times New Roman"/>
                <w:b/>
                <w:sz w:val="20"/>
                <w:szCs w:val="20"/>
                <w:lang w:val="en-US"/>
              </w:rPr>
              <w:t>OF</w:t>
            </w:r>
            <w:r w:rsidRPr="00E31088">
              <w:rPr>
                <w:rFonts w:ascii="Times New Roman" w:hAnsi="Times New Roman"/>
                <w:b/>
                <w:sz w:val="20"/>
                <w:szCs w:val="20"/>
                <w:lang w:val="en-US"/>
              </w:rPr>
              <w:t xml:space="preserve"> </w:t>
            </w:r>
            <w:r w:rsidRPr="003F64E9">
              <w:rPr>
                <w:rFonts w:ascii="Times New Roman" w:hAnsi="Times New Roman"/>
                <w:b/>
                <w:sz w:val="20"/>
                <w:szCs w:val="20"/>
                <w:lang w:val="en-US"/>
              </w:rPr>
              <w:t>ACCOUNTING INFORMATION AS A CONDITION OF EFFECTIVE ECONOMIC ACTIVITY AND THE SUBSTANTIATION OF TAX BENEFIT</w:t>
            </w:r>
          </w:p>
        </w:tc>
      </w:tr>
      <w:tr w:rsidR="001951E6" w:rsidRPr="00E31088" w:rsidTr="004F0D2C">
        <w:trPr>
          <w:trHeight w:val="600"/>
        </w:trPr>
        <w:tc>
          <w:tcPr>
            <w:tcW w:w="4643" w:type="dxa"/>
          </w:tcPr>
          <w:p w:rsidR="001951E6" w:rsidRPr="003F64E9"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Першин Сергей Петрович</w:t>
            </w:r>
          </w:p>
          <w:p w:rsidR="001951E6" w:rsidRPr="003F64E9"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 xml:space="preserve">к.э.н., доцент кафедры </w:t>
            </w:r>
          </w:p>
          <w:p w:rsidR="001951E6" w:rsidRPr="003F64E9"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теории бухгалтерского учета</w:t>
            </w:r>
          </w:p>
          <w:p w:rsidR="001951E6" w:rsidRPr="00E31088"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РИНЦ</w:t>
            </w:r>
            <w:r w:rsidRPr="00E31088">
              <w:rPr>
                <w:rFonts w:ascii="Times New Roman" w:hAnsi="Times New Roman"/>
                <w:sz w:val="20"/>
                <w:szCs w:val="20"/>
              </w:rPr>
              <w:t xml:space="preserve"> </w:t>
            </w:r>
            <w:r w:rsidRPr="003F64E9">
              <w:rPr>
                <w:rFonts w:ascii="Times New Roman" w:hAnsi="Times New Roman"/>
                <w:sz w:val="20"/>
                <w:szCs w:val="20"/>
                <w:lang w:val="en-US"/>
              </w:rPr>
              <w:t>SPIN</w:t>
            </w:r>
            <w:r w:rsidRPr="003F64E9">
              <w:rPr>
                <w:rFonts w:ascii="Times New Roman" w:hAnsi="Times New Roman"/>
                <w:sz w:val="20"/>
                <w:szCs w:val="20"/>
              </w:rPr>
              <w:t>-код=1487-2111</w:t>
            </w:r>
          </w:p>
        </w:tc>
        <w:tc>
          <w:tcPr>
            <w:tcW w:w="4643" w:type="dxa"/>
          </w:tcPr>
          <w:p w:rsidR="001951E6" w:rsidRPr="003F64E9" w:rsidRDefault="001951E6" w:rsidP="004F0D2C">
            <w:pPr>
              <w:spacing w:after="0" w:line="240" w:lineRule="auto"/>
              <w:rPr>
                <w:rFonts w:ascii="Times New Roman" w:hAnsi="Times New Roman"/>
                <w:sz w:val="20"/>
                <w:szCs w:val="20"/>
                <w:lang w:val="en-US"/>
              </w:rPr>
            </w:pPr>
            <w:r w:rsidRPr="003F64E9">
              <w:rPr>
                <w:rFonts w:ascii="Times New Roman" w:hAnsi="Times New Roman"/>
                <w:sz w:val="20"/>
                <w:szCs w:val="20"/>
                <w:lang w:val="en-US"/>
              </w:rPr>
              <w:t>Pershin Sergey Petrovich</w:t>
            </w:r>
            <w:r w:rsidRPr="003F64E9">
              <w:rPr>
                <w:rFonts w:ascii="Times New Roman" w:hAnsi="Times New Roman"/>
                <w:sz w:val="20"/>
                <w:szCs w:val="20"/>
                <w:lang w:val="en-US"/>
              </w:rPr>
              <w:br/>
            </w:r>
            <w:r>
              <w:rPr>
                <w:rFonts w:ascii="Times New Roman" w:hAnsi="Times New Roman"/>
                <w:sz w:val="20"/>
                <w:szCs w:val="20"/>
                <w:lang w:val="en-US"/>
              </w:rPr>
              <w:t xml:space="preserve">Cand.Econ.Sci., </w:t>
            </w:r>
            <w:r w:rsidRPr="003F64E9">
              <w:rPr>
                <w:rFonts w:ascii="Times New Roman" w:hAnsi="Times New Roman"/>
                <w:sz w:val="20"/>
                <w:szCs w:val="20"/>
                <w:lang w:val="en-US"/>
              </w:rPr>
              <w:t>associate Professor</w:t>
            </w:r>
            <w:r>
              <w:rPr>
                <w:rFonts w:ascii="Times New Roman" w:hAnsi="Times New Roman"/>
                <w:sz w:val="20"/>
                <w:szCs w:val="20"/>
                <w:lang w:val="en-US"/>
              </w:rPr>
              <w:t xml:space="preserve"> of </w:t>
            </w:r>
            <w:r w:rsidRPr="003F64E9">
              <w:rPr>
                <w:rFonts w:ascii="Times New Roman" w:hAnsi="Times New Roman"/>
                <w:sz w:val="20"/>
                <w:szCs w:val="20"/>
                <w:lang w:val="en-US"/>
              </w:rPr>
              <w:t xml:space="preserve">the </w:t>
            </w:r>
            <w:r>
              <w:rPr>
                <w:rFonts w:ascii="Times New Roman" w:hAnsi="Times New Roman"/>
                <w:sz w:val="20"/>
                <w:szCs w:val="20"/>
                <w:lang w:val="en-US"/>
              </w:rPr>
              <w:t>D</w:t>
            </w:r>
            <w:r w:rsidRPr="003F64E9">
              <w:rPr>
                <w:rFonts w:ascii="Times New Roman" w:hAnsi="Times New Roman"/>
                <w:sz w:val="20"/>
                <w:szCs w:val="20"/>
                <w:lang w:val="en-US"/>
              </w:rPr>
              <w:t>epartment of accounting theory</w:t>
            </w:r>
          </w:p>
          <w:p w:rsidR="001951E6" w:rsidRPr="003F64E9" w:rsidRDefault="001951E6" w:rsidP="004F0D2C">
            <w:pPr>
              <w:spacing w:after="0" w:line="240" w:lineRule="auto"/>
              <w:rPr>
                <w:rFonts w:ascii="Times New Roman" w:hAnsi="Times New Roman"/>
                <w:sz w:val="20"/>
                <w:szCs w:val="20"/>
                <w:lang w:val="en-US"/>
              </w:rPr>
            </w:pPr>
            <w:r w:rsidRPr="003F64E9">
              <w:rPr>
                <w:rFonts w:ascii="Times New Roman" w:hAnsi="Times New Roman"/>
                <w:sz w:val="20"/>
                <w:szCs w:val="20"/>
                <w:lang w:val="en-US"/>
              </w:rPr>
              <w:t>SPIN-</w:t>
            </w:r>
            <w:r>
              <w:rPr>
                <w:rFonts w:ascii="Times New Roman" w:hAnsi="Times New Roman"/>
                <w:sz w:val="20"/>
                <w:szCs w:val="20"/>
                <w:lang w:val="en-US"/>
              </w:rPr>
              <w:t>code</w:t>
            </w:r>
            <w:r w:rsidRPr="003F64E9">
              <w:rPr>
                <w:rFonts w:ascii="Times New Roman" w:hAnsi="Times New Roman"/>
                <w:sz w:val="20"/>
                <w:szCs w:val="20"/>
                <w:lang w:val="en-US"/>
              </w:rPr>
              <w:t>=1487-2111</w:t>
            </w:r>
          </w:p>
        </w:tc>
      </w:tr>
      <w:tr w:rsidR="001951E6" w:rsidRPr="00E31088" w:rsidTr="004F0D2C">
        <w:trPr>
          <w:trHeight w:val="444"/>
        </w:trPr>
        <w:tc>
          <w:tcPr>
            <w:tcW w:w="4643" w:type="dxa"/>
          </w:tcPr>
          <w:p w:rsidR="001951E6" w:rsidRPr="003F64E9" w:rsidRDefault="001951E6" w:rsidP="004F0D2C">
            <w:pPr>
              <w:spacing w:after="0" w:line="240" w:lineRule="auto"/>
              <w:rPr>
                <w:rFonts w:ascii="Times New Roman" w:hAnsi="Times New Roman"/>
                <w:sz w:val="20"/>
                <w:szCs w:val="20"/>
                <w:lang w:val="en-US"/>
              </w:rPr>
            </w:pPr>
          </w:p>
          <w:p w:rsidR="001951E6" w:rsidRPr="003F64E9" w:rsidRDefault="001951E6" w:rsidP="004F0D2C">
            <w:pPr>
              <w:tabs>
                <w:tab w:val="left" w:pos="1410"/>
              </w:tabs>
              <w:spacing w:after="0" w:line="240" w:lineRule="auto"/>
              <w:rPr>
                <w:rFonts w:ascii="Times New Roman" w:hAnsi="Times New Roman"/>
                <w:sz w:val="20"/>
                <w:szCs w:val="20"/>
              </w:rPr>
            </w:pPr>
            <w:r w:rsidRPr="003F64E9">
              <w:rPr>
                <w:rFonts w:ascii="Times New Roman" w:hAnsi="Times New Roman"/>
                <w:sz w:val="20"/>
                <w:szCs w:val="20"/>
              </w:rPr>
              <w:t>Можегова Валентина Дмитриевна</w:t>
            </w:r>
            <w:r w:rsidRPr="003F64E9">
              <w:rPr>
                <w:rFonts w:ascii="Times New Roman" w:hAnsi="Times New Roman"/>
                <w:sz w:val="20"/>
                <w:szCs w:val="20"/>
              </w:rPr>
              <w:tab/>
            </w:r>
          </w:p>
          <w:p w:rsidR="001951E6" w:rsidRPr="003F64E9" w:rsidRDefault="001951E6" w:rsidP="004F0D2C">
            <w:pPr>
              <w:tabs>
                <w:tab w:val="left" w:pos="3285"/>
              </w:tabs>
              <w:spacing w:after="0" w:line="240" w:lineRule="auto"/>
              <w:rPr>
                <w:rFonts w:ascii="Times New Roman" w:hAnsi="Times New Roman"/>
                <w:i/>
                <w:sz w:val="20"/>
                <w:szCs w:val="20"/>
              </w:rPr>
            </w:pPr>
            <w:r w:rsidRPr="003F64E9">
              <w:rPr>
                <w:rFonts w:ascii="Times New Roman" w:hAnsi="Times New Roman"/>
                <w:sz w:val="20"/>
                <w:szCs w:val="20"/>
              </w:rPr>
              <w:t>студентка экономического факультета</w:t>
            </w:r>
            <w:r w:rsidRPr="003F64E9">
              <w:rPr>
                <w:rFonts w:ascii="Times New Roman" w:hAnsi="Times New Roman"/>
                <w:sz w:val="20"/>
                <w:szCs w:val="20"/>
              </w:rPr>
              <w:tab/>
            </w:r>
          </w:p>
        </w:tc>
        <w:tc>
          <w:tcPr>
            <w:tcW w:w="4643" w:type="dxa"/>
          </w:tcPr>
          <w:p w:rsidR="001951E6" w:rsidRPr="003F64E9" w:rsidRDefault="001951E6" w:rsidP="004F0D2C">
            <w:pPr>
              <w:spacing w:after="0" w:line="240" w:lineRule="auto"/>
              <w:rPr>
                <w:rFonts w:ascii="Times New Roman" w:hAnsi="Times New Roman"/>
                <w:sz w:val="20"/>
                <w:szCs w:val="20"/>
              </w:rPr>
            </w:pPr>
          </w:p>
          <w:p w:rsidR="001951E6" w:rsidRPr="003F64E9" w:rsidRDefault="001951E6" w:rsidP="004F0D2C">
            <w:pPr>
              <w:spacing w:after="0" w:line="240" w:lineRule="auto"/>
              <w:rPr>
                <w:rFonts w:ascii="Times New Roman" w:hAnsi="Times New Roman"/>
                <w:iCs/>
                <w:sz w:val="20"/>
                <w:szCs w:val="20"/>
                <w:lang w:val="en-US"/>
              </w:rPr>
            </w:pPr>
            <w:r w:rsidRPr="003F64E9">
              <w:rPr>
                <w:rFonts w:ascii="Times New Roman" w:hAnsi="Times New Roman"/>
                <w:color w:val="000000"/>
                <w:sz w:val="20"/>
                <w:szCs w:val="20"/>
                <w:lang w:val="en-US"/>
              </w:rPr>
              <w:t>Mo</w:t>
            </w:r>
            <w:r>
              <w:rPr>
                <w:rFonts w:ascii="Times New Roman" w:hAnsi="Times New Roman"/>
                <w:color w:val="000000"/>
                <w:sz w:val="20"/>
                <w:szCs w:val="20"/>
                <w:lang w:val="en-US"/>
              </w:rPr>
              <w:t>zhegova Valentina Dmitrievna</w:t>
            </w:r>
            <w:r>
              <w:rPr>
                <w:rFonts w:ascii="Times New Roman" w:hAnsi="Times New Roman"/>
                <w:color w:val="000000"/>
                <w:sz w:val="20"/>
                <w:szCs w:val="20"/>
                <w:lang w:val="en-US"/>
              </w:rPr>
              <w:br/>
            </w:r>
            <w:r w:rsidRPr="003F64E9">
              <w:rPr>
                <w:rFonts w:ascii="Times New Roman" w:hAnsi="Times New Roman"/>
                <w:color w:val="000000"/>
                <w:sz w:val="20"/>
                <w:szCs w:val="20"/>
                <w:lang w:val="en-US"/>
              </w:rPr>
              <w:t xml:space="preserve">student of </w:t>
            </w:r>
            <w:r>
              <w:rPr>
                <w:rFonts w:ascii="Times New Roman" w:hAnsi="Times New Roman"/>
                <w:color w:val="000000"/>
                <w:sz w:val="20"/>
                <w:szCs w:val="20"/>
                <w:lang w:val="en-US"/>
              </w:rPr>
              <w:t>the E</w:t>
            </w:r>
            <w:r w:rsidRPr="003F64E9">
              <w:rPr>
                <w:rFonts w:ascii="Times New Roman" w:hAnsi="Times New Roman"/>
                <w:color w:val="000000"/>
                <w:sz w:val="20"/>
                <w:szCs w:val="20"/>
                <w:lang w:val="en-US"/>
              </w:rPr>
              <w:t>conomic faculty</w:t>
            </w:r>
          </w:p>
        </w:tc>
      </w:tr>
      <w:tr w:rsidR="001951E6" w:rsidRPr="00E31088" w:rsidTr="004F0D2C">
        <w:trPr>
          <w:trHeight w:val="444"/>
        </w:trPr>
        <w:tc>
          <w:tcPr>
            <w:tcW w:w="4643" w:type="dxa"/>
          </w:tcPr>
          <w:p w:rsidR="001951E6" w:rsidRPr="003F64E9" w:rsidRDefault="001951E6" w:rsidP="004F0D2C">
            <w:pPr>
              <w:spacing w:after="0" w:line="240" w:lineRule="auto"/>
              <w:rPr>
                <w:rFonts w:ascii="Times New Roman" w:hAnsi="Times New Roman"/>
                <w:i/>
                <w:sz w:val="20"/>
                <w:szCs w:val="20"/>
              </w:rPr>
            </w:pPr>
            <w:r w:rsidRPr="003F64E9">
              <w:rPr>
                <w:rFonts w:ascii="Times New Roman" w:hAnsi="Times New Roman"/>
                <w:i/>
                <w:sz w:val="20"/>
                <w:szCs w:val="20"/>
              </w:rPr>
              <w:t>Кубанский государственный аграрный университет, Краснодар, Россия</w:t>
            </w:r>
          </w:p>
        </w:tc>
        <w:tc>
          <w:tcPr>
            <w:tcW w:w="4643" w:type="dxa"/>
          </w:tcPr>
          <w:p w:rsidR="001951E6" w:rsidRPr="003F64E9" w:rsidRDefault="001951E6" w:rsidP="004F0D2C">
            <w:pPr>
              <w:spacing w:after="0" w:line="240" w:lineRule="auto"/>
              <w:rPr>
                <w:rFonts w:ascii="Times New Roman" w:hAnsi="Times New Roman"/>
                <w:i/>
                <w:iCs/>
                <w:sz w:val="20"/>
                <w:szCs w:val="20"/>
                <w:lang w:val="en-US"/>
              </w:rPr>
            </w:pPr>
            <w:smartTag w:uri="urn:schemas-microsoft-com:office:smarttags" w:element="PlaceName">
              <w:r w:rsidRPr="003F64E9">
                <w:rPr>
                  <w:rFonts w:ascii="Times New Roman" w:hAnsi="Times New Roman"/>
                  <w:i/>
                  <w:iCs/>
                  <w:sz w:val="20"/>
                  <w:szCs w:val="20"/>
                  <w:lang w:val="en-US"/>
                </w:rPr>
                <w:t>Kuban</w:t>
              </w:r>
            </w:smartTag>
            <w:r w:rsidRPr="003F64E9">
              <w:rPr>
                <w:rFonts w:ascii="Times New Roman" w:hAnsi="Times New Roman"/>
                <w:i/>
                <w:iCs/>
                <w:sz w:val="20"/>
                <w:szCs w:val="20"/>
                <w:lang w:val="en-US"/>
              </w:rPr>
              <w:t xml:space="preserve"> </w:t>
            </w:r>
            <w:smartTag w:uri="urn:schemas-microsoft-com:office:smarttags" w:element="PlaceType">
              <w:r w:rsidRPr="003F64E9">
                <w:rPr>
                  <w:rFonts w:ascii="Times New Roman" w:hAnsi="Times New Roman"/>
                  <w:i/>
                  <w:iCs/>
                  <w:sz w:val="20"/>
                  <w:szCs w:val="20"/>
                  <w:lang w:val="en-US"/>
                </w:rPr>
                <w:t>State</w:t>
              </w:r>
            </w:smartTag>
            <w:r w:rsidRPr="003F64E9">
              <w:rPr>
                <w:rFonts w:ascii="Times New Roman" w:hAnsi="Times New Roman"/>
                <w:i/>
                <w:iCs/>
                <w:sz w:val="20"/>
                <w:szCs w:val="20"/>
                <w:lang w:val="en-US"/>
              </w:rPr>
              <w:t xml:space="preserve"> </w:t>
            </w:r>
            <w:smartTag w:uri="urn:schemas-microsoft-com:office:smarttags" w:element="PlaceName">
              <w:r w:rsidRPr="003F64E9">
                <w:rPr>
                  <w:rFonts w:ascii="Times New Roman" w:hAnsi="Times New Roman"/>
                  <w:i/>
                  <w:iCs/>
                  <w:sz w:val="20"/>
                  <w:szCs w:val="20"/>
                  <w:lang w:val="en-US"/>
                </w:rPr>
                <w:t>Agrarian</w:t>
              </w:r>
            </w:smartTag>
            <w:r w:rsidRPr="003F64E9">
              <w:rPr>
                <w:rFonts w:ascii="Times New Roman" w:hAnsi="Times New Roman"/>
                <w:i/>
                <w:iCs/>
                <w:sz w:val="20"/>
                <w:szCs w:val="20"/>
                <w:lang w:val="en-US"/>
              </w:rPr>
              <w:t xml:space="preserve"> </w:t>
            </w:r>
            <w:smartTag w:uri="urn:schemas-microsoft-com:office:smarttags" w:element="PlaceType">
              <w:r w:rsidRPr="003F64E9">
                <w:rPr>
                  <w:rFonts w:ascii="Times New Roman" w:hAnsi="Times New Roman"/>
                  <w:i/>
                  <w:iCs/>
                  <w:sz w:val="20"/>
                  <w:szCs w:val="20"/>
                  <w:lang w:val="en-US"/>
                </w:rPr>
                <w:t>University</w:t>
              </w:r>
            </w:smartTag>
            <w:r w:rsidRPr="003F64E9">
              <w:rPr>
                <w:rFonts w:ascii="Times New Roman" w:hAnsi="Times New Roman"/>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3F64E9">
                    <w:rPr>
                      <w:rFonts w:ascii="Times New Roman" w:hAnsi="Times New Roman"/>
                      <w:i/>
                      <w:iCs/>
                      <w:sz w:val="20"/>
                      <w:szCs w:val="20"/>
                      <w:lang w:val="en-US"/>
                    </w:rPr>
                    <w:t>Krasnodar</w:t>
                  </w:r>
                </w:smartTag>
                <w:r w:rsidRPr="003F64E9">
                  <w:rPr>
                    <w:rFonts w:ascii="Times New Roman" w:hAnsi="Times New Roman"/>
                    <w:i/>
                    <w:iCs/>
                    <w:sz w:val="20"/>
                    <w:szCs w:val="20"/>
                    <w:lang w:val="en-US"/>
                  </w:rPr>
                  <w:t xml:space="preserve">, </w:t>
                </w:r>
                <w:smartTag w:uri="urn:schemas-microsoft-com:office:smarttags" w:element="country-region">
                  <w:r w:rsidRPr="003F64E9">
                    <w:rPr>
                      <w:rFonts w:ascii="Times New Roman" w:hAnsi="Times New Roman"/>
                      <w:i/>
                      <w:iCs/>
                      <w:sz w:val="20"/>
                      <w:szCs w:val="20"/>
                      <w:lang w:val="en-US"/>
                    </w:rPr>
                    <w:t>Russia</w:t>
                  </w:r>
                </w:smartTag>
              </w:smartTag>
            </w:smartTag>
          </w:p>
        </w:tc>
      </w:tr>
      <w:tr w:rsidR="001951E6" w:rsidRPr="00E31088" w:rsidTr="004F0D2C">
        <w:trPr>
          <w:trHeight w:val="284"/>
        </w:trPr>
        <w:tc>
          <w:tcPr>
            <w:tcW w:w="4643" w:type="dxa"/>
          </w:tcPr>
          <w:p w:rsidR="001951E6" w:rsidRPr="003F64E9" w:rsidRDefault="001951E6" w:rsidP="004F0D2C">
            <w:pPr>
              <w:spacing w:after="0" w:line="240" w:lineRule="auto"/>
              <w:rPr>
                <w:rFonts w:ascii="Times New Roman" w:hAnsi="Times New Roman"/>
                <w:sz w:val="20"/>
                <w:szCs w:val="20"/>
                <w:lang w:val="en-US"/>
              </w:rPr>
            </w:pPr>
          </w:p>
          <w:p w:rsidR="001951E6" w:rsidRPr="00E31088"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Обоснование налоговой выгоды, развитие хозяйственных связей, глобализация учетных процессов и совершенствование деятельности администрирующих органов государственной власти требуют соответствующего развития учетных правил, эффективного оперативного обмена учетными сведениями и их согласованности. Авторами предложено и обосновано применение механизмов единой автоматизированной информационной базы учетной системы управления и контроля как элемента единого учетного пространства, позволяющего обеспечить решение вышеуказанных вопросов. В ходе исследования введено понятие единого учетного пространства и определены его задачи и принципы функционирования. Именно такая форма организации учетно-экономических процедур процесса функционирования экономики способна обеспечить развитие учетной науки в направлениях современных тенденций. Исследованием выделены направления, реализуемые в настоящее время, полностью соответствующие предложениям авторов. Отмечен</w:t>
            </w:r>
            <w:r>
              <w:rPr>
                <w:rFonts w:ascii="Times New Roman" w:hAnsi="Times New Roman"/>
                <w:sz w:val="20"/>
                <w:szCs w:val="20"/>
              </w:rPr>
              <w:t>ы</w:t>
            </w:r>
            <w:r w:rsidRPr="003F64E9">
              <w:rPr>
                <w:rFonts w:ascii="Times New Roman" w:hAnsi="Times New Roman"/>
                <w:sz w:val="20"/>
                <w:szCs w:val="20"/>
              </w:rPr>
              <w:t xml:space="preserve"> нововведения, связанные с представлением налоговой декларации по налогу на добавленную стоимость и дополнительных сведений по телекоммуникационным каналам в связи с применением средств защиты информации. Отмечены отдельные правила предоставления учетных сведений заинтересованным пользователям. Деятельность отдельного хозяйственника отражается в рамках предлагаемой информационной системы как представляется в виде пользовательского интерфейса, позволяющего упростить требования к организации и ведении учета. Отмечены основные недостатки и сложности реализации мероприятий, предложены спос</w:t>
            </w:r>
            <w:r>
              <w:rPr>
                <w:rFonts w:ascii="Times New Roman" w:hAnsi="Times New Roman"/>
                <w:sz w:val="20"/>
                <w:szCs w:val="20"/>
              </w:rPr>
              <w:t>обы их устранения или избегания</w:t>
            </w:r>
          </w:p>
        </w:tc>
        <w:tc>
          <w:tcPr>
            <w:tcW w:w="4643" w:type="dxa"/>
          </w:tcPr>
          <w:p w:rsidR="001951E6" w:rsidRPr="003F64E9" w:rsidRDefault="001951E6" w:rsidP="004F0D2C">
            <w:pPr>
              <w:spacing w:after="0" w:line="240" w:lineRule="auto"/>
              <w:rPr>
                <w:rFonts w:ascii="Times New Roman" w:hAnsi="Times New Roman"/>
                <w:sz w:val="20"/>
                <w:szCs w:val="20"/>
              </w:rPr>
            </w:pPr>
          </w:p>
          <w:p w:rsidR="001951E6" w:rsidRPr="005919C9" w:rsidRDefault="001951E6" w:rsidP="004F0D2C">
            <w:pPr>
              <w:spacing w:after="0" w:line="240" w:lineRule="auto"/>
              <w:rPr>
                <w:rFonts w:ascii="Times New Roman" w:hAnsi="Times New Roman"/>
                <w:sz w:val="20"/>
                <w:szCs w:val="20"/>
                <w:lang w:val="en-US"/>
              </w:rPr>
            </w:pPr>
            <w:r w:rsidRPr="003F64E9">
              <w:rPr>
                <w:rFonts w:ascii="Times New Roman" w:hAnsi="Times New Roman"/>
                <w:color w:val="000000"/>
                <w:sz w:val="20"/>
                <w:szCs w:val="20"/>
                <w:lang w:val="en-US"/>
              </w:rPr>
              <w:t>Justification of tax benefits, development of economic relations, globalization of accounting processes and improvement of administrative activity of public authorities require the appropriate development of accounting rules, effective rapid exchange of credentials and their consistency. The authors</w:t>
            </w:r>
            <w:r>
              <w:rPr>
                <w:rFonts w:ascii="Times New Roman" w:hAnsi="Times New Roman"/>
                <w:color w:val="000000"/>
                <w:sz w:val="20"/>
                <w:szCs w:val="20"/>
                <w:lang w:val="en-US"/>
              </w:rPr>
              <w:t xml:space="preserve"> have </w:t>
            </w:r>
            <w:r w:rsidRPr="003F64E9">
              <w:rPr>
                <w:rFonts w:ascii="Times New Roman" w:hAnsi="Times New Roman"/>
                <w:color w:val="000000"/>
                <w:sz w:val="20"/>
                <w:szCs w:val="20"/>
                <w:lang w:val="en-US"/>
              </w:rPr>
              <w:t>proposed and justified the use of a unified automated information database accounting system management and control as a single accounting element space, which allows providing solutions to the above issues. The study introduced the concept of uniform accounting space and defined its objectives and principles of functioning. It is this form of organization of accounting and economic procedures of the process of functioning of the economy able to ensure the development of accounting theory in the areas of modern trends. The study highlighted areas that are implemented now</w:t>
            </w:r>
            <w:r>
              <w:rPr>
                <w:rFonts w:ascii="Times New Roman" w:hAnsi="Times New Roman"/>
                <w:color w:val="000000"/>
                <w:sz w:val="20"/>
                <w:szCs w:val="20"/>
                <w:lang w:val="en-US"/>
              </w:rPr>
              <w:t>,</w:t>
            </w:r>
            <w:r w:rsidRPr="003F64E9">
              <w:rPr>
                <w:rFonts w:ascii="Times New Roman" w:hAnsi="Times New Roman"/>
                <w:color w:val="000000"/>
                <w:sz w:val="20"/>
                <w:szCs w:val="20"/>
                <w:lang w:val="en-US"/>
              </w:rPr>
              <w:t xml:space="preserve"> which fully meet the proposals of the authors. </w:t>
            </w:r>
            <w:r>
              <w:rPr>
                <w:rFonts w:ascii="Times New Roman" w:hAnsi="Times New Roman"/>
                <w:color w:val="000000"/>
                <w:sz w:val="20"/>
                <w:szCs w:val="20"/>
                <w:lang w:val="en-US"/>
              </w:rPr>
              <w:t>We have n</w:t>
            </w:r>
            <w:r w:rsidRPr="003F64E9">
              <w:rPr>
                <w:rFonts w:ascii="Times New Roman" w:hAnsi="Times New Roman"/>
                <w:color w:val="000000"/>
                <w:sz w:val="20"/>
                <w:szCs w:val="20"/>
                <w:lang w:val="en-US"/>
              </w:rPr>
              <w:t xml:space="preserve">oted innovations related to the submission of the tax Declaration under the tax to the added cost and additional data by telecommunication in connection with the use of information security tools. </w:t>
            </w:r>
            <w:r>
              <w:rPr>
                <w:rFonts w:ascii="Times New Roman" w:hAnsi="Times New Roman"/>
                <w:color w:val="000000"/>
                <w:sz w:val="20"/>
                <w:szCs w:val="20"/>
                <w:lang w:val="en-US"/>
              </w:rPr>
              <w:t>We have also n</w:t>
            </w:r>
            <w:r w:rsidRPr="003F64E9">
              <w:rPr>
                <w:rFonts w:ascii="Times New Roman" w:hAnsi="Times New Roman"/>
                <w:color w:val="000000"/>
                <w:sz w:val="20"/>
                <w:szCs w:val="20"/>
                <w:lang w:val="en-US"/>
              </w:rPr>
              <w:t>oted some</w:t>
            </w:r>
            <w:r>
              <w:rPr>
                <w:rFonts w:ascii="Times New Roman" w:hAnsi="Times New Roman"/>
                <w:color w:val="000000"/>
                <w:sz w:val="20"/>
                <w:szCs w:val="20"/>
                <w:lang w:val="en-US"/>
              </w:rPr>
              <w:t xml:space="preserve"> </w:t>
            </w:r>
            <w:r w:rsidRPr="003F64E9">
              <w:rPr>
                <w:rFonts w:ascii="Times New Roman" w:hAnsi="Times New Roman"/>
                <w:color w:val="000000"/>
                <w:sz w:val="20"/>
                <w:szCs w:val="20"/>
                <w:lang w:val="en-US"/>
              </w:rPr>
              <w:t>rules for the provision of accounting information to interested users. The performance of individual business Executive is reflected in the proposed information system would appear in the form of user interface that would simplify requirements for organization and recordkeeping. The basic drawbacks and complexity of implementation of the activities proposed methods of their elimination or avoidance</w:t>
            </w:r>
          </w:p>
        </w:tc>
      </w:tr>
      <w:tr w:rsidR="001951E6" w:rsidRPr="00E31088" w:rsidTr="005919C9">
        <w:trPr>
          <w:trHeight w:val="719"/>
        </w:trPr>
        <w:tc>
          <w:tcPr>
            <w:tcW w:w="4643" w:type="dxa"/>
          </w:tcPr>
          <w:p w:rsidR="001951E6" w:rsidRPr="003F64E9" w:rsidRDefault="001951E6" w:rsidP="004F0D2C">
            <w:pPr>
              <w:spacing w:after="0" w:line="240" w:lineRule="auto"/>
              <w:rPr>
                <w:rFonts w:ascii="Times New Roman" w:hAnsi="Times New Roman"/>
                <w:sz w:val="20"/>
                <w:szCs w:val="20"/>
              </w:rPr>
            </w:pPr>
            <w:r w:rsidRPr="003F64E9">
              <w:rPr>
                <w:rFonts w:ascii="Times New Roman" w:hAnsi="Times New Roman"/>
                <w:sz w:val="20"/>
                <w:szCs w:val="20"/>
              </w:rPr>
              <w:t>Ключевые слова: КОНТРОЛЬ, УЧЕТ, СВЕДЕНИЯ, ЭКОНОМИЧЕСКИЙ СУБЪЕКТ, НАЛОГОВЫЙ МОНИТОРИНГ, УЧЕТНОЕ ПРОСТРАНСТВО</w:t>
            </w:r>
          </w:p>
        </w:tc>
        <w:tc>
          <w:tcPr>
            <w:tcW w:w="4643" w:type="dxa"/>
          </w:tcPr>
          <w:p w:rsidR="001951E6" w:rsidRPr="003F64E9" w:rsidRDefault="001951E6" w:rsidP="004F0D2C">
            <w:pPr>
              <w:spacing w:after="0" w:line="240" w:lineRule="auto"/>
              <w:rPr>
                <w:rFonts w:ascii="Times New Roman" w:hAnsi="Times New Roman"/>
                <w:sz w:val="20"/>
                <w:szCs w:val="20"/>
                <w:lang w:val="en-US"/>
              </w:rPr>
            </w:pPr>
            <w:r w:rsidRPr="003F64E9">
              <w:rPr>
                <w:rFonts w:ascii="Times New Roman" w:hAnsi="Times New Roman"/>
                <w:sz w:val="20"/>
                <w:szCs w:val="20"/>
                <w:lang w:val="en-US"/>
              </w:rPr>
              <w:t xml:space="preserve">Keywords: </w:t>
            </w:r>
            <w:r w:rsidRPr="003F64E9">
              <w:rPr>
                <w:rFonts w:ascii="Times New Roman" w:hAnsi="Times New Roman"/>
                <w:color w:val="000000"/>
                <w:sz w:val="20"/>
                <w:szCs w:val="20"/>
                <w:lang w:val="en-US"/>
              </w:rPr>
              <w:t>CONTROL, ACCOUNTING, INFORMATION, ECONOMIC ENTITY, TAX MONITORING, ACCOUNT SPACE</w:t>
            </w:r>
          </w:p>
        </w:tc>
      </w:tr>
    </w:tbl>
    <w:p w:rsidR="001951E6" w:rsidRPr="00E31088" w:rsidRDefault="001951E6" w:rsidP="00184A27">
      <w:pPr>
        <w:autoSpaceDE w:val="0"/>
        <w:autoSpaceDN w:val="0"/>
        <w:adjustRightInd w:val="0"/>
        <w:spacing w:after="0" w:line="360" w:lineRule="auto"/>
        <w:ind w:firstLine="709"/>
        <w:jc w:val="both"/>
        <w:rPr>
          <w:rFonts w:ascii="Times New Roman" w:hAnsi="Times New Roman"/>
          <w:sz w:val="28"/>
          <w:szCs w:val="28"/>
          <w:lang w:val="en-US"/>
        </w:rPr>
      </w:pPr>
    </w:p>
    <w:p w:rsidR="001951E6" w:rsidRDefault="001951E6" w:rsidP="00184A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Современное учетное пространство характеризуется наличием устойчивой зависимости хозяйствующих субъектов в ходе отражения в учете объектов бухгалтерского и налогового учета и в целях пользования установленными правами и возможностями в области налогообложения и отчетности. Такая зависимость позволяет государству добиваться реализации запланированных мероприятий по мониторингу и контролю фактов хозяйственной жизни, обеспечивать реализацию установленных организационных мероприятий. Взаимный интерес участников экономических отношений и потребность в сторонних учетных сведениях необходимы так же в целях регулирования экономики. В тоже время зависимость действия одного лица от аналогичных (соответствующих) или иных определенных действий другого, от качества исполнения другим лицом требований нормативно-правовых актив, видится как некое препятствие в ходе осуществления прав и свобод субъекта на территории государства. В этой связи возникает необходимость в исследовании данного вопроса с целью установления оптимального соотношения прав, обязанностей, механизмов взаимного обеспечения потребностей в учетных сведениях при осуществлении экономических отношений. </w:t>
      </w:r>
    </w:p>
    <w:p w:rsidR="001951E6" w:rsidRDefault="001951E6" w:rsidP="00967022">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Указанная зависимость субъектов проявляется, в первую очередь, в налогообложении, где требуется постоянный контроль за обоснованностью применения прав на налоговые вычеты или расходы. Так, в соответствии со статьей 171 НК РФ вычетам подлежат суммы налога, предъявленные налогоплательщику при приобретении товаров (работ, услуг), а также имущественных прав на территории Российской Федерации либо уплаченные налогоплательщиком при ввозе товаров на территорию Российской Федерации и иные территории, находящиеся под ее юрисдикцией, в таможенных процедурах выпуска для внутреннего потребления, переработки для внутреннего потребления, временного ввоза и переработки вне таможенной территории либо при ввозе товаров, перемещаемых через границу Российской Федерации без таможенного оформления. При этом документом, служащим основанием для принятия покупателем предъявленных продавцом товаров (работ, услуг), имущественных прав (включая комиссионера, агента, которые осуществляют реализацию товаров (работ, услуг), имущественных прав от своего имени) сумм налога к вычету в порядке, предусмотренном главой 21 НК РФ, является счет-фактура, выставленный продавцом, т.е. контрагентом </w:t>
      </w:r>
      <w:r w:rsidRPr="00450FAD">
        <w:rPr>
          <w:rFonts w:ascii="Times New Roman" w:hAnsi="Times New Roman"/>
          <w:sz w:val="28"/>
          <w:szCs w:val="28"/>
        </w:rPr>
        <w:t>[</w:t>
      </w:r>
      <w:r>
        <w:rPr>
          <w:rFonts w:ascii="Times New Roman" w:hAnsi="Times New Roman"/>
          <w:sz w:val="28"/>
          <w:szCs w:val="28"/>
        </w:rPr>
        <w:t>2</w:t>
      </w:r>
      <w:r w:rsidRPr="00450FAD">
        <w:rPr>
          <w:rFonts w:ascii="Times New Roman" w:hAnsi="Times New Roman"/>
          <w:sz w:val="28"/>
          <w:szCs w:val="28"/>
        </w:rPr>
        <w:t>]</w:t>
      </w:r>
      <w:r>
        <w:rPr>
          <w:rFonts w:ascii="Times New Roman" w:hAnsi="Times New Roman"/>
          <w:sz w:val="28"/>
          <w:szCs w:val="28"/>
        </w:rPr>
        <w:t>.</w:t>
      </w:r>
    </w:p>
    <w:p w:rsidR="001951E6" w:rsidRDefault="001951E6" w:rsidP="0002523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Указанный счет-фактура подлежит передачи покупателю в установленный ст. 168 НК РФ срок. При этом наличие трудностей, связанных с такой передачей не может служить оправданием нарушений требований закона при обосновании реальной налоговой выгоды налогоплательщиком – покупателем. В это связи следует упомянуть Постановление Пленума Арбитражного суда Российской Федерации от 12.10.2006 № 53, установившего условие признания необоснованной налоговой выгоды при формировании налогового обязательства по налогу на прибыль организаций. Так, Пленумом определено, что установление судом наличия разумных экономических или иных причин (деловой цели) в действиях налогоплательщика осуществляется с учетом оценки обстоятельств, свидетельствующих о его намерениях получить экономический эффект в результате реальной предпринимательской или иной экономической деятельности, налоговая выгода не может быть признана обоснованной, если получена налогоплательщиком вне связи с осуществлением реальной предпринимательской или иной экономической деятельности. Правоприменительная практика исходя из указанных положений сводит к тому, что при оценке обстоятельств получения налогоплательщиком налоговой выгоды вне зависимости от формального оформления сделки, качества и характера документального оформления затрат и в целом фактов хозяйственной жизни экономического субъекта, необходимо учитывать реальность их осуществления, а именно несение затрат, фактов тех или иных хозяйственных событий. И в данной связи неминуемо подтверждение связи с контрагентами, встречные сведения которых способны стать доказательством подверженных сомнению фактов и обоснованием налоговой выгоды. </w:t>
      </w:r>
    </w:p>
    <w:p w:rsidR="001951E6" w:rsidRDefault="001951E6" w:rsidP="0002523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Законодатель стремится обеспечить свободу осуществления экономической деятельности, где каждый участник независим от кого бы то ни было, в то же время реальная практика указывает на объективную необходимость взаимодействия контрагентов в части обмена учетными сведениями и документами в период и после осуществления хозяйственных связей. В этой связи видится необходимым наличие автономной, независимой от участников – лиц непосредственно осуществляющих хозяйственные связи, системы регистрации, накопления, обобщения и представления учетных сведений, необходимых для обоснования экономических выгод, реализации процедур контроля. Так, к примеру, применение все того же налогового вычета по налогу на добавленную стоимость в случае ввоза товара на таможенную территорию Российской Федерации, не поставлено в зависимость от операций продажи этого товара, т.е. установление реальной хозяйственной связи с контрагентами. Это влечет злоупотребления путем неправомерного возмещения налога из бюджета при использовании аффилированных лиц, применяющих специальный налоговый режим, прежде всего, в виде единого налога на вмененный доход, не требующей подтверждения расходов индивидуальным предпринимателем. В данном случае предлагаемая система учета и контроля способна обеспечить прозрачность осуществления деятельности и обоснование налоговой выгоды. </w:t>
      </w:r>
    </w:p>
    <w:p w:rsidR="001951E6" w:rsidRDefault="001951E6" w:rsidP="0002523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Если речь идет о несоблюдении должной осмотрительности при выборе контрагента или прямой его заинтересованности в нанесении вреда и устранении конкуренции. Такие факты оказывают строго негативное влияние на развитие и функционирование экономики. Вышеупомянутое постановление Пленума Высшего арбитражного суда призвано защитить право налогоплательщика – хозяйственника на получение налоговой выгоды, путем введения необходимости проверки и доказывания реальности фактов хозяйственной жизни и подлинного экономического содержания соответствующих операций.</w:t>
      </w:r>
    </w:p>
    <w:p w:rsidR="001951E6" w:rsidRDefault="001951E6" w:rsidP="0002523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Требование, предъявленное контрагенту, о предоставлении необходимых документов, отражающих факт и содержание экономической операции, является законным, исходит из положений гражданского законодательства, относящихся к регулированию хозяйственной деятельности, правили практики делового оборота, и, соответственно, обязательно к исполнению. Однако, фактически ввиду различных причин, как то элементарная неграмотность, нерасторопность, технические сложности, нежелании исполнить обязательства качественно и в полном объеме, или даже умышленное препятствование, возникают сложности в получении необходимых документов, оказании услуг и исполнении обязательств (договоренностей) должным образом. Актуальность данного вопроса возросла в связи с внесением изменений в уголовно-процессуальный кодекс Российской Федерации, устанавливающих, что поводом для возбуждения уголовного дела по налоговым преступлениям может стать кроме материалов налоговой проверки, проведенной налоговым органом, заявление гражданина или сообщение любой организации (Федеральный закон от 22.10.2014 № 308-ФЗ). Следовательно, расширены причины необходимости осуществления проверочных мероприятий со стороны контролирующих и правоохранительных органов, что усложняет работу проверяемых экономических субъектов </w:t>
      </w:r>
      <w:r w:rsidRPr="002A2215">
        <w:rPr>
          <w:rFonts w:ascii="Times New Roman" w:hAnsi="Times New Roman"/>
          <w:sz w:val="28"/>
          <w:szCs w:val="28"/>
        </w:rPr>
        <w:t>[</w:t>
      </w:r>
      <w:r>
        <w:rPr>
          <w:rFonts w:ascii="Times New Roman" w:hAnsi="Times New Roman"/>
          <w:sz w:val="28"/>
          <w:szCs w:val="28"/>
        </w:rPr>
        <w:t>4</w:t>
      </w:r>
      <w:r w:rsidRPr="002A2215">
        <w:rPr>
          <w:rFonts w:ascii="Times New Roman" w:hAnsi="Times New Roman"/>
          <w:sz w:val="28"/>
          <w:szCs w:val="28"/>
        </w:rPr>
        <w:t>]</w:t>
      </w:r>
      <w:r>
        <w:rPr>
          <w:rFonts w:ascii="Times New Roman" w:hAnsi="Times New Roman"/>
          <w:sz w:val="28"/>
          <w:szCs w:val="28"/>
        </w:rPr>
        <w:t xml:space="preserve">. </w:t>
      </w:r>
    </w:p>
    <w:p w:rsidR="001951E6" w:rsidRDefault="001951E6" w:rsidP="0002523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Это обстоятельство существенно замедляет развитие экономических отношений и, следовательно, процессов глобализации учетных систем, интеграции экономических элементов в единое пространство учета. Согласно постулатам свободного рынка выходом из ситуации является отказ от работы с данным контрагентом и поиск нового. Однако,это влечет отвлечение времени и других ресурсов, и сопряжено с массой обстоятельств, определенных спецификой экономических и административных отношений в конкретном административно-территориальном образовании и экономической территориальной зоне. Зачастую степень развития хозяйственных связей, данной отрасли, конкуренции, не позволяют реализовать все возможные мероприятия в целях проявления осмотрительности в выборе контрагента. Поэтому и требование, зачастую обвинение в этом, являются не обоснованными. </w:t>
      </w:r>
    </w:p>
    <w:p w:rsidR="001951E6" w:rsidRDefault="001951E6" w:rsidP="0002523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Необходима служба, позволяющая оценивать степень развития рынка, в частности таких показателей, как уровень и чистота конкурентной борьбы, набор инструментов осуществления финансово-хозяйственных взаимоотношений. Хозяйствующей среде необходимы сведения, сформированные по принципам объективности и всесторонности оценки сложившейся ситуации и конъюнктуры рассматриваемых обстоятельств. Они призваны стимулировать развитие бизнеса, вовлечение новых участников в единое экономическое пространство. С другой стороны, существующие проблемы должны, призваны обеспечить развитие механизмов осуществления финансово-хозяйственных взаимоотношений и показателей рынка до приемлемого уровня с учетом сложившейся практики. Однако для этого необходимы активные участники и активные действия. Заставить же сегодня работать быстрее и лучше, а главное больше и качественнее – весьма сложная задача и требует, по нашему мнению, дополнительных стимулов в виде мероприятий экономической заинтересованности. Здесь возникает проблема стабильности нормативно-правовой и экономической конъюнктуры, безопасности потенциальных участников. </w:t>
      </w:r>
    </w:p>
    <w:p w:rsidR="001951E6" w:rsidRDefault="001951E6" w:rsidP="005B60FC">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Предлагаемая централизация процесса накопления учетных сведений не лишена недостатков. Это административные и технические упущения, влияющие на качество управления такими сведениями и администрирование, в том числе техническое, соответствующей базы данных, проблемы в обеспечении сохранности сведений, оперативность их предоставления, учет специфики внешней и внутренней конъюнктуры и другие. Нельзя не признавать пределы возможностей отдельных регуляторов и иных участников. Сосредоточение политики регулирования в одних руках приводит к снижению эффективности деятельности такого участника. Формируемое таким образом единое учетное экономическое пространство должно иметь правовые основы своего существования и функционирования его членов, приемами воздействия государства на их деятельность, механизмы контроля и регулирования. </w:t>
      </w:r>
    </w:p>
    <w:p w:rsidR="001951E6" w:rsidRDefault="001951E6" w:rsidP="005B60FC">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Возникает масса проблем и требований к участникам и характеристикам функционирования единого учетного экономического пространства. Выражаются они в системных упущениях и требуют последовательного разрешения. Может быть общество не готово и требует естественного развития, сопряженного с необходимым для этого количеством времени? Качество инфраструктуры, образования, воспитание сознательности, ответственности, чувства патриотизма, эффективность работы государственного механизма – вот основные постулаты развития экономики. Необходимы так же профессиональные лидеры, способные показать пример.</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Единое учетное экономическое пространство должно представлять собой сферу взаимодействия участников. Каждый из них должен обеспечить наполнение пространства учетными сведениями, отражающими его финансово-хозяйственную деятельность. По мере необходимости участник получает необходимые сведения и обобщенные данные в установленном порядке. Задачей коммерсанта становится только осуществление той самой экономической деятельности, а ее контроль, регулирование, использование в обоснование его хозяйственной, экономической выгоды становятся задачами учетного экономического пространства в лице органов, уполномоченных в его администрировании (рисунок 1).</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По нашему мнению нововведения, связанные с представлением новой формы налоговой декларации по НДС с 01.01.2015, утверждённой приказом ФНС России от 29.10.2014 № ММВ-7-3/558</w:t>
      </w:r>
      <w:r w:rsidRPr="00B618E1">
        <w:rPr>
          <w:rFonts w:ascii="Times New Roman" w:hAnsi="Times New Roman"/>
          <w:sz w:val="28"/>
          <w:szCs w:val="28"/>
        </w:rPr>
        <w:t>@</w:t>
      </w:r>
      <w:r>
        <w:rPr>
          <w:rFonts w:ascii="Times New Roman" w:hAnsi="Times New Roman"/>
          <w:sz w:val="28"/>
          <w:szCs w:val="28"/>
        </w:rPr>
        <w:t xml:space="preserve">соответствуют потребностям организации эффективного взаимодействия участников хозяйственной жизни. Форма декларации требует отражения в ней сведений о покупателях и поставщиках товаров (работ, услуг) для целей исчисления НДС. Форма декларации по физическому объему весьма громоздка, что обусловило необходимость ее представления исключительно в электронном виде с применением средств и инструментов защиты и передачи информации по телекоммуникационным каналам связи. Налоговый орган в процессе обработки сведений, представленной налогоплательщиком в налоговой декларации стремится к сверке со сведениями, полученных от соответствующих контрагентов. </w:t>
      </w:r>
    </w:p>
    <w:p w:rsidR="001951E6" w:rsidRPr="00B618E1" w:rsidRDefault="001951E6" w:rsidP="00617220">
      <w:pPr>
        <w:autoSpaceDE w:val="0"/>
        <w:autoSpaceDN w:val="0"/>
        <w:adjustRightInd w:val="0"/>
        <w:spacing w:after="0" w:line="360" w:lineRule="auto"/>
        <w:ind w:firstLine="709"/>
        <w:jc w:val="both"/>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7.2pt;height:402pt;visibility:visible">
            <v:imagedata r:id="rId7" o:title=""/>
          </v:shape>
        </w:pict>
      </w:r>
    </w:p>
    <w:p w:rsidR="001951E6" w:rsidRDefault="001951E6" w:rsidP="000F714C">
      <w:pPr>
        <w:autoSpaceDE w:val="0"/>
        <w:autoSpaceDN w:val="0"/>
        <w:adjustRightInd w:val="0"/>
        <w:spacing w:after="0" w:line="360" w:lineRule="auto"/>
        <w:ind w:firstLine="709"/>
        <w:jc w:val="center"/>
        <w:rPr>
          <w:rFonts w:ascii="Times New Roman" w:hAnsi="Times New Roman"/>
          <w:sz w:val="28"/>
          <w:szCs w:val="28"/>
        </w:rPr>
      </w:pPr>
      <w:r>
        <w:rPr>
          <w:rFonts w:ascii="Times New Roman" w:hAnsi="Times New Roman"/>
          <w:sz w:val="28"/>
          <w:szCs w:val="28"/>
        </w:rPr>
        <w:t>Рисунок 1 – Схема отношений участников единого учетного экономического пространства</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p>
    <w:p w:rsidR="001951E6" w:rsidRDefault="001951E6" w:rsidP="00F9430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Если данные не совпадают, или обнаружены сведения, свидетельствующие о необоснованном применении налоговых вычетов или ином нарушении правил исчисления налога, то в отношении представленной налоговой декларации готовится акт камеральной проверки. Предварительно налоговый орган требует пояснения представленных в декларации сведений путем направления требования о предоставлении документов или пояснений, о вызове в налоговый орган, причем все по телекоммуникационным каналам связи. По новым правилам налогоплательщики обязаны в электронной форме отправить инспекции по телекоммуникационным каналам связи квитанцию о приеме указанных документов в течение шести рабочих дней со дня их отправки налоговым органом. Такой порядок требует организации соответствующего канала обмена информацией и введения ответственности за несоблюдение правил. В этой связи, к примеру, введена ответственность за не уведомление налогового органа за не подтверждение факта получения требования в электронном виде в течение шести дней. При этом ответственность на наш взгляд весьма суровая и касается приостановления операций по счетам налогоплательщика в банке и переводов электронных денежных средств.</w:t>
      </w:r>
    </w:p>
    <w:p w:rsidR="001951E6" w:rsidRDefault="001951E6" w:rsidP="00F9430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На практике возникает сложность в формировании идентичных сведений о сделках налогоплательщика НДС со сведениями контрагента в целях избегания притязаний со стороны налогового органа. Получили распространение программные продукты, обеспечивающие эффективный обмен данными, в том числе документами с использованием средств защиты информации. Однако такие программные продукты зачастую не согласованы друг с другом и если взаимодействующие лица применяют различные продукты или же кто-то из них не пользуется подобной услугой, то риск возникновения разночтений весьма велик. Несогласованность сведений обусловлена техническими ошибками при переносе сведений документа в программу, используемую для целей ведения учета и отчетности, несвоевременное внесений изменений и корректировок учетных сведений, использование различных форматов представления данных или же их допустимые формы интерпретации. Контролировать и обрабатывать сведения, содержащие несогласованность данных становится сложной трудоемкой задачей, пусть даже с применением средств автоматизации.</w:t>
      </w:r>
    </w:p>
    <w:p w:rsidR="001951E6" w:rsidRDefault="001951E6" w:rsidP="00F9430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 этой связи необходимость развития учетного пространства, позволяющего обеспечить функционирование единой автоматизированной учетной базы данных, где контрагенты представлены участниками – учетными единицами, становится все более актуальной. Отражение вышеуказанных сведений, необходимых для исчисления НДС в предлагаемой системе будет осуществляться путем занесения данных в пользовательский учетный комплекс, подключенный к указанной базе учетного пространства и содержащий данные о контрагенте. Выбор сведений из заведенного общего для всех участников экономических отношений справочника, позволят избежать проблем при ведении учета и формировании отчетности, содержащей сведения, требующей их согласованности с общедоступными сведениями и сведениями контрагента, в том числе, возможно и прежде всего в целях налогообложения и отчетности.</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По нашему мнению, развитие единого учетного экономического пространства призвано и способно стимулировать развитие экономики, оживит конкуренцию и применение финансовых инструментов, обеспечит эффективную реализацию интересов участников экономических отношений, поиск резервов роста финансовых результатов.</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Мониторинг финансово-экономического взаимодействия со стороны органов экономического администрирования позволит выявить резервы роста производительности труда, оптимальные схемы продвижения товара, сырья от производителя к конечному потребителю, оперативно выявлять сбои и недостатки в работе экономических субъектов (рисунок 2).</w:t>
      </w:r>
    </w:p>
    <w:p w:rsidR="001951E6" w:rsidRDefault="001951E6" w:rsidP="004E54F8">
      <w:pPr>
        <w:autoSpaceDE w:val="0"/>
        <w:autoSpaceDN w:val="0"/>
        <w:adjustRightInd w:val="0"/>
        <w:spacing w:after="0" w:line="360" w:lineRule="auto"/>
        <w:jc w:val="both"/>
        <w:rPr>
          <w:rFonts w:ascii="Times New Roman" w:hAnsi="Times New Roman"/>
          <w:sz w:val="28"/>
          <w:szCs w:val="28"/>
        </w:rPr>
      </w:pPr>
      <w:r>
        <w:rPr>
          <w:noProof/>
          <w:lang w:eastAsia="ru-RU"/>
        </w:rPr>
        <w:pict>
          <v:shape id="Рисунок 2" o:spid="_x0000_i1026" type="#_x0000_t75" style="width:471pt;height:322.8pt;visibility:visible">
            <v:imagedata r:id="rId8" o:title=""/>
          </v:shape>
        </w:pic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p>
    <w:p w:rsidR="001951E6" w:rsidRDefault="001951E6" w:rsidP="00AE790A">
      <w:pPr>
        <w:autoSpaceDE w:val="0"/>
        <w:autoSpaceDN w:val="0"/>
        <w:adjustRightInd w:val="0"/>
        <w:spacing w:after="0" w:line="360" w:lineRule="auto"/>
        <w:ind w:firstLine="709"/>
        <w:jc w:val="center"/>
        <w:rPr>
          <w:rFonts w:ascii="Times New Roman" w:hAnsi="Times New Roman"/>
          <w:sz w:val="28"/>
          <w:szCs w:val="28"/>
        </w:rPr>
      </w:pPr>
      <w:r>
        <w:rPr>
          <w:rFonts w:ascii="Times New Roman" w:hAnsi="Times New Roman"/>
          <w:sz w:val="28"/>
          <w:szCs w:val="28"/>
        </w:rPr>
        <w:t>Рисунок  2 – Схема мониторинга финансово-экономического взаимодействия органами экономического администрирования в условиях единого учетного экономического пространства</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Указанная схема позволяет выявлять эффективные логистические схемы, причины возникновения просроченных задолженностей, иных сбоев в работе экономических субъектов, определять направления государственной поддержки и контролировать их результаты. Для этих целей обслуживаемая компетентным государственным органом, уполномоченным в сфере экономики и финансов, территория представляется картой, на которой расположены экономические субъекты и отображены в зависимости от потребности данные о направлениях движения продукции, товаров, финансовых ресурсов, субсидий, отражены результаты деятельности, остатки финансовых и материальных ресурсов в заданной конфигурации отчетных данных, схема взаимозависимости субъектов. Безусловно, что ряд схем должны быть защищены как составляющие государственную тайну. </w:t>
      </w:r>
    </w:p>
    <w:p w:rsidR="001951E6" w:rsidRDefault="001951E6" w:rsidP="000D650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Оперативное пользование такими учетными данными избавит от необходимости предоставления пояснений экономическим субъектом в случае получения убытков или снижения темпов роста контролируемых показателей. Более отпадет необходимость проведения массы иных мероприятий контроля, затрагивающие интересы ряда лиц. К примеру станут неактуальными требования в представлении необходимых сведений налогоплательщиком в ходе камеральной проверки его налоговой декларации в предусмотренных сегодня случаях обнаружения несоответствия сведений об операциях, которые содержатся в декларации, представленной налогоплательщиком, сведениям об указанных операциях, которые отражены в декларации, представленной в налоговый орган другим налогоплательщиком или иным лицом, обязанным представлять такие декларации. Неактуальными станут в этой связи с массовые положения об ответственности за не направление в установленный срок соответствующих сведений и документов, подтверждающих факт приемки запроса.</w:t>
      </w:r>
    </w:p>
    <w:p w:rsidR="001951E6" w:rsidRDefault="001951E6" w:rsidP="008076A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Уже сегодня существует личный кабинет налогоплательщика. Согласно </w:t>
      </w:r>
      <w:hyperlink r:id="rId9" w:history="1">
        <w:r w:rsidRPr="00216B38">
          <w:rPr>
            <w:rFonts w:ascii="Times New Roman" w:hAnsi="Times New Roman"/>
            <w:sz w:val="28"/>
            <w:szCs w:val="28"/>
          </w:rPr>
          <w:t>п. 1 ст. 11.2</w:t>
        </w:r>
      </w:hyperlink>
      <w:r>
        <w:rPr>
          <w:rFonts w:ascii="Times New Roman" w:hAnsi="Times New Roman"/>
          <w:sz w:val="28"/>
          <w:szCs w:val="28"/>
        </w:rPr>
        <w:t xml:space="preserve"> НК РФ им признается информационный ресурс, размещенный на официальном сайте ФНС России. В Налоговом кодексе РФ предусмотрены случаи, когда данный ресурс используется для реализации налогоплательщиком и инспекцией своих прав и обязанностей, и в том числе организована возможность передачи в налоговый орган сведений, акта совместной сверки и др. </w:t>
      </w:r>
      <w:hyperlink r:id="rId10" w:history="1">
        <w:r>
          <w:rPr>
            <w:rFonts w:ascii="Times New Roman" w:hAnsi="Times New Roman"/>
            <w:sz w:val="28"/>
            <w:szCs w:val="28"/>
          </w:rPr>
          <w:t>Пунктом</w:t>
        </w:r>
        <w:r w:rsidRPr="008076A1">
          <w:rPr>
            <w:rFonts w:ascii="Times New Roman" w:hAnsi="Times New Roman"/>
            <w:sz w:val="28"/>
            <w:szCs w:val="28"/>
          </w:rPr>
          <w:t xml:space="preserve"> 2 ст. 11.2</w:t>
        </w:r>
      </w:hyperlink>
      <w:r>
        <w:rPr>
          <w:rFonts w:ascii="Times New Roman" w:hAnsi="Times New Roman"/>
          <w:sz w:val="28"/>
          <w:szCs w:val="28"/>
        </w:rPr>
        <w:t xml:space="preserve"> НК РФ установлено, что физические лица при передаче документов в инспекцию вправе использовать усиленную неквалифицированную электронную подпись. Такие документы признаются равнозначными составленным на бумажном носителе и подписанным собственноручно. Однако, это положение не распространяется на предпринимателей, адвокатов, нотариусов и иных лиц, занимающихся частной практикой</w:t>
      </w:r>
      <w:r w:rsidRPr="00AB5AD5">
        <w:rPr>
          <w:rFonts w:ascii="Times New Roman" w:hAnsi="Times New Roman"/>
          <w:sz w:val="28"/>
          <w:szCs w:val="28"/>
        </w:rPr>
        <w:t>[</w:t>
      </w:r>
      <w:r>
        <w:rPr>
          <w:rFonts w:ascii="Times New Roman" w:hAnsi="Times New Roman"/>
          <w:sz w:val="28"/>
          <w:szCs w:val="28"/>
        </w:rPr>
        <w:t>2</w:t>
      </w:r>
      <w:r w:rsidRPr="00AB5AD5">
        <w:rPr>
          <w:rFonts w:ascii="Times New Roman" w:hAnsi="Times New Roman"/>
          <w:sz w:val="28"/>
          <w:szCs w:val="28"/>
        </w:rPr>
        <w:t>]</w:t>
      </w:r>
      <w:r>
        <w:rPr>
          <w:rFonts w:ascii="Times New Roman" w:hAnsi="Times New Roman"/>
          <w:sz w:val="28"/>
          <w:szCs w:val="28"/>
        </w:rPr>
        <w:t>. При передаче документов через личный кабинет данным налогоплательщикам, вероятно, необходимо использовать усиленную квалифицированную подпись, также как и при передаче документов по телекоммуникационным каналам связи.</w:t>
      </w:r>
    </w:p>
    <w:p w:rsidR="001951E6" w:rsidRDefault="001951E6" w:rsidP="00E0382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Нельзя не отметить введение с 1 января 2015 года новой формы налогового контроля – налогового мониторинга. Предметом налогового мониторинга является правильность исчисления, полнота и своевременность уплаты (перечисления) налогов и сборов, обязанность по уплате (перечислению) которых возложена на организацию, являющуюся налогоплательщиком, плательщиком сбора или налоговым агентом (</w:t>
      </w:r>
      <w:hyperlink r:id="rId11" w:history="1">
        <w:r w:rsidRPr="00E0382F">
          <w:rPr>
            <w:rFonts w:ascii="Times New Roman" w:hAnsi="Times New Roman"/>
            <w:sz w:val="28"/>
            <w:szCs w:val="28"/>
          </w:rPr>
          <w:t>п. 1 ст. 105.26</w:t>
        </w:r>
      </w:hyperlink>
      <w:r>
        <w:rPr>
          <w:rFonts w:ascii="Times New Roman" w:hAnsi="Times New Roman"/>
          <w:sz w:val="28"/>
          <w:szCs w:val="28"/>
        </w:rPr>
        <w:t xml:space="preserve"> НК РФ). По общему правилу за период, за который проводится налоговый мониторинг, инспекция не вправе проводить выездные и камеральные проверки (</w:t>
      </w:r>
      <w:hyperlink r:id="rId12" w:history="1">
        <w:r w:rsidRPr="00E0382F">
          <w:rPr>
            <w:rFonts w:ascii="Times New Roman" w:hAnsi="Times New Roman"/>
            <w:sz w:val="28"/>
            <w:szCs w:val="28"/>
          </w:rPr>
          <w:t>п. 1.1 ст. 88</w:t>
        </w:r>
      </w:hyperlink>
      <w:r>
        <w:rPr>
          <w:rFonts w:ascii="Times New Roman" w:hAnsi="Times New Roman"/>
          <w:sz w:val="28"/>
          <w:szCs w:val="28"/>
        </w:rPr>
        <w:t xml:space="preserve">, </w:t>
      </w:r>
      <w:hyperlink r:id="rId13" w:history="1">
        <w:r w:rsidRPr="00E0382F">
          <w:rPr>
            <w:rFonts w:ascii="Times New Roman" w:hAnsi="Times New Roman"/>
            <w:sz w:val="28"/>
            <w:szCs w:val="28"/>
          </w:rPr>
          <w:t>п. 5.1 ст. 89</w:t>
        </w:r>
      </w:hyperlink>
      <w:r>
        <w:rPr>
          <w:rFonts w:ascii="Times New Roman" w:hAnsi="Times New Roman"/>
          <w:sz w:val="28"/>
          <w:szCs w:val="28"/>
        </w:rPr>
        <w:t xml:space="preserve"> НК РФ). Из этого правила предусмотрен ряд исключений.</w:t>
      </w:r>
    </w:p>
    <w:p w:rsidR="001951E6" w:rsidRDefault="001951E6" w:rsidP="00B7082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Сегодня к условиям проведения налогового мониторинга относят:</w:t>
      </w:r>
    </w:p>
    <w:p w:rsidR="001951E6" w:rsidRDefault="001951E6" w:rsidP="00B7082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совокупная сумма НДС, акцизов, налога на прибыль и налога на добычу полезных ископаемых, подлежащих перечислению в бюджетную систему РФ за календарный год, предшествующий году, в котором представляется заявление, без учета налогов, которые должны быть уплачены в связи с перемещением товаров через таможенную границу Таможенного союза, составляет не менее 300 млн руб.;</w:t>
      </w:r>
    </w:p>
    <w:p w:rsidR="001951E6" w:rsidRDefault="001951E6" w:rsidP="00B7082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суммарный объем полученных доходов по данным годовой бухгалтерской (финансовой) отчетности организации за календарный год, предшествующий году, в котором представляется заявление, составляет не менее 3 млрд руб.;</w:t>
      </w:r>
    </w:p>
    <w:p w:rsidR="001951E6" w:rsidRPr="00DA3178" w:rsidRDefault="001951E6" w:rsidP="00B7082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совокупная стоимость активов по данным бухгалтерской (финансовой) отчетности организации на 31 декабря календарного года, предшествующего году, в котором представляется заявление, составляет не менее 3 млрд руб.</w:t>
      </w:r>
      <w:r w:rsidRPr="00166317">
        <w:rPr>
          <w:rFonts w:ascii="Times New Roman" w:hAnsi="Times New Roman"/>
          <w:sz w:val="28"/>
          <w:szCs w:val="28"/>
        </w:rPr>
        <w:t>[</w:t>
      </w:r>
      <w:r>
        <w:rPr>
          <w:rFonts w:ascii="Times New Roman" w:hAnsi="Times New Roman"/>
          <w:sz w:val="28"/>
          <w:szCs w:val="28"/>
        </w:rPr>
        <w:t>2</w:t>
      </w:r>
      <w:r w:rsidRPr="00166317">
        <w:rPr>
          <w:rFonts w:ascii="Times New Roman" w:hAnsi="Times New Roman"/>
          <w:sz w:val="28"/>
          <w:szCs w:val="28"/>
        </w:rPr>
        <w:t>]</w:t>
      </w:r>
    </w:p>
    <w:p w:rsidR="001951E6" w:rsidRDefault="001951E6" w:rsidP="00B7082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видим условия определяют участие в налоговом мониторинге только крупных хозяйственников, и фактические подразумевает некое внешнее наблюдение, оперативный контроль за правильностью исчисления налогов. Но при этом не отражает суть глобализации учетно-экономических отношений, предполагающей участие всех хозяйственников в обеспечении экономических и иных интересов каждого в отдельность за счет объединенных сведений. </w:t>
      </w:r>
    </w:p>
    <w:p w:rsidR="001951E6" w:rsidRDefault="001951E6" w:rsidP="00C2180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 если при проведении налогового мониторинга налоговый орган установил факт, свидетельствующий о неправильном исчислении (удержании), неполной или несвоевременной уплате (перечислении) организацией налогов и сборов, налоговый орган составляет мотивированное мнение, которое отражает его позицию и является документом, обязательным к исполнению контролируемым лицом (</w:t>
      </w:r>
      <w:hyperlink r:id="rId14" w:history="1">
        <w:r w:rsidRPr="00C2180F">
          <w:rPr>
            <w:rFonts w:ascii="Times New Roman" w:hAnsi="Times New Roman"/>
            <w:sz w:val="28"/>
            <w:szCs w:val="28"/>
          </w:rPr>
          <w:t>п. п. 1</w:t>
        </w:r>
      </w:hyperlink>
      <w:r>
        <w:rPr>
          <w:rFonts w:ascii="Times New Roman" w:hAnsi="Times New Roman"/>
          <w:sz w:val="28"/>
          <w:szCs w:val="28"/>
        </w:rPr>
        <w:t xml:space="preserve">, </w:t>
      </w:r>
      <w:hyperlink r:id="rId15" w:history="1">
        <w:r w:rsidRPr="00C2180F">
          <w:rPr>
            <w:rFonts w:ascii="Times New Roman" w:hAnsi="Times New Roman"/>
            <w:sz w:val="28"/>
            <w:szCs w:val="28"/>
          </w:rPr>
          <w:t>3</w:t>
        </w:r>
      </w:hyperlink>
      <w:r>
        <w:rPr>
          <w:rFonts w:ascii="Times New Roman" w:hAnsi="Times New Roman"/>
          <w:sz w:val="28"/>
          <w:szCs w:val="28"/>
        </w:rPr>
        <w:t xml:space="preserve"> и </w:t>
      </w:r>
      <w:hyperlink r:id="rId16" w:history="1">
        <w:r w:rsidRPr="00C2180F">
          <w:rPr>
            <w:rFonts w:ascii="Times New Roman" w:hAnsi="Times New Roman"/>
            <w:sz w:val="28"/>
            <w:szCs w:val="28"/>
          </w:rPr>
          <w:t>7 ст. 105.30</w:t>
        </w:r>
      </w:hyperlink>
      <w:r>
        <w:rPr>
          <w:rFonts w:ascii="Times New Roman" w:hAnsi="Times New Roman"/>
          <w:sz w:val="28"/>
          <w:szCs w:val="28"/>
        </w:rPr>
        <w:t xml:space="preserve"> НК РФ).Форму и требования к составлению мотивированного мнения устанавливает ФНС России). Данный документ должен быть направлен организации в течение пяти дней со дня его составления. Он может быть составлен не позднее чем за три месяца до окончания срока проведения налогового мониторинга (</w:t>
      </w:r>
      <w:hyperlink r:id="rId17" w:history="1">
        <w:r w:rsidRPr="00C2180F">
          <w:rPr>
            <w:rFonts w:ascii="Times New Roman" w:hAnsi="Times New Roman"/>
            <w:sz w:val="28"/>
            <w:szCs w:val="28"/>
          </w:rPr>
          <w:t>п. 3 ст. 105.30</w:t>
        </w:r>
      </w:hyperlink>
      <w:r>
        <w:rPr>
          <w:rFonts w:ascii="Times New Roman" w:hAnsi="Times New Roman"/>
          <w:sz w:val="28"/>
          <w:szCs w:val="28"/>
        </w:rPr>
        <w:t xml:space="preserve"> НК РФ). При этом проведение его оканчивается 1 октября года, следующего за периодом, за который проводился мониторинг (</w:t>
      </w:r>
      <w:hyperlink r:id="rId18" w:history="1">
        <w:r w:rsidRPr="00C2180F">
          <w:rPr>
            <w:rFonts w:ascii="Times New Roman" w:hAnsi="Times New Roman"/>
            <w:sz w:val="28"/>
            <w:szCs w:val="28"/>
          </w:rPr>
          <w:t>п. 5 ст. 105.26</w:t>
        </w:r>
      </w:hyperlink>
      <w:r>
        <w:rPr>
          <w:rFonts w:ascii="Times New Roman" w:hAnsi="Times New Roman"/>
          <w:sz w:val="28"/>
          <w:szCs w:val="28"/>
        </w:rPr>
        <w:t xml:space="preserve"> НК РФ).</w:t>
      </w:r>
    </w:p>
    <w:p w:rsidR="001951E6" w:rsidRDefault="001951E6" w:rsidP="002D2C73">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Для хозяйственника преимуществом применения налогового мониторинга является положение о том, что на недоимку, образовавшуюся как в результате выполнения организацией мотивированного мнения налогового органа, так и при выполнении письменных разъяснений по вопросам применения налогового законодательства, пени не начисляются (</w:t>
      </w:r>
      <w:hyperlink r:id="rId19" w:history="1">
        <w:r w:rsidRPr="002D2C73">
          <w:rPr>
            <w:rFonts w:ascii="Times New Roman" w:hAnsi="Times New Roman"/>
            <w:sz w:val="28"/>
            <w:szCs w:val="28"/>
          </w:rPr>
          <w:t>п. 8 ст. 75</w:t>
        </w:r>
      </w:hyperlink>
      <w:r>
        <w:rPr>
          <w:rFonts w:ascii="Times New Roman" w:hAnsi="Times New Roman"/>
          <w:sz w:val="28"/>
          <w:szCs w:val="28"/>
        </w:rPr>
        <w:t xml:space="preserve"> НК РФ). В данной ситуации также исключается вина лица в совершении налогового правонарушения (</w:t>
      </w:r>
      <w:hyperlink r:id="rId20" w:history="1">
        <w:r w:rsidRPr="002D2C73">
          <w:rPr>
            <w:rFonts w:ascii="Times New Roman" w:hAnsi="Times New Roman"/>
            <w:sz w:val="28"/>
            <w:szCs w:val="28"/>
          </w:rPr>
          <w:t>пп. 3 п. 1 ст. 111</w:t>
        </w:r>
      </w:hyperlink>
      <w:r>
        <w:rPr>
          <w:rFonts w:ascii="Times New Roman" w:hAnsi="Times New Roman"/>
          <w:sz w:val="28"/>
          <w:szCs w:val="28"/>
        </w:rPr>
        <w:t xml:space="preserve"> НК РФ). Однако эти положения не применяются, если мотивированное мнение налогового органа составлено на основании неполной или недостоверной информации, представленной хозяйственником</w:t>
      </w:r>
      <w:r w:rsidRPr="00DA3178">
        <w:rPr>
          <w:rFonts w:ascii="Times New Roman" w:hAnsi="Times New Roman"/>
          <w:sz w:val="28"/>
          <w:szCs w:val="28"/>
        </w:rPr>
        <w:t>[</w:t>
      </w:r>
      <w:r>
        <w:rPr>
          <w:rFonts w:ascii="Times New Roman" w:hAnsi="Times New Roman"/>
          <w:sz w:val="28"/>
          <w:szCs w:val="28"/>
        </w:rPr>
        <w:t>2</w:t>
      </w:r>
      <w:r w:rsidRPr="00DA3178">
        <w:rPr>
          <w:rFonts w:ascii="Times New Roman" w:hAnsi="Times New Roman"/>
          <w:sz w:val="28"/>
          <w:szCs w:val="28"/>
        </w:rPr>
        <w:t>]</w:t>
      </w:r>
      <w:r>
        <w:rPr>
          <w:rFonts w:ascii="Times New Roman" w:hAnsi="Times New Roman"/>
          <w:sz w:val="28"/>
          <w:szCs w:val="28"/>
        </w:rPr>
        <w:t>.</w:t>
      </w:r>
    </w:p>
    <w:p w:rsidR="001951E6" w:rsidRDefault="001951E6" w:rsidP="002D2C73">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Интерес же экономического субъекта к применению процедуры налогового мониторинга не ограничивается возможностью избежать санкций по результатам налоговых проверок, куда более интересна возможность освобождения от бремени доказывания и обоснования налоговой выгоды. Оперативный контроль должен производитсябез ущерба внимания и рабочего времени для подконтрольного лица. </w:t>
      </w:r>
    </w:p>
    <w:p w:rsidR="001951E6" w:rsidRDefault="001951E6" w:rsidP="00E0382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Указанное предопределяет необходимость теоретической интерпретации единого учетного экономического пространства, суть которого определим следующим образом: это виртуальное пространство, организованное в виде функционирования единой автоматизированной информационной базы управления и контроля с целью обеспечения реализации экономических полномочий и ограничений экономических субъектов и иных участников, а так же регистрации, обобщения, анализа и обмена учетными сведениями, необходимыми для функционирования экономики.</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Вместе с тем существует множество проблем, не позволяющих осуществить полноценное функционирование единого учетного экономического пространства. Это, прежде всего, злоупотребления, осуществляемые хозяйственниками – непосредственными созидателями едино учетного экономического пространства и неэффективная работа государственных органов, в компетенцию которых входит обеспечение законности при совершении экономических операций. Любой участник должен иметь представление, более того, знать порядок нормативного регулирования функционирования единого учетного экономического пространства, порядок привлечения к ответственности за совершение того или иного правонарушения в рассматриваемой области, приемы регулирования, принимать стратегические цели и задачи функционирования пространства. Важно при этом сохранить свободу осуществления предпринимательской деятельности, участник не должен чувствовать зависимость от постоянного контроля и внешнего регулирования. Регулятор, в свою очередь, должен иметь определенные, документально зафиксированные в установленном порядке полномочия. </w:t>
      </w:r>
    </w:p>
    <w:p w:rsidR="001951E6" w:rsidRDefault="001951E6" w:rsidP="00617220">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функционирование учетной системы в рамках единого учетного пространства обеспечат эффективное удовлетворение информационных потребностей его участников в ходе реализации процессов хозяйственного сотрудничества. Сведения, отражающие факт и содержание хозяйственного взаимодействия участников экономических отношений будут предоставлены пользователю, имеющему на то право, ограниченное в установленном порядке. Это обеспечит документальное обоснование и налоговой выгоды, реальности и действительности экономического содержания хозяйственных операций отдельного участника экономического пространства, обеспечивает его учетную независимость от контрагентов.</w:t>
      </w:r>
    </w:p>
    <w:p w:rsidR="001951E6" w:rsidRDefault="001951E6" w:rsidP="00213969">
      <w:pPr>
        <w:pStyle w:val="NoSpacing"/>
        <w:jc w:val="center"/>
        <w:rPr>
          <w:rFonts w:ascii="Times New Roman" w:hAnsi="Times New Roman"/>
          <w:b/>
          <w:sz w:val="24"/>
          <w:szCs w:val="28"/>
        </w:rPr>
      </w:pPr>
    </w:p>
    <w:p w:rsidR="001951E6" w:rsidRDefault="001951E6" w:rsidP="00A5329B">
      <w:pPr>
        <w:pStyle w:val="NoSpacing"/>
        <w:tabs>
          <w:tab w:val="left" w:pos="993"/>
        </w:tabs>
        <w:ind w:firstLine="567"/>
        <w:jc w:val="center"/>
        <w:rPr>
          <w:rFonts w:ascii="Times New Roman" w:hAnsi="Times New Roman"/>
          <w:b/>
          <w:sz w:val="24"/>
          <w:szCs w:val="28"/>
        </w:rPr>
      </w:pPr>
      <w:r w:rsidRPr="0072002D">
        <w:rPr>
          <w:rFonts w:ascii="Times New Roman" w:hAnsi="Times New Roman"/>
          <w:b/>
          <w:sz w:val="24"/>
          <w:szCs w:val="28"/>
        </w:rPr>
        <w:t>Библиографический список</w:t>
      </w:r>
    </w:p>
    <w:p w:rsidR="001951E6" w:rsidRPr="0072002D" w:rsidRDefault="001951E6" w:rsidP="00A5329B">
      <w:pPr>
        <w:pStyle w:val="NoSpacing"/>
        <w:tabs>
          <w:tab w:val="left" w:pos="993"/>
        </w:tabs>
        <w:ind w:firstLine="567"/>
        <w:jc w:val="center"/>
        <w:rPr>
          <w:rFonts w:ascii="Times New Roman" w:hAnsi="Times New Roman"/>
          <w:b/>
          <w:sz w:val="24"/>
          <w:szCs w:val="28"/>
        </w:rPr>
      </w:pPr>
    </w:p>
    <w:p w:rsidR="001951E6" w:rsidRPr="0072002D"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72002D">
        <w:rPr>
          <w:rFonts w:ascii="Times New Roman" w:hAnsi="Times New Roman" w:cs="Times New Roman"/>
          <w:sz w:val="24"/>
          <w:szCs w:val="24"/>
        </w:rPr>
        <w:t xml:space="preserve">Кенигсберг Р.Б., Джума В.И., Мелехин И.В., Самойлов Е.В., Баскаков Е.В. Как оценить качество и полноту работ при аутсорсинге? // Внутренний контроль в кредитной организации. 2013. </w:t>
      </w:r>
      <w:r>
        <w:rPr>
          <w:rFonts w:ascii="Times New Roman" w:hAnsi="Times New Roman" w:cs="Times New Roman"/>
          <w:sz w:val="24"/>
          <w:szCs w:val="24"/>
        </w:rPr>
        <w:t>№</w:t>
      </w:r>
      <w:r w:rsidRPr="0072002D">
        <w:rPr>
          <w:rFonts w:ascii="Times New Roman" w:hAnsi="Times New Roman" w:cs="Times New Roman"/>
          <w:sz w:val="24"/>
          <w:szCs w:val="24"/>
        </w:rPr>
        <w:t xml:space="preserve"> 2. С. 8 – 12</w:t>
      </w:r>
    </w:p>
    <w:p w:rsidR="001951E6" w:rsidRPr="0072002D"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Налоговый кодекс Российской Федерации. Части первая и вторая. - </w:t>
      </w:r>
      <w:r w:rsidRPr="0072002D">
        <w:rPr>
          <w:rFonts w:ascii="Times New Roman" w:hAnsi="Times New Roman" w:cs="Times New Roman"/>
          <w:sz w:val="24"/>
          <w:szCs w:val="24"/>
        </w:rPr>
        <w:t>[Электронный ресурс]. – СПС Консультант плюс.</w:t>
      </w:r>
    </w:p>
    <w:p w:rsidR="001951E6" w:rsidRPr="0072002D"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72002D">
        <w:rPr>
          <w:rFonts w:ascii="Times New Roman" w:hAnsi="Times New Roman" w:cs="Times New Roman"/>
          <w:sz w:val="24"/>
          <w:szCs w:val="24"/>
        </w:rPr>
        <w:t>О бухгалтерском учете. – Федеральный закон от 06.12.2011 № 402-ФЗ. – [Электронный ресурс]. – СПС Консультант плюс.</w:t>
      </w:r>
    </w:p>
    <w:p w:rsidR="001951E6" w:rsidRPr="00450FAD"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450FAD">
        <w:rPr>
          <w:rFonts w:ascii="Times New Roman" w:hAnsi="Times New Roman" w:cs="Times New Roman"/>
          <w:sz w:val="24"/>
          <w:szCs w:val="24"/>
        </w:rPr>
        <w:t>О внесении изменений в Уголовно-процессуальный кодекс Российской Федерации</w:t>
      </w:r>
      <w:r>
        <w:rPr>
          <w:rFonts w:ascii="Times New Roman" w:hAnsi="Times New Roman" w:cs="Times New Roman"/>
          <w:sz w:val="24"/>
          <w:szCs w:val="24"/>
        </w:rPr>
        <w:t xml:space="preserve">.- </w:t>
      </w:r>
      <w:r w:rsidRPr="00450FAD">
        <w:rPr>
          <w:rFonts w:ascii="Times New Roman" w:hAnsi="Times New Roman" w:cs="Times New Roman"/>
          <w:sz w:val="24"/>
          <w:szCs w:val="24"/>
        </w:rPr>
        <w:t>Федеральный закон от 22.10.2014</w:t>
      </w:r>
      <w:r>
        <w:rPr>
          <w:rFonts w:ascii="Times New Roman" w:hAnsi="Times New Roman" w:cs="Times New Roman"/>
          <w:sz w:val="24"/>
          <w:szCs w:val="24"/>
        </w:rPr>
        <w:t xml:space="preserve"> №</w:t>
      </w:r>
      <w:r w:rsidRPr="00450FAD">
        <w:rPr>
          <w:rFonts w:ascii="Times New Roman" w:hAnsi="Times New Roman" w:cs="Times New Roman"/>
          <w:sz w:val="24"/>
          <w:szCs w:val="24"/>
        </w:rPr>
        <w:t xml:space="preserve"> 308-ФЗ</w:t>
      </w:r>
      <w:r>
        <w:rPr>
          <w:rFonts w:ascii="Times New Roman" w:hAnsi="Times New Roman" w:cs="Times New Roman"/>
          <w:sz w:val="24"/>
          <w:szCs w:val="24"/>
        </w:rPr>
        <w:t xml:space="preserve">. - </w:t>
      </w:r>
      <w:r w:rsidRPr="0072002D">
        <w:rPr>
          <w:rFonts w:ascii="Times New Roman" w:hAnsi="Times New Roman" w:cs="Times New Roman"/>
          <w:sz w:val="24"/>
          <w:szCs w:val="24"/>
        </w:rPr>
        <w:t>[Электронный ресурс]. – СПС Консультант плюс.</w:t>
      </w:r>
    </w:p>
    <w:p w:rsidR="001951E6"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26672D">
        <w:rPr>
          <w:rFonts w:ascii="Times New Roman" w:hAnsi="Times New Roman" w:cs="Times New Roman"/>
          <w:sz w:val="24"/>
          <w:szCs w:val="24"/>
        </w:rPr>
        <w:t>О Типовых рекомендациях по организации бухгалтерского учета для субъектов малого предпринимательства</w:t>
      </w:r>
      <w:r>
        <w:rPr>
          <w:rFonts w:ascii="Times New Roman" w:hAnsi="Times New Roman" w:cs="Times New Roman"/>
          <w:sz w:val="24"/>
          <w:szCs w:val="24"/>
        </w:rPr>
        <w:t xml:space="preserve"> - Приказ Минфина РФ от 21.12.1998 № 64н. - </w:t>
      </w:r>
      <w:r w:rsidRPr="0072002D">
        <w:rPr>
          <w:rFonts w:ascii="Times New Roman" w:hAnsi="Times New Roman" w:cs="Times New Roman"/>
          <w:sz w:val="24"/>
          <w:szCs w:val="24"/>
        </w:rPr>
        <w:t>[Электронный ресурс]. – СПС Консультант плюс.</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Достоверность первичных данных - основа формирования учетной информации / С.П. Першин, А.А. Нежинская // Политематический сетевой электронный научный журнал Кубанского государственного аграрного университета. – 2014. – № 96. – С. 890-900.</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К вопросу о развитии системы учета межсубъектных экономических отношений / С.П. Першин, А.А. Нежинская // Политематический сетевой электронный научный журнал Кубанского государственного аграрного университета. – 2014. – № 100. – С. 1288-1299.</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Обоснованность налоговой выгоды как условие оптимизации налогообложения / С.П. Першин // Политематический сетевой электронный научный журнал Кубанского государственного аграрного университета. – 2009. – № 49. – С. 87-95.</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Рейтинг контрагента как фактор скорости товарооборота в современной экономике / С.П. Першин // Политематический сетевой электронный научный журнал Кубанского государственного аграрного университета. – 2013. – № 89. – С. 1228-1241.</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организации учетной системы хозяйствующих субъектов / С.П. Першин // Политематический сетевой электронный научный журнал Кубанского государственного аграрного университета. – 2005. – № 15. – С. 107-121.</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финансово-хозяйственной деятельности коммерческих организаций: диссертация на соискание ученой степени кандидата экономических наук / Кубанский государственный аграрный университет. – Краснодар, 2008.</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Совершенствование учетной системы управления и контроля / С.П. Першин // Политематический сетевой электронный научный журнал Кубанского государственного аграрного университета. – 2006. – № 18. – С. 59-64.</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Першин С.П. Уведомления о сделках как инструмент налоговой политики / С.П. Першин, А.А. Нежинская // Политематический сетевой электронный научный журнал Кубанского государственного аграрного университета. – 2014. – № 96. – С. 809-822.</w:t>
      </w:r>
    </w:p>
    <w:p w:rsidR="001951E6"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3C5795">
        <w:rPr>
          <w:rFonts w:ascii="Times New Roman" w:hAnsi="Times New Roman" w:cs="Times New Roman"/>
          <w:sz w:val="24"/>
          <w:szCs w:val="24"/>
        </w:rPr>
        <w:t>Першин С.П. Перспективы развития аутсорсинга бухгалтерского учета в России /  С.П. Першин, К.А. Пужлякова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№09(103). С. 1126 – 1142. – Режим доступа: http://ej.kubagro.ru/2014/09/pdf/74.pdf</w:t>
      </w:r>
      <w:r>
        <w:rPr>
          <w:rFonts w:ascii="Times New Roman" w:hAnsi="Times New Roman" w:cs="Times New Roman"/>
          <w:sz w:val="24"/>
          <w:szCs w:val="24"/>
        </w:rPr>
        <w:t>.</w:t>
      </w:r>
    </w:p>
    <w:p w:rsidR="001951E6"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D6263D">
        <w:rPr>
          <w:rFonts w:ascii="Times New Roman" w:hAnsi="Times New Roman" w:cs="Times New Roman"/>
          <w:sz w:val="24"/>
          <w:szCs w:val="24"/>
        </w:rPr>
        <w:t>Першин С.П. Совершенствование контроля финансово-хозяйственной деятельности коммерческих организаций посредством развития учетной системы / С.П. Першин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№03(027). С. 313 – 333.</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Автоматизация управленческого учета обязательств перед бюджетом по налогам / Ю.И. Сигидов, В.В. Башкатов // Бухучет в сельском хозяйстве. – 2012. – № 10. – С. 83-87.</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Методы оптимизации налогообложения сельскохозяйственных организаций / Ю.И. Сигидов, В.В. Башкатов  // Бухучет в сельском хозяйстве. – 2013. – № 6. – С. 38-41.</w:t>
      </w:r>
    </w:p>
    <w:p w:rsidR="001951E6" w:rsidRPr="00EF272F" w:rsidRDefault="001951E6" w:rsidP="00A5329B">
      <w:pPr>
        <w:pStyle w:val="ConsPlusCell"/>
        <w:numPr>
          <w:ilvl w:val="0"/>
          <w:numId w:val="3"/>
        </w:numPr>
        <w:tabs>
          <w:tab w:val="left" w:pos="993"/>
        </w:tabs>
        <w:ind w:left="0" w:firstLine="567"/>
        <w:jc w:val="both"/>
        <w:rPr>
          <w:rFonts w:ascii="Times New Roman" w:hAnsi="Times New Roman" w:cs="Times New Roman"/>
          <w:sz w:val="24"/>
          <w:szCs w:val="24"/>
        </w:rPr>
      </w:pPr>
      <w:r w:rsidRPr="00EF272F">
        <w:rPr>
          <w:rFonts w:ascii="Times New Roman" w:hAnsi="Times New Roman" w:cs="Times New Roman"/>
          <w:sz w:val="24"/>
          <w:szCs w:val="24"/>
        </w:rPr>
        <w:t>Сигидов Ю.И. Определение сущности контроллинга: к постановке проблемы / Ю.И. Сигидов, Д.А. Баталов // Труды Кубанского государственного аграрного университета. – 2011. – № 29. – С. 13-18.</w:t>
      </w:r>
    </w:p>
    <w:p w:rsidR="001951E6" w:rsidRPr="00EF272F" w:rsidRDefault="001951E6" w:rsidP="00A5329B">
      <w:pPr>
        <w:pStyle w:val="ConsPlusCell"/>
        <w:tabs>
          <w:tab w:val="left" w:pos="993"/>
        </w:tabs>
        <w:ind w:firstLine="567"/>
        <w:jc w:val="center"/>
        <w:rPr>
          <w:rFonts w:ascii="Times New Roman" w:hAnsi="Times New Roman" w:cs="Times New Roman"/>
          <w:b/>
          <w:bCs/>
          <w:sz w:val="23"/>
          <w:szCs w:val="23"/>
        </w:rPr>
      </w:pPr>
    </w:p>
    <w:p w:rsidR="001951E6" w:rsidRPr="00EF272F" w:rsidRDefault="001951E6" w:rsidP="00A5329B">
      <w:pPr>
        <w:pStyle w:val="ConsPlusCell"/>
        <w:tabs>
          <w:tab w:val="left" w:pos="993"/>
        </w:tabs>
        <w:ind w:firstLine="567"/>
        <w:jc w:val="center"/>
        <w:rPr>
          <w:rFonts w:ascii="Times New Roman" w:hAnsi="Times New Roman" w:cs="Times New Roman"/>
          <w:b/>
          <w:bCs/>
          <w:sz w:val="23"/>
          <w:szCs w:val="23"/>
        </w:rPr>
      </w:pPr>
    </w:p>
    <w:p w:rsidR="001951E6" w:rsidRDefault="001951E6" w:rsidP="00A5329B">
      <w:pPr>
        <w:pStyle w:val="ConsPlusCell"/>
        <w:tabs>
          <w:tab w:val="left" w:pos="993"/>
        </w:tabs>
        <w:ind w:firstLine="567"/>
        <w:jc w:val="center"/>
        <w:rPr>
          <w:rFonts w:ascii="Times New Roman" w:hAnsi="Times New Roman" w:cs="Times New Roman"/>
          <w:b/>
          <w:bCs/>
          <w:sz w:val="23"/>
          <w:szCs w:val="23"/>
          <w:lang w:val="en-US"/>
        </w:rPr>
      </w:pPr>
      <w:r w:rsidRPr="002B27B7">
        <w:rPr>
          <w:rFonts w:ascii="Times New Roman" w:hAnsi="Times New Roman" w:cs="Times New Roman"/>
          <w:b/>
          <w:bCs/>
          <w:sz w:val="23"/>
          <w:szCs w:val="23"/>
          <w:lang w:val="en-US"/>
        </w:rPr>
        <w:t>References</w:t>
      </w:r>
    </w:p>
    <w:p w:rsidR="001951E6" w:rsidRPr="002B27B7" w:rsidRDefault="001951E6" w:rsidP="00A5329B">
      <w:pPr>
        <w:pStyle w:val="ConsPlusCell"/>
        <w:tabs>
          <w:tab w:val="left" w:pos="993"/>
        </w:tabs>
        <w:ind w:firstLine="567"/>
        <w:jc w:val="center"/>
        <w:rPr>
          <w:rFonts w:ascii="Times New Roman" w:hAnsi="Times New Roman" w:cs="Times New Roman"/>
          <w:b/>
          <w:bCs/>
          <w:sz w:val="23"/>
          <w:szCs w:val="23"/>
          <w:lang w:val="en-US"/>
        </w:rPr>
      </w:pP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w:t>
      </w:r>
      <w:r w:rsidRPr="009D5C42">
        <w:rPr>
          <w:rFonts w:ascii="Times New Roman" w:hAnsi="Times New Roman" w:cs="Times New Roman"/>
          <w:sz w:val="24"/>
          <w:szCs w:val="24"/>
          <w:lang w:val="en-US"/>
        </w:rPr>
        <w:tab/>
        <w:t>Kenigsberg R.B., Dzhuma V.I., Melehin I.V., Samojlov E.V., Baskakov E.V. Kak ocenit' kachestvo i polnotu rabot pri autsorsinge? // Vnutrennij kontrol' v kreditnoj organizacii. 2013. № 2. S. 8 – 12</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2.</w:t>
      </w:r>
      <w:r w:rsidRPr="009D5C42">
        <w:rPr>
          <w:rFonts w:ascii="Times New Roman" w:hAnsi="Times New Roman" w:cs="Times New Roman"/>
          <w:sz w:val="24"/>
          <w:szCs w:val="24"/>
          <w:lang w:val="en-US"/>
        </w:rPr>
        <w:tab/>
        <w:t>Nalogovyj kodeks Rossijskoj Federacii. Chasti pervaja i vtoraja. - [Jelektronnyj resurs]. – SPS Konsul'tant pljus.</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3.</w:t>
      </w:r>
      <w:r w:rsidRPr="009D5C42">
        <w:rPr>
          <w:rFonts w:ascii="Times New Roman" w:hAnsi="Times New Roman" w:cs="Times New Roman"/>
          <w:sz w:val="24"/>
          <w:szCs w:val="24"/>
          <w:lang w:val="en-US"/>
        </w:rPr>
        <w:tab/>
        <w:t>O buhgalterskom uchete. – Federal'nyj zakon ot 06.12.2011 № 402-FZ. – [Jelektronnyj resurs]. – SPS Konsul'tant pljus.</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4.</w:t>
      </w:r>
      <w:r w:rsidRPr="009D5C42">
        <w:rPr>
          <w:rFonts w:ascii="Times New Roman" w:hAnsi="Times New Roman" w:cs="Times New Roman"/>
          <w:sz w:val="24"/>
          <w:szCs w:val="24"/>
          <w:lang w:val="en-US"/>
        </w:rPr>
        <w:tab/>
        <w:t>O vnesenii izmenenij v Ugolovno-processual'nyj kodeks Rossijskoj Federacii.- Federal'nyj zakon ot 22.10.2014 № 308-FZ. - [Jelektronnyj resurs]. – SPS Konsul'tant pljus.</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5.</w:t>
      </w:r>
      <w:r w:rsidRPr="009D5C42">
        <w:rPr>
          <w:rFonts w:ascii="Times New Roman" w:hAnsi="Times New Roman" w:cs="Times New Roman"/>
          <w:sz w:val="24"/>
          <w:szCs w:val="24"/>
          <w:lang w:val="en-US"/>
        </w:rPr>
        <w:tab/>
        <w:t>O Tipovyh rekomendacijah po organizacii buhgalterskogo ucheta dlja sub#ektov malogo predprinimatel'stva - Prikaz Minfina RF ot 21.12.1998 № 64n. - [Jelektronnyj resurs]. – SPS Konsul'tant pljus.</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6.</w:t>
      </w:r>
      <w:r w:rsidRPr="009D5C42">
        <w:rPr>
          <w:rFonts w:ascii="Times New Roman" w:hAnsi="Times New Roman" w:cs="Times New Roman"/>
          <w:sz w:val="24"/>
          <w:szCs w:val="24"/>
          <w:lang w:val="en-US"/>
        </w:rPr>
        <w:tab/>
        <w:t>Pershin S.P. Dostovernost' pervichnyh dannyh - osnova formirovanija uchetnoj informacii / S.P. Pershin, A.A. Nezhinskaja // Politematicheskij setevoj jelektronnyj nauchnyj zhurnal Kubanskogo gosudarstvennogo agrarnogo universiteta. – 2014. – № 96. – S. 890-900.</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7.</w:t>
      </w:r>
      <w:r w:rsidRPr="009D5C42">
        <w:rPr>
          <w:rFonts w:ascii="Times New Roman" w:hAnsi="Times New Roman" w:cs="Times New Roman"/>
          <w:sz w:val="24"/>
          <w:szCs w:val="24"/>
          <w:lang w:val="en-US"/>
        </w:rPr>
        <w:tab/>
        <w:t>Pershin S.P. K voprosu o razvitii sistemy ucheta mezhsub#ektnyh jekonomicheskih otnoshenij / S.P. Pershin, A.A. Nezhinskaja // Politematicheskij setevoj jelektronnyj nauchnyj zhurnal Kubanskogo gosudarstvennogo agrarnogo universiteta. – 2014. – № 100. – S. 1288-1299.</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8.</w:t>
      </w:r>
      <w:r w:rsidRPr="009D5C42">
        <w:rPr>
          <w:rFonts w:ascii="Times New Roman" w:hAnsi="Times New Roman" w:cs="Times New Roman"/>
          <w:sz w:val="24"/>
          <w:szCs w:val="24"/>
          <w:lang w:val="en-US"/>
        </w:rPr>
        <w:tab/>
        <w:t>Pershin S.P. Obosnovannost' nalogovoj vygody kak uslovie optimizacii nalogooblozhenija / S.P. Pershin // Politematicheskij setevoj jelektronnyj nauchnyj zhurnal Kubanskogo gosudarstvennogo agrarnogo universiteta. – 2009. – № 49. – S. 87-95.</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9.</w:t>
      </w:r>
      <w:r w:rsidRPr="009D5C42">
        <w:rPr>
          <w:rFonts w:ascii="Times New Roman" w:hAnsi="Times New Roman" w:cs="Times New Roman"/>
          <w:sz w:val="24"/>
          <w:szCs w:val="24"/>
          <w:lang w:val="en-US"/>
        </w:rPr>
        <w:tab/>
        <w:t>Pershin S.P. Rejting kontragenta kak faktor skorosti tovarooborota v sovremennoj jekonomike / S.P. Pershin // Politematicheskij setevoj jelektronnyj nauchnyj zhurnal Kubanskogo gosudarstvennogo agrarnogo universiteta. – 2013. – № 89. – S. 1228-1241.</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10.</w:t>
      </w:r>
      <w:r w:rsidRPr="009D5C42">
        <w:rPr>
          <w:rFonts w:ascii="Times New Roman" w:hAnsi="Times New Roman" w:cs="Times New Roman"/>
          <w:sz w:val="24"/>
          <w:szCs w:val="24"/>
          <w:lang w:val="en-US"/>
        </w:rPr>
        <w:tab/>
        <w:t>Pershin S.P. Sovershenstvovanie organizacii uchetnoj sistemy hozjajstvujushhih sub#ektov / S.P. Pershin // Politematicheskij setevoj jelektronnyj nauchnyj zhurnal Kubanskogo gosudarstvennogo agrarnogo universiteta. – 2005. – № 15. – S. 107-121.</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11.</w:t>
      </w:r>
      <w:r w:rsidRPr="009D5C42">
        <w:rPr>
          <w:rFonts w:ascii="Times New Roman" w:hAnsi="Times New Roman" w:cs="Times New Roman"/>
          <w:sz w:val="24"/>
          <w:szCs w:val="24"/>
          <w:lang w:val="en-US"/>
        </w:rPr>
        <w:tab/>
        <w:t>Pershin S.P. Sovershenstvovanie uchetnoj sistemy upravlenija i kontrolja finansovo-hozjajstvennoj dejatel'nosti kommercheskih organizacij: dissertacija na soiskanie uchenoj stepeni kandidata jekonomicheskih nauk / Kubanskij gosudarstvennyj agrarnyj universitet. – Krasnodar, 2008.</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12.</w:t>
      </w:r>
      <w:r w:rsidRPr="009D5C42">
        <w:rPr>
          <w:rFonts w:ascii="Times New Roman" w:hAnsi="Times New Roman" w:cs="Times New Roman"/>
          <w:sz w:val="24"/>
          <w:szCs w:val="24"/>
          <w:lang w:val="en-US"/>
        </w:rPr>
        <w:tab/>
        <w:t>Pershin S.P. Sovershenstvovanie uchetnoj sistemy upravlenija i kontrolja / S.P. Pershin // Politematicheskij setevoj jelektronnyj nauchnyj zhurnal Kubanskogo gosudarstvennogo agrarnogo universiteta. – 2006. – № 18. – S. 59-64.</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13.</w:t>
      </w:r>
      <w:r w:rsidRPr="009D5C42">
        <w:rPr>
          <w:rFonts w:ascii="Times New Roman" w:hAnsi="Times New Roman" w:cs="Times New Roman"/>
          <w:sz w:val="24"/>
          <w:szCs w:val="24"/>
          <w:lang w:val="en-US"/>
        </w:rPr>
        <w:tab/>
        <w:t>Pershin S.P. Uvedomlenija o sdelkah kak instrument nalogovoj politiki / S.P. Pershin, A.A. Nezhinskaja // Politematicheskij setevoj jelektronnyj nauchnyj zhurnal Kubanskogo gosudarstvennogo agrarnogo universiteta. – 2014. – № 96. – S. 809-822.</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14.</w:t>
      </w:r>
      <w:r w:rsidRPr="009D5C42">
        <w:rPr>
          <w:rFonts w:ascii="Times New Roman" w:hAnsi="Times New Roman" w:cs="Times New Roman"/>
          <w:sz w:val="24"/>
          <w:szCs w:val="24"/>
          <w:lang w:val="en-US"/>
        </w:rPr>
        <w:tab/>
        <w:t>Pershin S.P. Perspektivy razvitija autsorsinga buhgalterskogo ucheta v Rossii /  S.P. Pershin, K.A. Puzhljakova // Politematicheskij setevoj jelektronnyj nauchnyj zhurnal Kubanskogo gosudarstvennogo agrarnogo universiteta (Nauchnyj zhurnal KubGAU) [Jelektronnyj resurs]. – Krasnodar: KubGAU, 2014. – №09(103). S. 1126 – 1142. – Rezhim dostupa: http://ej.kubagro.ru/2014/09/pdf/74.pdf.</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15.</w:t>
      </w:r>
      <w:r w:rsidRPr="009D5C42">
        <w:rPr>
          <w:rFonts w:ascii="Times New Roman" w:hAnsi="Times New Roman" w:cs="Times New Roman"/>
          <w:sz w:val="24"/>
          <w:szCs w:val="24"/>
          <w:lang w:val="en-US"/>
        </w:rPr>
        <w:tab/>
        <w:t>Pershin S.P. Sovershenstvovanie kontrolja finansovo-hozjajstvennoj dejatel'nosti kommercheskih organizacij posredstvom razvitija uchetnoj sistemy / S.P. Pershin // Politematicheskij setevoj jelektronnyj nauchnyj zhurnal Kubanskogo gosudarstvennogo agrarnogo universiteta (Nauchnyj zhurnal KubGAU) [Jelektronnyj resurs]. – Krasnodar: KubGAU, 2007. – №03(027). S. 313 – 333.</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16.</w:t>
      </w:r>
      <w:r w:rsidRPr="009D5C42">
        <w:rPr>
          <w:rFonts w:ascii="Times New Roman" w:hAnsi="Times New Roman" w:cs="Times New Roman"/>
          <w:sz w:val="24"/>
          <w:szCs w:val="24"/>
          <w:lang w:val="en-US"/>
        </w:rPr>
        <w:tab/>
        <w:t>Sigidov Ju.I. Avtomatizacija upravlencheskogo ucheta objazatel'stv pered bjudzhetom po nalogam / Ju.I. Sigidov, V.V. Bashkatov // Buhuchet v sel'skom hozjajstve. – 2012. – № 10. – S. 83-87.</w:t>
      </w:r>
    </w:p>
    <w:p w:rsidR="001951E6" w:rsidRPr="009D5C42" w:rsidRDefault="001951E6" w:rsidP="009D5C42">
      <w:pPr>
        <w:pStyle w:val="ConsPlusCell"/>
        <w:numPr>
          <w:ilvl w:val="0"/>
          <w:numId w:val="6"/>
        </w:numPr>
        <w:tabs>
          <w:tab w:val="left" w:pos="993"/>
        </w:tabs>
        <w:ind w:left="0" w:firstLine="567"/>
        <w:jc w:val="both"/>
        <w:rPr>
          <w:rFonts w:ascii="Times New Roman" w:hAnsi="Times New Roman" w:cs="Times New Roman"/>
          <w:sz w:val="24"/>
          <w:szCs w:val="24"/>
          <w:lang w:val="en-US"/>
        </w:rPr>
      </w:pPr>
      <w:r w:rsidRPr="009D5C42">
        <w:rPr>
          <w:rFonts w:ascii="Times New Roman" w:hAnsi="Times New Roman" w:cs="Times New Roman"/>
          <w:sz w:val="24"/>
          <w:szCs w:val="24"/>
          <w:lang w:val="en-US"/>
        </w:rPr>
        <w:t>17.</w:t>
      </w:r>
      <w:r w:rsidRPr="009D5C42">
        <w:rPr>
          <w:rFonts w:ascii="Times New Roman" w:hAnsi="Times New Roman" w:cs="Times New Roman"/>
          <w:sz w:val="24"/>
          <w:szCs w:val="24"/>
          <w:lang w:val="en-US"/>
        </w:rPr>
        <w:tab/>
        <w:t>Sigidov Ju.I. Metody optimizacii nalogooblozhenija sel'skohozjajstvennyh organizacij / Ju.I. Sigidov, V.V. Bashkatov  // Buhuchet v sel'skom hozjajstve. – 2013. – № 6. – S. 38-41.</w:t>
      </w:r>
    </w:p>
    <w:p w:rsidR="001951E6" w:rsidRPr="0072002D" w:rsidRDefault="001951E6" w:rsidP="009D5C42">
      <w:pPr>
        <w:pStyle w:val="ConsPlusCell"/>
        <w:numPr>
          <w:ilvl w:val="0"/>
          <w:numId w:val="6"/>
        </w:numPr>
        <w:tabs>
          <w:tab w:val="left" w:pos="993"/>
        </w:tabs>
        <w:ind w:left="0" w:firstLine="567"/>
        <w:jc w:val="both"/>
        <w:rPr>
          <w:lang w:val="en-US"/>
        </w:rPr>
      </w:pPr>
      <w:r w:rsidRPr="009D5C42">
        <w:rPr>
          <w:rFonts w:ascii="Times New Roman" w:hAnsi="Times New Roman" w:cs="Times New Roman"/>
          <w:sz w:val="24"/>
          <w:szCs w:val="24"/>
          <w:lang w:val="en-US"/>
        </w:rPr>
        <w:t>18.</w:t>
      </w:r>
      <w:r w:rsidRPr="009D5C42">
        <w:rPr>
          <w:rFonts w:ascii="Times New Roman" w:hAnsi="Times New Roman" w:cs="Times New Roman"/>
          <w:sz w:val="24"/>
          <w:szCs w:val="24"/>
          <w:lang w:val="en-US"/>
        </w:rPr>
        <w:tab/>
        <w:t>Sigidov Ju.I. Opredelenie sushhnosti kontrollinga: k postanovke problemy / Ju.I. Sigidov, D.A. Batalov // Trudy Kubanskogo gosudarstvennogo agrarnogo universiteta. – 2011. – № 29. – S. 13-18.</w:t>
      </w:r>
    </w:p>
    <w:sectPr w:rsidR="001951E6" w:rsidRPr="0072002D" w:rsidSect="00A5329B">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1E6" w:rsidRDefault="001951E6" w:rsidP="00547035">
      <w:pPr>
        <w:spacing w:after="0" w:line="240" w:lineRule="auto"/>
      </w:pPr>
      <w:r>
        <w:separator/>
      </w:r>
    </w:p>
  </w:endnote>
  <w:endnote w:type="continuationSeparator" w:id="0">
    <w:p w:rsidR="001951E6" w:rsidRDefault="001951E6" w:rsidP="005470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E6" w:rsidRDefault="001951E6">
    <w:pPr>
      <w:pStyle w:val="Footer"/>
    </w:pPr>
    <w:bookmarkStart w:id="1" w:name="OLE_LINK6"/>
    <w:r w:rsidRPr="00903418">
      <w:rPr>
        <w:rFonts w:ascii="Times New Roman" w:hAnsi="Times New Roman"/>
        <w:sz w:val="24"/>
        <w:szCs w:val="24"/>
      </w:rPr>
      <w:t>http://ej.kubagro.ru/201</w:t>
    </w:r>
    <w:r w:rsidRPr="00903418">
      <w:rPr>
        <w:rFonts w:ascii="Times New Roman" w:hAnsi="Times New Roman"/>
        <w:sz w:val="24"/>
        <w:szCs w:val="24"/>
        <w:lang w:val="en-US"/>
      </w:rPr>
      <w:t>6</w:t>
    </w:r>
    <w:r w:rsidRPr="00903418">
      <w:rPr>
        <w:rFonts w:ascii="Times New Roman" w:hAnsi="Times New Roman"/>
        <w:sz w:val="24"/>
        <w:szCs w:val="24"/>
      </w:rPr>
      <w:t>/</w:t>
    </w:r>
    <w:r w:rsidRPr="00903418">
      <w:rPr>
        <w:rFonts w:ascii="Times New Roman" w:hAnsi="Times New Roman"/>
        <w:sz w:val="24"/>
        <w:szCs w:val="24"/>
        <w:lang w:val="en-US"/>
      </w:rPr>
      <w:t>0</w:t>
    </w:r>
    <w:r w:rsidRPr="00903418">
      <w:rPr>
        <w:rFonts w:ascii="Times New Roman" w:hAnsi="Times New Roman"/>
        <w:sz w:val="24"/>
        <w:szCs w:val="24"/>
      </w:rPr>
      <w:t>4/pdf/</w:t>
    </w:r>
    <w:r>
      <w:rPr>
        <w:rFonts w:ascii="Times New Roman" w:hAnsi="Times New Roman"/>
        <w:sz w:val="24"/>
        <w:szCs w:val="24"/>
        <w:lang w:val="en-US"/>
      </w:rPr>
      <w:t>33</w:t>
    </w:r>
    <w:r w:rsidRPr="00903418">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1E6" w:rsidRDefault="001951E6" w:rsidP="00547035">
      <w:pPr>
        <w:spacing w:after="0" w:line="240" w:lineRule="auto"/>
      </w:pPr>
      <w:r>
        <w:separator/>
      </w:r>
    </w:p>
  </w:footnote>
  <w:footnote w:type="continuationSeparator" w:id="0">
    <w:p w:rsidR="001951E6" w:rsidRDefault="001951E6" w:rsidP="005470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E6" w:rsidRDefault="001951E6" w:rsidP="00EB05A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951E6" w:rsidRDefault="001951E6" w:rsidP="006752A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1E6" w:rsidRPr="006752AA" w:rsidRDefault="001951E6" w:rsidP="00EB05A5">
    <w:pPr>
      <w:pStyle w:val="Header"/>
      <w:framePr w:wrap="around" w:vAnchor="text" w:hAnchor="margin" w:xAlign="right" w:y="1"/>
      <w:rPr>
        <w:rStyle w:val="PageNumber"/>
        <w:rFonts w:ascii="Times New Roman" w:hAnsi="Times New Roman"/>
        <w:sz w:val="28"/>
        <w:szCs w:val="28"/>
      </w:rPr>
    </w:pPr>
    <w:r w:rsidRPr="006752AA">
      <w:rPr>
        <w:rStyle w:val="PageNumber"/>
        <w:rFonts w:ascii="Times New Roman" w:hAnsi="Times New Roman"/>
        <w:sz w:val="28"/>
        <w:szCs w:val="28"/>
      </w:rPr>
      <w:fldChar w:fldCharType="begin"/>
    </w:r>
    <w:r w:rsidRPr="006752AA">
      <w:rPr>
        <w:rStyle w:val="PageNumber"/>
        <w:rFonts w:ascii="Times New Roman" w:hAnsi="Times New Roman"/>
        <w:sz w:val="28"/>
        <w:szCs w:val="28"/>
      </w:rPr>
      <w:instrText xml:space="preserve">PAGE  </w:instrText>
    </w:r>
    <w:r w:rsidRPr="006752AA">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6752AA">
      <w:rPr>
        <w:rStyle w:val="PageNumber"/>
        <w:rFonts w:ascii="Times New Roman" w:hAnsi="Times New Roman"/>
        <w:sz w:val="28"/>
        <w:szCs w:val="28"/>
      </w:rPr>
      <w:fldChar w:fldCharType="end"/>
    </w:r>
  </w:p>
  <w:p w:rsidR="001951E6" w:rsidRPr="006752AA" w:rsidRDefault="001951E6" w:rsidP="006752AA">
    <w:pPr>
      <w:pStyle w:val="Header"/>
      <w:ind w:right="360"/>
      <w:rPr>
        <w:lang w:val="en-US"/>
      </w:rPr>
    </w:pPr>
    <w:r w:rsidRPr="00C34E18">
      <w:rPr>
        <w:rFonts w:ascii="Times New Roman" w:hAnsi="Times New Roman"/>
        <w:sz w:val="24"/>
        <w:szCs w:val="24"/>
      </w:rPr>
      <w:t>Научный журнал КубГАУ, №118</w:t>
    </w:r>
    <w:r w:rsidRPr="00C34E18">
      <w:rPr>
        <w:rFonts w:ascii="Times New Roman" w:hAnsi="Times New Roman"/>
        <w:sz w:val="24"/>
        <w:szCs w:val="24"/>
        <w:lang w:val="en-US"/>
      </w:rPr>
      <w:t>(0</w:t>
    </w:r>
    <w:r w:rsidRPr="00C34E18">
      <w:rPr>
        <w:rFonts w:ascii="Times New Roman" w:hAnsi="Times New Roman"/>
        <w:sz w:val="24"/>
        <w:szCs w:val="24"/>
      </w:rPr>
      <w:t>4), 201</w:t>
    </w:r>
    <w:r w:rsidRPr="00C34E18">
      <w:rPr>
        <w:rFonts w:ascii="Times New Roman" w:hAnsi="Times New Roman"/>
        <w:sz w:val="24"/>
        <w:szCs w:val="24"/>
        <w:lang w:val="en-US"/>
      </w:rPr>
      <w:t>6</w:t>
    </w:r>
    <w:r w:rsidRPr="00C34E18">
      <w:rPr>
        <w:rFonts w:ascii="Times New Roman" w:hAnsi="Times New Roman"/>
        <w:sz w:val="24"/>
        <w:szCs w:val="24"/>
      </w:rPr>
      <w:t xml:space="preserve"> года</w:t>
    </w:r>
  </w:p>
  <w:p w:rsidR="001951E6" w:rsidRDefault="001951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241DA"/>
    <w:multiLevelType w:val="hybridMultilevel"/>
    <w:tmpl w:val="0F6C2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96203E9"/>
    <w:multiLevelType w:val="hybridMultilevel"/>
    <w:tmpl w:val="7A408F76"/>
    <w:lvl w:ilvl="0" w:tplc="C052C38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1BA67406"/>
    <w:multiLevelType w:val="hybridMultilevel"/>
    <w:tmpl w:val="929AA4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894276C"/>
    <w:multiLevelType w:val="hybridMultilevel"/>
    <w:tmpl w:val="20DAC0D4"/>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
    <w:nsid w:val="4B134AEC"/>
    <w:multiLevelType w:val="hybridMultilevel"/>
    <w:tmpl w:val="BABAFE78"/>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7664294E"/>
    <w:multiLevelType w:val="hybridMultilevel"/>
    <w:tmpl w:val="8ADA77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3534"/>
    <w:rsid w:val="000028B0"/>
    <w:rsid w:val="00002996"/>
    <w:rsid w:val="00003046"/>
    <w:rsid w:val="00003DFD"/>
    <w:rsid w:val="000065E2"/>
    <w:rsid w:val="000109D3"/>
    <w:rsid w:val="000164F5"/>
    <w:rsid w:val="00017BAF"/>
    <w:rsid w:val="00021FAE"/>
    <w:rsid w:val="00025235"/>
    <w:rsid w:val="00025C6B"/>
    <w:rsid w:val="00027CD3"/>
    <w:rsid w:val="00034551"/>
    <w:rsid w:val="000372DF"/>
    <w:rsid w:val="0003799A"/>
    <w:rsid w:val="0004403E"/>
    <w:rsid w:val="000478C6"/>
    <w:rsid w:val="00051F5E"/>
    <w:rsid w:val="00052D32"/>
    <w:rsid w:val="00054376"/>
    <w:rsid w:val="000656BC"/>
    <w:rsid w:val="000672DC"/>
    <w:rsid w:val="00081DCC"/>
    <w:rsid w:val="00084022"/>
    <w:rsid w:val="0008505D"/>
    <w:rsid w:val="00086052"/>
    <w:rsid w:val="00087F4D"/>
    <w:rsid w:val="00091AC3"/>
    <w:rsid w:val="00092222"/>
    <w:rsid w:val="00096924"/>
    <w:rsid w:val="000B1C9B"/>
    <w:rsid w:val="000B6FD7"/>
    <w:rsid w:val="000B70B5"/>
    <w:rsid w:val="000B7513"/>
    <w:rsid w:val="000C2850"/>
    <w:rsid w:val="000D1970"/>
    <w:rsid w:val="000D3AB7"/>
    <w:rsid w:val="000D6508"/>
    <w:rsid w:val="000D700A"/>
    <w:rsid w:val="000D77C0"/>
    <w:rsid w:val="000D7AA8"/>
    <w:rsid w:val="000E1C56"/>
    <w:rsid w:val="000E3985"/>
    <w:rsid w:val="000E46E6"/>
    <w:rsid w:val="000E65F6"/>
    <w:rsid w:val="000E68DA"/>
    <w:rsid w:val="000F714C"/>
    <w:rsid w:val="0010401A"/>
    <w:rsid w:val="0010492A"/>
    <w:rsid w:val="001102B6"/>
    <w:rsid w:val="00110761"/>
    <w:rsid w:val="00111462"/>
    <w:rsid w:val="0011385E"/>
    <w:rsid w:val="0011407B"/>
    <w:rsid w:val="001213EC"/>
    <w:rsid w:val="00123613"/>
    <w:rsid w:val="00124C1E"/>
    <w:rsid w:val="001251E0"/>
    <w:rsid w:val="001258AF"/>
    <w:rsid w:val="001263A6"/>
    <w:rsid w:val="001354DA"/>
    <w:rsid w:val="00147611"/>
    <w:rsid w:val="00154F8F"/>
    <w:rsid w:val="001563E9"/>
    <w:rsid w:val="00166317"/>
    <w:rsid w:val="00167C5C"/>
    <w:rsid w:val="00172517"/>
    <w:rsid w:val="001731B7"/>
    <w:rsid w:val="00173DA4"/>
    <w:rsid w:val="00176AE6"/>
    <w:rsid w:val="00176E1C"/>
    <w:rsid w:val="0018341F"/>
    <w:rsid w:val="001838C0"/>
    <w:rsid w:val="00184A27"/>
    <w:rsid w:val="00185FBC"/>
    <w:rsid w:val="001877E0"/>
    <w:rsid w:val="001906D8"/>
    <w:rsid w:val="001951E6"/>
    <w:rsid w:val="00195505"/>
    <w:rsid w:val="0019696D"/>
    <w:rsid w:val="00197767"/>
    <w:rsid w:val="00197870"/>
    <w:rsid w:val="00197FAE"/>
    <w:rsid w:val="001A091D"/>
    <w:rsid w:val="001A1E2B"/>
    <w:rsid w:val="001A2C11"/>
    <w:rsid w:val="001C43AF"/>
    <w:rsid w:val="001C60E8"/>
    <w:rsid w:val="001D1C44"/>
    <w:rsid w:val="001D1F8B"/>
    <w:rsid w:val="001D5B5E"/>
    <w:rsid w:val="001D6EB1"/>
    <w:rsid w:val="001F2285"/>
    <w:rsid w:val="001F3C12"/>
    <w:rsid w:val="001F43FB"/>
    <w:rsid w:val="001F51A6"/>
    <w:rsid w:val="00206D73"/>
    <w:rsid w:val="00207549"/>
    <w:rsid w:val="00210B7B"/>
    <w:rsid w:val="00211ABD"/>
    <w:rsid w:val="00213969"/>
    <w:rsid w:val="00214FFD"/>
    <w:rsid w:val="002150FC"/>
    <w:rsid w:val="00216B38"/>
    <w:rsid w:val="0021711A"/>
    <w:rsid w:val="002175B9"/>
    <w:rsid w:val="002201D0"/>
    <w:rsid w:val="00223EDE"/>
    <w:rsid w:val="00225D84"/>
    <w:rsid w:val="002272BD"/>
    <w:rsid w:val="0023001F"/>
    <w:rsid w:val="002311AB"/>
    <w:rsid w:val="00231C3B"/>
    <w:rsid w:val="002329E1"/>
    <w:rsid w:val="00235C33"/>
    <w:rsid w:val="00235FE0"/>
    <w:rsid w:val="00250D2D"/>
    <w:rsid w:val="00250D65"/>
    <w:rsid w:val="002574B2"/>
    <w:rsid w:val="00263F36"/>
    <w:rsid w:val="002653BA"/>
    <w:rsid w:val="002653BD"/>
    <w:rsid w:val="0026672D"/>
    <w:rsid w:val="00275027"/>
    <w:rsid w:val="0027693B"/>
    <w:rsid w:val="00277B50"/>
    <w:rsid w:val="00283915"/>
    <w:rsid w:val="00283DD3"/>
    <w:rsid w:val="002842C8"/>
    <w:rsid w:val="0029221D"/>
    <w:rsid w:val="002A189B"/>
    <w:rsid w:val="002A2215"/>
    <w:rsid w:val="002A3321"/>
    <w:rsid w:val="002A7D93"/>
    <w:rsid w:val="002B27B7"/>
    <w:rsid w:val="002B34D1"/>
    <w:rsid w:val="002B5ED0"/>
    <w:rsid w:val="002B6CEF"/>
    <w:rsid w:val="002C1AA8"/>
    <w:rsid w:val="002C1C28"/>
    <w:rsid w:val="002C2551"/>
    <w:rsid w:val="002C2B3B"/>
    <w:rsid w:val="002C759D"/>
    <w:rsid w:val="002C7A60"/>
    <w:rsid w:val="002D1750"/>
    <w:rsid w:val="002D2C73"/>
    <w:rsid w:val="002F50AE"/>
    <w:rsid w:val="0030175C"/>
    <w:rsid w:val="00301894"/>
    <w:rsid w:val="00301F09"/>
    <w:rsid w:val="0030266D"/>
    <w:rsid w:val="00304CA4"/>
    <w:rsid w:val="00304E15"/>
    <w:rsid w:val="00315C25"/>
    <w:rsid w:val="003202B7"/>
    <w:rsid w:val="00326C08"/>
    <w:rsid w:val="00326EEE"/>
    <w:rsid w:val="00333C83"/>
    <w:rsid w:val="003344BE"/>
    <w:rsid w:val="00336DF7"/>
    <w:rsid w:val="00337779"/>
    <w:rsid w:val="003415E1"/>
    <w:rsid w:val="00341BFD"/>
    <w:rsid w:val="0034529D"/>
    <w:rsid w:val="00346FC9"/>
    <w:rsid w:val="003538C7"/>
    <w:rsid w:val="00354200"/>
    <w:rsid w:val="00354DB4"/>
    <w:rsid w:val="00356B15"/>
    <w:rsid w:val="00357509"/>
    <w:rsid w:val="0036680C"/>
    <w:rsid w:val="003669E0"/>
    <w:rsid w:val="00370B1B"/>
    <w:rsid w:val="00377447"/>
    <w:rsid w:val="00381A8A"/>
    <w:rsid w:val="0038501E"/>
    <w:rsid w:val="00387564"/>
    <w:rsid w:val="0039001E"/>
    <w:rsid w:val="00393FFB"/>
    <w:rsid w:val="003942D7"/>
    <w:rsid w:val="003A0A7B"/>
    <w:rsid w:val="003A4CA8"/>
    <w:rsid w:val="003B4868"/>
    <w:rsid w:val="003B5CF9"/>
    <w:rsid w:val="003C5795"/>
    <w:rsid w:val="003C6EF5"/>
    <w:rsid w:val="003D296B"/>
    <w:rsid w:val="003D650E"/>
    <w:rsid w:val="003E038E"/>
    <w:rsid w:val="003E2E8D"/>
    <w:rsid w:val="003F2409"/>
    <w:rsid w:val="003F31E3"/>
    <w:rsid w:val="003F64E9"/>
    <w:rsid w:val="004010C5"/>
    <w:rsid w:val="00414B21"/>
    <w:rsid w:val="00416F2F"/>
    <w:rsid w:val="00417391"/>
    <w:rsid w:val="004221B7"/>
    <w:rsid w:val="00423553"/>
    <w:rsid w:val="004302E3"/>
    <w:rsid w:val="00432557"/>
    <w:rsid w:val="004407F0"/>
    <w:rsid w:val="00441D53"/>
    <w:rsid w:val="00442FFF"/>
    <w:rsid w:val="00443BBF"/>
    <w:rsid w:val="00444B5A"/>
    <w:rsid w:val="00446F25"/>
    <w:rsid w:val="00450FAD"/>
    <w:rsid w:val="00450FF5"/>
    <w:rsid w:val="00451A9E"/>
    <w:rsid w:val="00454AF7"/>
    <w:rsid w:val="00454D25"/>
    <w:rsid w:val="004551F0"/>
    <w:rsid w:val="00457DBD"/>
    <w:rsid w:val="00460025"/>
    <w:rsid w:val="004644C7"/>
    <w:rsid w:val="00467BFE"/>
    <w:rsid w:val="00471FE5"/>
    <w:rsid w:val="004732F4"/>
    <w:rsid w:val="00473CFE"/>
    <w:rsid w:val="00475060"/>
    <w:rsid w:val="004803A7"/>
    <w:rsid w:val="00480F1A"/>
    <w:rsid w:val="004849A0"/>
    <w:rsid w:val="00487047"/>
    <w:rsid w:val="00490205"/>
    <w:rsid w:val="004908EE"/>
    <w:rsid w:val="00491AAD"/>
    <w:rsid w:val="00493F3A"/>
    <w:rsid w:val="00497349"/>
    <w:rsid w:val="004B2266"/>
    <w:rsid w:val="004B2C10"/>
    <w:rsid w:val="004B4B50"/>
    <w:rsid w:val="004C0C5D"/>
    <w:rsid w:val="004D0CFC"/>
    <w:rsid w:val="004D30DC"/>
    <w:rsid w:val="004D5DE2"/>
    <w:rsid w:val="004D7564"/>
    <w:rsid w:val="004E3E0C"/>
    <w:rsid w:val="004E54F8"/>
    <w:rsid w:val="004E57FD"/>
    <w:rsid w:val="004F0D2C"/>
    <w:rsid w:val="004F2ACC"/>
    <w:rsid w:val="004F6DC6"/>
    <w:rsid w:val="004F7F45"/>
    <w:rsid w:val="00502FD9"/>
    <w:rsid w:val="005045D1"/>
    <w:rsid w:val="00504EA9"/>
    <w:rsid w:val="0050779C"/>
    <w:rsid w:val="00507881"/>
    <w:rsid w:val="00507A1B"/>
    <w:rsid w:val="00511074"/>
    <w:rsid w:val="005114EE"/>
    <w:rsid w:val="00514554"/>
    <w:rsid w:val="0051648A"/>
    <w:rsid w:val="005168CC"/>
    <w:rsid w:val="00516905"/>
    <w:rsid w:val="0052294D"/>
    <w:rsid w:val="00522F9C"/>
    <w:rsid w:val="00523191"/>
    <w:rsid w:val="00532427"/>
    <w:rsid w:val="00532D21"/>
    <w:rsid w:val="005402E0"/>
    <w:rsid w:val="005431EA"/>
    <w:rsid w:val="00547035"/>
    <w:rsid w:val="005504B6"/>
    <w:rsid w:val="005676FA"/>
    <w:rsid w:val="00575FFD"/>
    <w:rsid w:val="00576858"/>
    <w:rsid w:val="005768EF"/>
    <w:rsid w:val="00577803"/>
    <w:rsid w:val="00582564"/>
    <w:rsid w:val="00583347"/>
    <w:rsid w:val="005919C9"/>
    <w:rsid w:val="005A26BC"/>
    <w:rsid w:val="005B60FC"/>
    <w:rsid w:val="005C44EF"/>
    <w:rsid w:val="005C5589"/>
    <w:rsid w:val="005D1382"/>
    <w:rsid w:val="005D1C91"/>
    <w:rsid w:val="005D270A"/>
    <w:rsid w:val="005D2E54"/>
    <w:rsid w:val="005D33D8"/>
    <w:rsid w:val="005D5AFE"/>
    <w:rsid w:val="005D5B20"/>
    <w:rsid w:val="005E2DD8"/>
    <w:rsid w:val="005F11B5"/>
    <w:rsid w:val="006001F5"/>
    <w:rsid w:val="00606BA4"/>
    <w:rsid w:val="00610D1A"/>
    <w:rsid w:val="006111D0"/>
    <w:rsid w:val="00611FDC"/>
    <w:rsid w:val="006139A0"/>
    <w:rsid w:val="006146DA"/>
    <w:rsid w:val="00617220"/>
    <w:rsid w:val="00622C2D"/>
    <w:rsid w:val="00623DE5"/>
    <w:rsid w:val="00625897"/>
    <w:rsid w:val="00631081"/>
    <w:rsid w:val="00637947"/>
    <w:rsid w:val="00640F23"/>
    <w:rsid w:val="00646E20"/>
    <w:rsid w:val="0065044F"/>
    <w:rsid w:val="00651184"/>
    <w:rsid w:val="006511FE"/>
    <w:rsid w:val="006549A8"/>
    <w:rsid w:val="006559CC"/>
    <w:rsid w:val="006609D1"/>
    <w:rsid w:val="00660AAC"/>
    <w:rsid w:val="006639EE"/>
    <w:rsid w:val="00664B1D"/>
    <w:rsid w:val="0066612B"/>
    <w:rsid w:val="006677BF"/>
    <w:rsid w:val="00671FAB"/>
    <w:rsid w:val="00672986"/>
    <w:rsid w:val="006752AA"/>
    <w:rsid w:val="00677F2B"/>
    <w:rsid w:val="00686AAF"/>
    <w:rsid w:val="0069409B"/>
    <w:rsid w:val="00694AD2"/>
    <w:rsid w:val="0069788A"/>
    <w:rsid w:val="006A4407"/>
    <w:rsid w:val="006A6352"/>
    <w:rsid w:val="006B068F"/>
    <w:rsid w:val="006B208A"/>
    <w:rsid w:val="006B2B5A"/>
    <w:rsid w:val="006B4627"/>
    <w:rsid w:val="006B4AD3"/>
    <w:rsid w:val="006B4AE4"/>
    <w:rsid w:val="006B4C3B"/>
    <w:rsid w:val="006B750C"/>
    <w:rsid w:val="006C2876"/>
    <w:rsid w:val="006C4A24"/>
    <w:rsid w:val="006C4D3C"/>
    <w:rsid w:val="006C510C"/>
    <w:rsid w:val="006C70F4"/>
    <w:rsid w:val="006D3D8A"/>
    <w:rsid w:val="006E273E"/>
    <w:rsid w:val="006E3859"/>
    <w:rsid w:val="006E473B"/>
    <w:rsid w:val="006E6846"/>
    <w:rsid w:val="006F15C8"/>
    <w:rsid w:val="006F1EC2"/>
    <w:rsid w:val="006F2AC5"/>
    <w:rsid w:val="006F3F00"/>
    <w:rsid w:val="006F4B85"/>
    <w:rsid w:val="006F59D4"/>
    <w:rsid w:val="006F788F"/>
    <w:rsid w:val="00701F2B"/>
    <w:rsid w:val="00702A4F"/>
    <w:rsid w:val="00710E03"/>
    <w:rsid w:val="0071199E"/>
    <w:rsid w:val="00713A91"/>
    <w:rsid w:val="00715559"/>
    <w:rsid w:val="00715836"/>
    <w:rsid w:val="0072002D"/>
    <w:rsid w:val="00727FC3"/>
    <w:rsid w:val="007301DE"/>
    <w:rsid w:val="00732A4F"/>
    <w:rsid w:val="00735A48"/>
    <w:rsid w:val="00746186"/>
    <w:rsid w:val="00754968"/>
    <w:rsid w:val="00754C3E"/>
    <w:rsid w:val="0075680A"/>
    <w:rsid w:val="00762FA0"/>
    <w:rsid w:val="00763262"/>
    <w:rsid w:val="007638ED"/>
    <w:rsid w:val="0076795D"/>
    <w:rsid w:val="00773534"/>
    <w:rsid w:val="00773B1D"/>
    <w:rsid w:val="00777BAA"/>
    <w:rsid w:val="00781718"/>
    <w:rsid w:val="007907FA"/>
    <w:rsid w:val="00795481"/>
    <w:rsid w:val="007956DE"/>
    <w:rsid w:val="007979CC"/>
    <w:rsid w:val="007A0E32"/>
    <w:rsid w:val="007A1C97"/>
    <w:rsid w:val="007A2ED2"/>
    <w:rsid w:val="007A4F7F"/>
    <w:rsid w:val="007A58D0"/>
    <w:rsid w:val="007B2104"/>
    <w:rsid w:val="007B2781"/>
    <w:rsid w:val="007B5D63"/>
    <w:rsid w:val="007C028C"/>
    <w:rsid w:val="007C68B5"/>
    <w:rsid w:val="007C75F2"/>
    <w:rsid w:val="007D3283"/>
    <w:rsid w:val="007D5592"/>
    <w:rsid w:val="007D6309"/>
    <w:rsid w:val="007D7BBF"/>
    <w:rsid w:val="007E0018"/>
    <w:rsid w:val="007E2BCA"/>
    <w:rsid w:val="007E60DC"/>
    <w:rsid w:val="007F10C6"/>
    <w:rsid w:val="007F5262"/>
    <w:rsid w:val="007F5ED0"/>
    <w:rsid w:val="007F656C"/>
    <w:rsid w:val="008004DA"/>
    <w:rsid w:val="00803F9F"/>
    <w:rsid w:val="00803FCF"/>
    <w:rsid w:val="00806D65"/>
    <w:rsid w:val="008076A1"/>
    <w:rsid w:val="00814EB0"/>
    <w:rsid w:val="00821A86"/>
    <w:rsid w:val="008232FD"/>
    <w:rsid w:val="00823636"/>
    <w:rsid w:val="0082543B"/>
    <w:rsid w:val="008321B8"/>
    <w:rsid w:val="008434F2"/>
    <w:rsid w:val="00854035"/>
    <w:rsid w:val="00863B44"/>
    <w:rsid w:val="0086524C"/>
    <w:rsid w:val="00867D25"/>
    <w:rsid w:val="00875E8B"/>
    <w:rsid w:val="00877A6D"/>
    <w:rsid w:val="00877AFA"/>
    <w:rsid w:val="00877CF4"/>
    <w:rsid w:val="008819C2"/>
    <w:rsid w:val="00882732"/>
    <w:rsid w:val="00883DCD"/>
    <w:rsid w:val="00886881"/>
    <w:rsid w:val="008906B9"/>
    <w:rsid w:val="00892E6D"/>
    <w:rsid w:val="00894478"/>
    <w:rsid w:val="00897E35"/>
    <w:rsid w:val="008A192D"/>
    <w:rsid w:val="008A3283"/>
    <w:rsid w:val="008A5F74"/>
    <w:rsid w:val="008A7B05"/>
    <w:rsid w:val="008B21A2"/>
    <w:rsid w:val="008B7595"/>
    <w:rsid w:val="008C14BA"/>
    <w:rsid w:val="008C1F8B"/>
    <w:rsid w:val="008C5F07"/>
    <w:rsid w:val="008C61D2"/>
    <w:rsid w:val="008C700B"/>
    <w:rsid w:val="008C7125"/>
    <w:rsid w:val="008D0AC3"/>
    <w:rsid w:val="008E046B"/>
    <w:rsid w:val="008E3818"/>
    <w:rsid w:val="008E6402"/>
    <w:rsid w:val="008E6AF6"/>
    <w:rsid w:val="008F0086"/>
    <w:rsid w:val="008F0125"/>
    <w:rsid w:val="008F1997"/>
    <w:rsid w:val="008F596A"/>
    <w:rsid w:val="00903418"/>
    <w:rsid w:val="00904B53"/>
    <w:rsid w:val="009100E1"/>
    <w:rsid w:val="00912644"/>
    <w:rsid w:val="00913C06"/>
    <w:rsid w:val="009151A4"/>
    <w:rsid w:val="0091635C"/>
    <w:rsid w:val="00922FE0"/>
    <w:rsid w:val="00923BE3"/>
    <w:rsid w:val="00926FA9"/>
    <w:rsid w:val="0092756B"/>
    <w:rsid w:val="00932264"/>
    <w:rsid w:val="00934B46"/>
    <w:rsid w:val="00935D56"/>
    <w:rsid w:val="00940567"/>
    <w:rsid w:val="009408C2"/>
    <w:rsid w:val="00942541"/>
    <w:rsid w:val="00947827"/>
    <w:rsid w:val="00953FC9"/>
    <w:rsid w:val="009557B6"/>
    <w:rsid w:val="00957DC6"/>
    <w:rsid w:val="00963676"/>
    <w:rsid w:val="00966CA9"/>
    <w:rsid w:val="00967022"/>
    <w:rsid w:val="0097216D"/>
    <w:rsid w:val="00972F7F"/>
    <w:rsid w:val="0097305E"/>
    <w:rsid w:val="00975521"/>
    <w:rsid w:val="00975D38"/>
    <w:rsid w:val="009941F2"/>
    <w:rsid w:val="009B059E"/>
    <w:rsid w:val="009B201D"/>
    <w:rsid w:val="009B2A28"/>
    <w:rsid w:val="009B54B2"/>
    <w:rsid w:val="009C1082"/>
    <w:rsid w:val="009C3C59"/>
    <w:rsid w:val="009C3CC9"/>
    <w:rsid w:val="009C4393"/>
    <w:rsid w:val="009C4E47"/>
    <w:rsid w:val="009D37D0"/>
    <w:rsid w:val="009D5C42"/>
    <w:rsid w:val="009E0616"/>
    <w:rsid w:val="009E12D2"/>
    <w:rsid w:val="009E484B"/>
    <w:rsid w:val="009E5DC5"/>
    <w:rsid w:val="009E5FCF"/>
    <w:rsid w:val="009E7289"/>
    <w:rsid w:val="009F29F1"/>
    <w:rsid w:val="009F4B95"/>
    <w:rsid w:val="009F7ABA"/>
    <w:rsid w:val="009F7D16"/>
    <w:rsid w:val="00A0168B"/>
    <w:rsid w:val="00A075A6"/>
    <w:rsid w:val="00A11EA0"/>
    <w:rsid w:val="00A16DAF"/>
    <w:rsid w:val="00A258BC"/>
    <w:rsid w:val="00A262F9"/>
    <w:rsid w:val="00A3304D"/>
    <w:rsid w:val="00A401EB"/>
    <w:rsid w:val="00A461D5"/>
    <w:rsid w:val="00A50545"/>
    <w:rsid w:val="00A5329B"/>
    <w:rsid w:val="00A64686"/>
    <w:rsid w:val="00A66C6D"/>
    <w:rsid w:val="00A670EF"/>
    <w:rsid w:val="00A6775D"/>
    <w:rsid w:val="00A7066A"/>
    <w:rsid w:val="00A72469"/>
    <w:rsid w:val="00A7427A"/>
    <w:rsid w:val="00A777DA"/>
    <w:rsid w:val="00A853AE"/>
    <w:rsid w:val="00A93D57"/>
    <w:rsid w:val="00A9452A"/>
    <w:rsid w:val="00AA3BEF"/>
    <w:rsid w:val="00AA5660"/>
    <w:rsid w:val="00AA7D56"/>
    <w:rsid w:val="00AB1E44"/>
    <w:rsid w:val="00AB4843"/>
    <w:rsid w:val="00AB562D"/>
    <w:rsid w:val="00AB5AD5"/>
    <w:rsid w:val="00AB6E57"/>
    <w:rsid w:val="00AC34E7"/>
    <w:rsid w:val="00AC7893"/>
    <w:rsid w:val="00AD0762"/>
    <w:rsid w:val="00AD1C03"/>
    <w:rsid w:val="00AD41DD"/>
    <w:rsid w:val="00AD4EAF"/>
    <w:rsid w:val="00AD5281"/>
    <w:rsid w:val="00AE1C38"/>
    <w:rsid w:val="00AE75FA"/>
    <w:rsid w:val="00AE790A"/>
    <w:rsid w:val="00AF01C7"/>
    <w:rsid w:val="00AF0B08"/>
    <w:rsid w:val="00AF737B"/>
    <w:rsid w:val="00B04414"/>
    <w:rsid w:val="00B13ECD"/>
    <w:rsid w:val="00B21C08"/>
    <w:rsid w:val="00B226CB"/>
    <w:rsid w:val="00B239F3"/>
    <w:rsid w:val="00B26FF1"/>
    <w:rsid w:val="00B32077"/>
    <w:rsid w:val="00B349C4"/>
    <w:rsid w:val="00B36910"/>
    <w:rsid w:val="00B4049F"/>
    <w:rsid w:val="00B50947"/>
    <w:rsid w:val="00B56ECB"/>
    <w:rsid w:val="00B605CD"/>
    <w:rsid w:val="00B618E1"/>
    <w:rsid w:val="00B6542C"/>
    <w:rsid w:val="00B679FC"/>
    <w:rsid w:val="00B70828"/>
    <w:rsid w:val="00B72306"/>
    <w:rsid w:val="00B75F68"/>
    <w:rsid w:val="00B81762"/>
    <w:rsid w:val="00B817E3"/>
    <w:rsid w:val="00B874BA"/>
    <w:rsid w:val="00B914FA"/>
    <w:rsid w:val="00B932F0"/>
    <w:rsid w:val="00BA073C"/>
    <w:rsid w:val="00BA23E0"/>
    <w:rsid w:val="00BA7567"/>
    <w:rsid w:val="00BB0CDB"/>
    <w:rsid w:val="00BB2AD8"/>
    <w:rsid w:val="00BB375C"/>
    <w:rsid w:val="00BB6B1A"/>
    <w:rsid w:val="00BD05F7"/>
    <w:rsid w:val="00BD1435"/>
    <w:rsid w:val="00BD3D76"/>
    <w:rsid w:val="00BD4A5F"/>
    <w:rsid w:val="00BE167B"/>
    <w:rsid w:val="00BE518C"/>
    <w:rsid w:val="00BE5326"/>
    <w:rsid w:val="00BE7BE6"/>
    <w:rsid w:val="00C00242"/>
    <w:rsid w:val="00C00AA7"/>
    <w:rsid w:val="00C0143D"/>
    <w:rsid w:val="00C04D54"/>
    <w:rsid w:val="00C052C6"/>
    <w:rsid w:val="00C05DA2"/>
    <w:rsid w:val="00C07D44"/>
    <w:rsid w:val="00C157F9"/>
    <w:rsid w:val="00C20B70"/>
    <w:rsid w:val="00C2180F"/>
    <w:rsid w:val="00C239C3"/>
    <w:rsid w:val="00C23F44"/>
    <w:rsid w:val="00C33ABD"/>
    <w:rsid w:val="00C348BF"/>
    <w:rsid w:val="00C34E18"/>
    <w:rsid w:val="00C40B47"/>
    <w:rsid w:val="00C4286A"/>
    <w:rsid w:val="00C472EE"/>
    <w:rsid w:val="00C505BE"/>
    <w:rsid w:val="00C530A7"/>
    <w:rsid w:val="00C53161"/>
    <w:rsid w:val="00C5702A"/>
    <w:rsid w:val="00C57669"/>
    <w:rsid w:val="00C577D9"/>
    <w:rsid w:val="00C62CFD"/>
    <w:rsid w:val="00C71C1D"/>
    <w:rsid w:val="00C71CA9"/>
    <w:rsid w:val="00C74E0A"/>
    <w:rsid w:val="00C7649C"/>
    <w:rsid w:val="00C80354"/>
    <w:rsid w:val="00C828D4"/>
    <w:rsid w:val="00C84ACD"/>
    <w:rsid w:val="00C87435"/>
    <w:rsid w:val="00C9296B"/>
    <w:rsid w:val="00CB45FA"/>
    <w:rsid w:val="00CB46F2"/>
    <w:rsid w:val="00CB56B7"/>
    <w:rsid w:val="00CB7ADE"/>
    <w:rsid w:val="00CC0E94"/>
    <w:rsid w:val="00CD0933"/>
    <w:rsid w:val="00CD788E"/>
    <w:rsid w:val="00CE13F6"/>
    <w:rsid w:val="00CE5A02"/>
    <w:rsid w:val="00CF3E78"/>
    <w:rsid w:val="00CF601A"/>
    <w:rsid w:val="00CF7243"/>
    <w:rsid w:val="00D0198F"/>
    <w:rsid w:val="00D050B8"/>
    <w:rsid w:val="00D054C3"/>
    <w:rsid w:val="00D07984"/>
    <w:rsid w:val="00D16C0B"/>
    <w:rsid w:val="00D22695"/>
    <w:rsid w:val="00D22B09"/>
    <w:rsid w:val="00D332DE"/>
    <w:rsid w:val="00D3683C"/>
    <w:rsid w:val="00D3782C"/>
    <w:rsid w:val="00D40A20"/>
    <w:rsid w:val="00D40F87"/>
    <w:rsid w:val="00D41B93"/>
    <w:rsid w:val="00D423FB"/>
    <w:rsid w:val="00D4655B"/>
    <w:rsid w:val="00D4770D"/>
    <w:rsid w:val="00D505F2"/>
    <w:rsid w:val="00D51FCD"/>
    <w:rsid w:val="00D55183"/>
    <w:rsid w:val="00D60673"/>
    <w:rsid w:val="00D618D2"/>
    <w:rsid w:val="00D62481"/>
    <w:rsid w:val="00D6263D"/>
    <w:rsid w:val="00D64409"/>
    <w:rsid w:val="00D64E87"/>
    <w:rsid w:val="00D64F26"/>
    <w:rsid w:val="00D64FAE"/>
    <w:rsid w:val="00D65683"/>
    <w:rsid w:val="00D65887"/>
    <w:rsid w:val="00D66997"/>
    <w:rsid w:val="00D75412"/>
    <w:rsid w:val="00D77593"/>
    <w:rsid w:val="00D8306D"/>
    <w:rsid w:val="00D840D8"/>
    <w:rsid w:val="00D84BF7"/>
    <w:rsid w:val="00D8606F"/>
    <w:rsid w:val="00D91ADD"/>
    <w:rsid w:val="00D9660F"/>
    <w:rsid w:val="00DA3178"/>
    <w:rsid w:val="00DA5B65"/>
    <w:rsid w:val="00DA6BD0"/>
    <w:rsid w:val="00DA7288"/>
    <w:rsid w:val="00DB331D"/>
    <w:rsid w:val="00DB7E64"/>
    <w:rsid w:val="00DC22FA"/>
    <w:rsid w:val="00DC2FFD"/>
    <w:rsid w:val="00DC4D74"/>
    <w:rsid w:val="00DC61CB"/>
    <w:rsid w:val="00DD13A8"/>
    <w:rsid w:val="00DD23B8"/>
    <w:rsid w:val="00DD25F6"/>
    <w:rsid w:val="00DD45BE"/>
    <w:rsid w:val="00DD57C3"/>
    <w:rsid w:val="00DE27F8"/>
    <w:rsid w:val="00DF2E02"/>
    <w:rsid w:val="00E01E11"/>
    <w:rsid w:val="00E01F07"/>
    <w:rsid w:val="00E030D2"/>
    <w:rsid w:val="00E0363D"/>
    <w:rsid w:val="00E0382F"/>
    <w:rsid w:val="00E049CB"/>
    <w:rsid w:val="00E04F43"/>
    <w:rsid w:val="00E06833"/>
    <w:rsid w:val="00E06A9D"/>
    <w:rsid w:val="00E13430"/>
    <w:rsid w:val="00E14622"/>
    <w:rsid w:val="00E16002"/>
    <w:rsid w:val="00E164C6"/>
    <w:rsid w:val="00E17C0F"/>
    <w:rsid w:val="00E17DCB"/>
    <w:rsid w:val="00E2177D"/>
    <w:rsid w:val="00E23720"/>
    <w:rsid w:val="00E23BD9"/>
    <w:rsid w:val="00E31088"/>
    <w:rsid w:val="00E33338"/>
    <w:rsid w:val="00E367B6"/>
    <w:rsid w:val="00E37A1A"/>
    <w:rsid w:val="00E409CB"/>
    <w:rsid w:val="00E44DD5"/>
    <w:rsid w:val="00E45D65"/>
    <w:rsid w:val="00E46F6D"/>
    <w:rsid w:val="00E515A8"/>
    <w:rsid w:val="00E5619C"/>
    <w:rsid w:val="00E62545"/>
    <w:rsid w:val="00E65FE0"/>
    <w:rsid w:val="00E7156E"/>
    <w:rsid w:val="00E71B46"/>
    <w:rsid w:val="00E71BB8"/>
    <w:rsid w:val="00E862A2"/>
    <w:rsid w:val="00EA1D04"/>
    <w:rsid w:val="00EA3A4A"/>
    <w:rsid w:val="00EA4105"/>
    <w:rsid w:val="00EA459D"/>
    <w:rsid w:val="00EA6E35"/>
    <w:rsid w:val="00EB05A5"/>
    <w:rsid w:val="00EB3743"/>
    <w:rsid w:val="00EB4688"/>
    <w:rsid w:val="00EB4ED3"/>
    <w:rsid w:val="00EC2D20"/>
    <w:rsid w:val="00EC355A"/>
    <w:rsid w:val="00EC46B5"/>
    <w:rsid w:val="00EC6D28"/>
    <w:rsid w:val="00EC7ABA"/>
    <w:rsid w:val="00ED1FFB"/>
    <w:rsid w:val="00ED5B94"/>
    <w:rsid w:val="00ED5DE7"/>
    <w:rsid w:val="00ED6F42"/>
    <w:rsid w:val="00EE0359"/>
    <w:rsid w:val="00EE2E1F"/>
    <w:rsid w:val="00EE34ED"/>
    <w:rsid w:val="00EE4012"/>
    <w:rsid w:val="00EF272F"/>
    <w:rsid w:val="00EF3E07"/>
    <w:rsid w:val="00EF41A7"/>
    <w:rsid w:val="00EF5F72"/>
    <w:rsid w:val="00F03D27"/>
    <w:rsid w:val="00F044D4"/>
    <w:rsid w:val="00F0528B"/>
    <w:rsid w:val="00F061B4"/>
    <w:rsid w:val="00F071E0"/>
    <w:rsid w:val="00F237DE"/>
    <w:rsid w:val="00F26E8D"/>
    <w:rsid w:val="00F312E2"/>
    <w:rsid w:val="00F33578"/>
    <w:rsid w:val="00F5179F"/>
    <w:rsid w:val="00F5336B"/>
    <w:rsid w:val="00F57E18"/>
    <w:rsid w:val="00F67F03"/>
    <w:rsid w:val="00F70598"/>
    <w:rsid w:val="00F70E02"/>
    <w:rsid w:val="00F719FB"/>
    <w:rsid w:val="00F8098E"/>
    <w:rsid w:val="00F81B24"/>
    <w:rsid w:val="00F83032"/>
    <w:rsid w:val="00F8303C"/>
    <w:rsid w:val="00F90627"/>
    <w:rsid w:val="00F91AFD"/>
    <w:rsid w:val="00F94301"/>
    <w:rsid w:val="00F97F0E"/>
    <w:rsid w:val="00FA58BA"/>
    <w:rsid w:val="00FB21DC"/>
    <w:rsid w:val="00FB2914"/>
    <w:rsid w:val="00FE3832"/>
    <w:rsid w:val="00FE6366"/>
    <w:rsid w:val="00FE74BE"/>
    <w:rsid w:val="00FF4B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AF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73534"/>
    <w:rPr>
      <w:lang w:eastAsia="en-US"/>
    </w:rPr>
  </w:style>
  <w:style w:type="paragraph" w:styleId="ListParagraph">
    <w:name w:val="List Paragraph"/>
    <w:basedOn w:val="Normal"/>
    <w:uiPriority w:val="99"/>
    <w:qFormat/>
    <w:rsid w:val="0021711A"/>
    <w:pPr>
      <w:ind w:left="720"/>
      <w:contextualSpacing/>
    </w:pPr>
  </w:style>
  <w:style w:type="paragraph" w:customStyle="1" w:styleId="ConsPlusCell">
    <w:name w:val="ConsPlusCell"/>
    <w:uiPriority w:val="99"/>
    <w:rsid w:val="0072002D"/>
    <w:pPr>
      <w:widowControl w:val="0"/>
      <w:autoSpaceDE w:val="0"/>
      <w:autoSpaceDN w:val="0"/>
      <w:adjustRightInd w:val="0"/>
    </w:pPr>
    <w:rPr>
      <w:rFonts w:ascii="Arial" w:eastAsia="Times New Roman" w:hAnsi="Arial" w:cs="Arial"/>
      <w:sz w:val="20"/>
      <w:szCs w:val="20"/>
    </w:rPr>
  </w:style>
  <w:style w:type="character" w:styleId="Hyperlink">
    <w:name w:val="Hyperlink"/>
    <w:basedOn w:val="DefaultParagraphFont"/>
    <w:uiPriority w:val="99"/>
    <w:rsid w:val="0072002D"/>
    <w:rPr>
      <w:rFonts w:cs="Times New Roman"/>
      <w:color w:val="0000FF"/>
      <w:u w:val="single"/>
    </w:rPr>
  </w:style>
  <w:style w:type="table" w:styleId="TableGrid">
    <w:name w:val="Table Grid"/>
    <w:basedOn w:val="TableNormal"/>
    <w:uiPriority w:val="99"/>
    <w:rsid w:val="00176AE6"/>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55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57B6"/>
    <w:rPr>
      <w:rFonts w:ascii="Tahoma" w:hAnsi="Tahoma" w:cs="Tahoma"/>
      <w:sz w:val="16"/>
      <w:szCs w:val="16"/>
    </w:rPr>
  </w:style>
  <w:style w:type="paragraph" w:styleId="FootnoteText">
    <w:name w:val="footnote text"/>
    <w:basedOn w:val="Normal"/>
    <w:link w:val="FootnoteTextChar"/>
    <w:uiPriority w:val="99"/>
    <w:semiHidden/>
    <w:rsid w:val="00547035"/>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47035"/>
    <w:rPr>
      <w:rFonts w:cs="Times New Roman"/>
      <w:sz w:val="20"/>
      <w:szCs w:val="20"/>
    </w:rPr>
  </w:style>
  <w:style w:type="character" w:styleId="FootnoteReference">
    <w:name w:val="footnote reference"/>
    <w:basedOn w:val="DefaultParagraphFont"/>
    <w:uiPriority w:val="99"/>
    <w:semiHidden/>
    <w:rsid w:val="00547035"/>
    <w:rPr>
      <w:rFonts w:cs="Times New Roman"/>
      <w:vertAlign w:val="superscript"/>
    </w:rPr>
  </w:style>
  <w:style w:type="character" w:customStyle="1" w:styleId="apple-converted-space">
    <w:name w:val="apple-converted-space"/>
    <w:basedOn w:val="DefaultParagraphFont"/>
    <w:uiPriority w:val="99"/>
    <w:rsid w:val="00301894"/>
    <w:rPr>
      <w:rFonts w:cs="Times New Roman"/>
    </w:rPr>
  </w:style>
  <w:style w:type="character" w:customStyle="1" w:styleId="translation-chunk">
    <w:name w:val="translation-chunk"/>
    <w:basedOn w:val="DefaultParagraphFont"/>
    <w:uiPriority w:val="99"/>
    <w:rsid w:val="00E71BB8"/>
    <w:rPr>
      <w:rFonts w:cs="Times New Roman"/>
    </w:rPr>
  </w:style>
  <w:style w:type="paragraph" w:styleId="Header">
    <w:name w:val="header"/>
    <w:basedOn w:val="Normal"/>
    <w:link w:val="HeaderChar"/>
    <w:uiPriority w:val="99"/>
    <w:rsid w:val="00A5329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5329B"/>
    <w:rPr>
      <w:rFonts w:cs="Times New Roman"/>
    </w:rPr>
  </w:style>
  <w:style w:type="paragraph" w:styleId="Footer">
    <w:name w:val="footer"/>
    <w:basedOn w:val="Normal"/>
    <w:link w:val="FooterChar"/>
    <w:uiPriority w:val="99"/>
    <w:rsid w:val="00A5329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5329B"/>
    <w:rPr>
      <w:rFonts w:cs="Times New Roman"/>
    </w:rPr>
  </w:style>
  <w:style w:type="character" w:styleId="PageNumber">
    <w:name w:val="page number"/>
    <w:basedOn w:val="DefaultParagraphFont"/>
    <w:uiPriority w:val="99"/>
    <w:rsid w:val="006752A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FA43B01BB878D01E06B9FBCA14E0533D036CDBEA41FBD16A7A99C293A7DA9E181B35CCB319A870aFI" TargetMode="External"/><Relationship Id="rId18" Type="http://schemas.openxmlformats.org/officeDocument/2006/relationships/hyperlink" Target="consultantplus://offline/ref=EA4CD99AA275F92D08F4CFFD313D53159F9931EA1DB23BA7B2C884F78355CCB76D296FA6CC465AvAJ"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consultantplus://offline/ref=FA43B01BB878D01E06B9FBCA14E0533D036CDBEA41FBD16A7A99C293A7DA9E181B35CCB319A770aEI" TargetMode="External"/><Relationship Id="rId17" Type="http://schemas.openxmlformats.org/officeDocument/2006/relationships/hyperlink" Target="consultantplus://offline/ref=EA4CD99AA275F92D08F4CFFD313D53159F9931EA1DB23BA7B2C884F78355CCB76D296FA6CC435Av9J"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A4CD99AA275F92D08F4CFFD313D53159F9931EA1DB23BA7B2C884F78355CCB76D296FA6CC405AvFJ" TargetMode="External"/><Relationship Id="rId20" Type="http://schemas.openxmlformats.org/officeDocument/2006/relationships/hyperlink" Target="consultantplus://offline/ref=8365A6D516F294D17AE0DB19CF3F5DF6332735A113F4EE220E67C9E6E135B503F00CE9FA321EhD0F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A43B01BB878D01E06B9FBCA14E0533D036CDBEA41FBD16A7A99C293A7DA9E181B35CCB210A070a9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EA4CD99AA275F92D08F4CFFD313D53159F9931EA1DB23BA7B2C884F78355CCB76D296FA6CC435Av9J" TargetMode="External"/><Relationship Id="rId23" Type="http://schemas.openxmlformats.org/officeDocument/2006/relationships/footer" Target="footer1.xml"/><Relationship Id="rId10" Type="http://schemas.openxmlformats.org/officeDocument/2006/relationships/hyperlink" Target="consultantplus://offline/ref=EBABF82FCE83F933B78E9F46867764B32DEA2ED5032AC1D7278450FC236BD7C8CE22A4F7E256h9X4I" TargetMode="External"/><Relationship Id="rId19" Type="http://schemas.openxmlformats.org/officeDocument/2006/relationships/hyperlink" Target="consultantplus://offline/ref=8365A6D516F294D17AE0DB19CF3F5DF6332735A113F4EE220E67C9E6E135B503F00CE9FB3B1ChD02J" TargetMode="External"/><Relationship Id="rId4" Type="http://schemas.openxmlformats.org/officeDocument/2006/relationships/webSettings" Target="webSettings.xml"/><Relationship Id="rId9" Type="http://schemas.openxmlformats.org/officeDocument/2006/relationships/hyperlink" Target="consultantplus://offline/ref=24616442165FBCBAA3D78BD02449114B57C9EF73F3C61C517AA4BB38F3A8D3BDC7C386FC2D88z7UCI" TargetMode="External"/><Relationship Id="rId14" Type="http://schemas.openxmlformats.org/officeDocument/2006/relationships/hyperlink" Target="consultantplus://offline/ref=EA4CD99AA275F92D08F4CFFD313D53159F9931EA1DB23BA7B2C884F78355CCB76D296FA6CC435AvDJ"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3264</TotalTime>
  <Pages>20</Pages>
  <Words>5781</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Rin-n</dc:creator>
  <cp:keywords/>
  <dc:description/>
  <cp:lastModifiedBy>Sergey</cp:lastModifiedBy>
  <cp:revision>927</cp:revision>
  <cp:lastPrinted>2015-10-19T11:31:00Z</cp:lastPrinted>
  <dcterms:created xsi:type="dcterms:W3CDTF">2014-03-31T15:35:00Z</dcterms:created>
  <dcterms:modified xsi:type="dcterms:W3CDTF">2016-05-07T11:42:00Z</dcterms:modified>
</cp:coreProperties>
</file>