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430FBB" w:rsidRPr="009928AF" w:rsidTr="000109FE">
        <w:tc>
          <w:tcPr>
            <w:tcW w:w="4643" w:type="dxa"/>
          </w:tcPr>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УДК 349.412</w:t>
            </w:r>
          </w:p>
          <w:p w:rsidR="00430FBB" w:rsidRPr="009928AF" w:rsidRDefault="00430FBB" w:rsidP="009928AF">
            <w:pPr>
              <w:spacing w:after="0" w:line="240" w:lineRule="auto"/>
              <w:rPr>
                <w:rFonts w:ascii="Times New Roman" w:hAnsi="Times New Roman"/>
                <w:sz w:val="20"/>
                <w:szCs w:val="20"/>
              </w:rPr>
            </w:pP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12.00.00 Юридические науки</w:t>
            </w:r>
          </w:p>
          <w:p w:rsidR="00430FBB" w:rsidRPr="009928AF" w:rsidRDefault="00430FBB" w:rsidP="009928AF">
            <w:pPr>
              <w:spacing w:after="0" w:line="240" w:lineRule="auto"/>
              <w:rPr>
                <w:rFonts w:ascii="Times New Roman" w:hAnsi="Times New Roman"/>
                <w:b/>
                <w:sz w:val="20"/>
                <w:szCs w:val="20"/>
              </w:rPr>
            </w:pPr>
          </w:p>
          <w:p w:rsidR="00430FBB" w:rsidRPr="009928AF" w:rsidRDefault="00430FBB" w:rsidP="009928AF">
            <w:pPr>
              <w:spacing w:after="0" w:line="240" w:lineRule="auto"/>
              <w:rPr>
                <w:rFonts w:ascii="Times New Roman" w:hAnsi="Times New Roman"/>
                <w:b/>
                <w:sz w:val="20"/>
                <w:szCs w:val="20"/>
              </w:rPr>
            </w:pPr>
            <w:r w:rsidRPr="009928AF">
              <w:rPr>
                <w:rFonts w:ascii="Times New Roman" w:hAnsi="Times New Roman"/>
                <w:b/>
                <w:sz w:val="20"/>
                <w:szCs w:val="20"/>
                <w:shd w:val="clear" w:color="auto" w:fill="FFFFFF"/>
              </w:rPr>
              <w:t xml:space="preserve">К ВОПРОСУ О СОВЕРШЕНСТВОВАНИИ КАДАСТРОВЫХ РАБОТ, УЧЕТА </w:t>
            </w:r>
            <w:bookmarkStart w:id="0" w:name="_GoBack"/>
            <w:bookmarkEnd w:id="0"/>
            <w:r w:rsidRPr="009928AF">
              <w:rPr>
                <w:rFonts w:ascii="Times New Roman" w:hAnsi="Times New Roman"/>
                <w:b/>
                <w:sz w:val="20"/>
                <w:szCs w:val="20"/>
                <w:shd w:val="clear" w:color="auto" w:fill="FFFFFF"/>
              </w:rPr>
              <w:t>НЕДВИЖИМОСТИ И РЕГИСТРАЦИИ ПРАВ НА НЕЕ</w:t>
            </w:r>
            <w:r w:rsidRPr="009928AF">
              <w:rPr>
                <w:rFonts w:ascii="Times New Roman" w:hAnsi="Times New Roman"/>
                <w:b/>
                <w:sz w:val="20"/>
                <w:szCs w:val="20"/>
              </w:rPr>
              <w:t xml:space="preserve"> </w:t>
            </w:r>
          </w:p>
          <w:p w:rsidR="00430FBB" w:rsidRPr="009928AF" w:rsidRDefault="00430FBB" w:rsidP="009928AF">
            <w:pPr>
              <w:spacing w:after="0" w:line="240" w:lineRule="auto"/>
              <w:rPr>
                <w:rFonts w:ascii="Times New Roman" w:hAnsi="Times New Roman"/>
                <w:b/>
                <w:sz w:val="20"/>
                <w:szCs w:val="20"/>
              </w:rPr>
            </w:pP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Бабаян Кристина Тиграновна</w:t>
            </w: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Главный специалист отдела организации и мониторинга научной деятельности управления науки и инновации КубГАУ, аспирант</w:t>
            </w:r>
          </w:p>
          <w:p w:rsidR="00430FBB" w:rsidRPr="009928AF" w:rsidRDefault="00430FBB" w:rsidP="009928AF">
            <w:pPr>
              <w:spacing w:after="0" w:line="240" w:lineRule="auto"/>
              <w:rPr>
                <w:rFonts w:ascii="Times New Roman" w:hAnsi="Times New Roman"/>
                <w:sz w:val="20"/>
                <w:szCs w:val="20"/>
                <w:lang w:eastAsia="ru-RU"/>
              </w:rPr>
            </w:pPr>
            <w:r w:rsidRPr="009928AF">
              <w:rPr>
                <w:rFonts w:ascii="Times New Roman" w:hAnsi="Times New Roman"/>
                <w:sz w:val="20"/>
                <w:szCs w:val="20"/>
                <w:lang w:eastAsia="ru-RU"/>
              </w:rPr>
              <w:t>SPIN-код = 3305-2726</w:t>
            </w:r>
          </w:p>
          <w:p w:rsidR="00430FBB" w:rsidRPr="009928AF" w:rsidRDefault="00430FBB" w:rsidP="009928AF">
            <w:pPr>
              <w:spacing w:after="0" w:line="240" w:lineRule="auto"/>
              <w:rPr>
                <w:rFonts w:ascii="Times New Roman" w:hAnsi="Times New Roman"/>
                <w:sz w:val="20"/>
                <w:szCs w:val="20"/>
              </w:rPr>
            </w:pP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Гагай Ирина Владимировна</w:t>
            </w: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соискатель кафедры финансов</w:t>
            </w: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SPIN-код = 7505-3432</w:t>
            </w:r>
          </w:p>
          <w:p w:rsidR="00430FBB" w:rsidRPr="009928AF" w:rsidRDefault="00430FBB" w:rsidP="009928AF">
            <w:pPr>
              <w:spacing w:after="0" w:line="240" w:lineRule="auto"/>
              <w:rPr>
                <w:rFonts w:ascii="Times New Roman" w:hAnsi="Times New Roman"/>
                <w:i/>
                <w:sz w:val="20"/>
                <w:szCs w:val="20"/>
              </w:rPr>
            </w:pPr>
            <w:r w:rsidRPr="009928AF">
              <w:rPr>
                <w:rFonts w:ascii="Times New Roman" w:hAnsi="Times New Roman"/>
                <w:i/>
                <w:sz w:val="20"/>
                <w:szCs w:val="20"/>
              </w:rPr>
              <w:t>ФГБОУ ВПО «Кубанский государственный аграрный университет»</w:t>
            </w:r>
          </w:p>
          <w:p w:rsidR="00430FBB" w:rsidRPr="009928AF" w:rsidRDefault="00430FBB" w:rsidP="009928AF">
            <w:pPr>
              <w:autoSpaceDE w:val="0"/>
              <w:autoSpaceDN w:val="0"/>
              <w:adjustRightInd w:val="0"/>
              <w:spacing w:after="0" w:line="240" w:lineRule="auto"/>
              <w:rPr>
                <w:rFonts w:ascii="Times New Roman" w:hAnsi="Times New Roman"/>
                <w:i/>
                <w:iCs/>
                <w:sz w:val="20"/>
                <w:szCs w:val="20"/>
                <w:lang w:eastAsia="ru-RU"/>
              </w:rPr>
            </w:pPr>
            <w:r w:rsidRPr="009928AF">
              <w:rPr>
                <w:rFonts w:ascii="Times New Roman" w:hAnsi="Times New Roman"/>
                <w:i/>
                <w:iCs/>
                <w:sz w:val="20"/>
                <w:szCs w:val="20"/>
                <w:lang w:eastAsia="ru-RU"/>
              </w:rPr>
              <w:t>350044, Россия, г. Краснодар, ул. Калинина, 13,</w:t>
            </w:r>
          </w:p>
          <w:p w:rsidR="00430FBB" w:rsidRPr="009928AF" w:rsidRDefault="00430FBB" w:rsidP="009928AF">
            <w:pPr>
              <w:autoSpaceDE w:val="0"/>
              <w:autoSpaceDN w:val="0"/>
              <w:adjustRightInd w:val="0"/>
              <w:spacing w:after="0" w:line="240" w:lineRule="auto"/>
              <w:rPr>
                <w:rFonts w:ascii="Times New Roman" w:hAnsi="Times New Roman"/>
                <w:sz w:val="20"/>
                <w:szCs w:val="20"/>
                <w:lang w:eastAsia="ru-RU"/>
              </w:rPr>
            </w:pPr>
          </w:p>
          <w:p w:rsidR="00430FBB" w:rsidRPr="00837990" w:rsidRDefault="00430FBB" w:rsidP="009928AF">
            <w:pPr>
              <w:autoSpaceDE w:val="0"/>
              <w:autoSpaceDN w:val="0"/>
              <w:adjustRightInd w:val="0"/>
              <w:spacing w:after="0" w:line="240" w:lineRule="auto"/>
              <w:rPr>
                <w:rFonts w:ascii="Times New Roman" w:hAnsi="Times New Roman"/>
                <w:sz w:val="20"/>
                <w:szCs w:val="20"/>
              </w:rPr>
            </w:pPr>
            <w:r w:rsidRPr="009928AF">
              <w:rPr>
                <w:rFonts w:ascii="Times New Roman" w:hAnsi="Times New Roman"/>
                <w:sz w:val="20"/>
                <w:szCs w:val="20"/>
                <w:lang w:eastAsia="ru-RU"/>
              </w:rPr>
              <w:t xml:space="preserve">Данная статья посвящена актуальным вопросам совершенствования ведения государственного кадастра недвижимости, регистрации прав на недвижимое имущество и сделок с ним. </w:t>
            </w:r>
            <w:r w:rsidRPr="009928AF">
              <w:rPr>
                <w:rFonts w:ascii="Times New Roman" w:hAnsi="Times New Roman"/>
                <w:sz w:val="20"/>
                <w:szCs w:val="20"/>
              </w:rPr>
              <w:t>Изменения, внесенные Федеральным законом от 13.07.2015 г. № 218-ФЗ «О государственной регистрации недвижимости» обусловлены стремлением законодателя к повышению качества государственных услуг в сфере государственного кадастрового учета недвижимого имущества и государственной регистрации прав на него, а также минимизации ошибок, содержащихся в сведениях государственного кадастра недвижимости и единого государственного реестра прав, для того, чтобы пополнить бюджеты всех уровней за счет увеличения налогооблагаемой базы и, тем самым, стимулировать рост экономики страны.</w:t>
            </w:r>
            <w:r w:rsidRPr="009928AF">
              <w:rPr>
                <w:rFonts w:ascii="Times New Roman" w:hAnsi="Times New Roman"/>
                <w:sz w:val="20"/>
                <w:szCs w:val="20"/>
                <w:lang w:eastAsia="ru-RU"/>
              </w:rPr>
              <w:t xml:space="preserve"> По мнению авторов, нормативная база земельного, гражданского и иного специального законодательства требует дальнейшего совершенствования, что свидетельствует об актуальности рассматриваемой темы. Авторами проведен анализ современного законодательства по данной теме, выявлены </w:t>
            </w:r>
            <w:r w:rsidRPr="009928AF">
              <w:rPr>
                <w:rFonts w:ascii="Times New Roman" w:hAnsi="Times New Roman"/>
                <w:sz w:val="20"/>
                <w:szCs w:val="20"/>
              </w:rPr>
              <w:t>проблемные моменты реализации отдельных положений Закона о регистрации недвижимости и иных подзаконных актов, внесены предложения по их устранению, а также приведены перспективы развития законодательства в сфере з</w:t>
            </w:r>
            <w:r>
              <w:rPr>
                <w:rFonts w:ascii="Times New Roman" w:hAnsi="Times New Roman"/>
                <w:sz w:val="20"/>
                <w:szCs w:val="20"/>
              </w:rPr>
              <w:t>емельно-имущественных отношений</w:t>
            </w:r>
          </w:p>
          <w:p w:rsidR="00430FBB" w:rsidRPr="009928AF" w:rsidRDefault="00430FBB" w:rsidP="009928AF">
            <w:pPr>
              <w:spacing w:after="0" w:line="240" w:lineRule="auto"/>
              <w:rPr>
                <w:rFonts w:ascii="Times New Roman" w:hAnsi="Times New Roman"/>
                <w:sz w:val="20"/>
                <w:szCs w:val="20"/>
              </w:rPr>
            </w:pP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Ключевые слова: ГОСУДАРСТВЕННЫЙ</w:t>
            </w:r>
            <w:r w:rsidRPr="00837990">
              <w:rPr>
                <w:rFonts w:ascii="Times New Roman" w:hAnsi="Times New Roman"/>
                <w:sz w:val="20"/>
                <w:szCs w:val="20"/>
              </w:rPr>
              <w:t xml:space="preserve"> </w:t>
            </w:r>
            <w:r w:rsidRPr="009928AF">
              <w:rPr>
                <w:rFonts w:ascii="Times New Roman" w:hAnsi="Times New Roman"/>
                <w:sz w:val="20"/>
                <w:szCs w:val="20"/>
              </w:rPr>
              <w:t xml:space="preserve">КАДАСТР НЕДВИЖИМОСТИ, РЕГИСТРАЦИЯ НЕДВИЖИМОСТИ, КАДАСТРОВЫЕ РАБОТЫ, </w:t>
            </w: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ЕДИНЫЙ ГОСУДАРСТВЕННЫЙ РЕЕСТР ПРАВ,</w:t>
            </w:r>
          </w:p>
          <w:p w:rsidR="00430FBB" w:rsidRPr="009928AF" w:rsidRDefault="00430FBB" w:rsidP="009928AF">
            <w:pPr>
              <w:spacing w:after="0" w:line="240" w:lineRule="auto"/>
              <w:rPr>
                <w:rFonts w:ascii="Times New Roman" w:hAnsi="Times New Roman"/>
                <w:sz w:val="20"/>
                <w:szCs w:val="20"/>
              </w:rPr>
            </w:pPr>
            <w:r w:rsidRPr="009928AF">
              <w:rPr>
                <w:rFonts w:ascii="Times New Roman" w:hAnsi="Times New Roman"/>
                <w:sz w:val="20"/>
                <w:szCs w:val="20"/>
              </w:rPr>
              <w:t>СОВЕРШЕНСТВОВАНИЕ</w:t>
            </w:r>
            <w:r>
              <w:rPr>
                <w:rFonts w:ascii="Times New Roman" w:hAnsi="Times New Roman"/>
                <w:sz w:val="20"/>
                <w:szCs w:val="20"/>
                <w:lang w:val="en-US"/>
              </w:rPr>
              <w:t xml:space="preserve"> </w:t>
            </w:r>
            <w:r w:rsidRPr="009928AF">
              <w:rPr>
                <w:rFonts w:ascii="Times New Roman" w:hAnsi="Times New Roman"/>
                <w:sz w:val="20"/>
                <w:szCs w:val="20"/>
              </w:rPr>
              <w:t>ЗАКОНОДАТЕЛЬСТВА</w:t>
            </w:r>
          </w:p>
        </w:tc>
        <w:tc>
          <w:tcPr>
            <w:tcW w:w="4643" w:type="dxa"/>
          </w:tcPr>
          <w:p w:rsidR="00430FBB" w:rsidRPr="009928AF" w:rsidRDefault="00430FBB" w:rsidP="009928AF">
            <w:pPr>
              <w:spacing w:after="0" w:line="240" w:lineRule="auto"/>
              <w:rPr>
                <w:rFonts w:ascii="Times New Roman" w:hAnsi="Times New Roman"/>
                <w:sz w:val="20"/>
                <w:szCs w:val="20"/>
                <w:lang w:val="en-US"/>
              </w:rPr>
            </w:pPr>
            <w:r w:rsidRPr="009928AF">
              <w:rPr>
                <w:rFonts w:ascii="Times New Roman" w:hAnsi="Times New Roman"/>
                <w:sz w:val="20"/>
                <w:szCs w:val="20"/>
                <w:lang w:val="pt-BR"/>
              </w:rPr>
              <w:t>UDC</w:t>
            </w:r>
            <w:r w:rsidRPr="009928AF">
              <w:rPr>
                <w:rFonts w:ascii="Times New Roman" w:hAnsi="Times New Roman"/>
                <w:sz w:val="20"/>
                <w:szCs w:val="20"/>
                <w:lang w:val="en-US"/>
              </w:rPr>
              <w:t xml:space="preserve"> 349.412</w:t>
            </w:r>
          </w:p>
          <w:p w:rsidR="00430FBB" w:rsidRPr="009928AF" w:rsidRDefault="00430FBB" w:rsidP="009928AF">
            <w:pPr>
              <w:spacing w:after="0" w:line="240" w:lineRule="auto"/>
              <w:rPr>
                <w:rFonts w:ascii="Times New Roman" w:hAnsi="Times New Roman"/>
                <w:sz w:val="20"/>
                <w:szCs w:val="20"/>
                <w:lang w:val="en-US"/>
              </w:rPr>
            </w:pPr>
          </w:p>
          <w:p w:rsidR="00430FBB" w:rsidRPr="009928AF" w:rsidRDefault="00430FBB" w:rsidP="009928AF">
            <w:pPr>
              <w:spacing w:after="0" w:line="240" w:lineRule="auto"/>
              <w:rPr>
                <w:rFonts w:ascii="Times New Roman" w:hAnsi="Times New Roman"/>
                <w:b/>
                <w:sz w:val="20"/>
                <w:szCs w:val="20"/>
                <w:lang w:val="en-US"/>
              </w:rPr>
            </w:pPr>
            <w:r w:rsidRPr="009928AF">
              <w:rPr>
                <w:rFonts w:ascii="Times New Roman" w:hAnsi="Times New Roman"/>
                <w:sz w:val="20"/>
                <w:szCs w:val="20"/>
                <w:lang w:val="en-US" w:eastAsia="ru-RU"/>
              </w:rPr>
              <w:t>Legal sciences</w:t>
            </w:r>
          </w:p>
          <w:p w:rsidR="00430FBB" w:rsidRPr="009928AF" w:rsidRDefault="00430FBB" w:rsidP="009928AF">
            <w:pPr>
              <w:spacing w:after="0" w:line="240" w:lineRule="auto"/>
              <w:rPr>
                <w:rFonts w:ascii="Times New Roman" w:hAnsi="Times New Roman"/>
                <w:b/>
                <w:sz w:val="20"/>
                <w:szCs w:val="20"/>
                <w:lang w:val="en-US"/>
              </w:rPr>
            </w:pPr>
          </w:p>
          <w:p w:rsidR="00430FBB" w:rsidRPr="009928AF" w:rsidRDefault="00430FBB" w:rsidP="009928AF">
            <w:pPr>
              <w:spacing w:after="0" w:line="240" w:lineRule="auto"/>
              <w:rPr>
                <w:rFonts w:ascii="Times New Roman" w:hAnsi="Times New Roman"/>
                <w:b/>
                <w:sz w:val="20"/>
                <w:szCs w:val="20"/>
                <w:lang w:val="en-US"/>
              </w:rPr>
            </w:pPr>
            <w:r w:rsidRPr="009928AF">
              <w:rPr>
                <w:rStyle w:val="translation-chunk"/>
                <w:rFonts w:ascii="Times New Roman" w:hAnsi="Times New Roman"/>
                <w:b/>
                <w:color w:val="222222"/>
                <w:sz w:val="20"/>
                <w:szCs w:val="20"/>
                <w:lang w:val="en-US"/>
              </w:rPr>
              <w:t>TO THE PROBLEM OF CADASTRAL</w:t>
            </w:r>
            <w:r>
              <w:rPr>
                <w:rStyle w:val="translation-chunk"/>
                <w:rFonts w:ascii="Times New Roman" w:hAnsi="Times New Roman"/>
                <w:b/>
                <w:color w:val="222222"/>
                <w:sz w:val="20"/>
                <w:szCs w:val="20"/>
                <w:lang w:val="en-US"/>
              </w:rPr>
              <w:t xml:space="preserve"> </w:t>
            </w:r>
            <w:r w:rsidRPr="009928AF">
              <w:rPr>
                <w:rStyle w:val="translation-chunk"/>
                <w:rFonts w:ascii="Times New Roman" w:hAnsi="Times New Roman"/>
                <w:b/>
                <w:color w:val="222222"/>
                <w:sz w:val="20"/>
                <w:szCs w:val="20"/>
                <w:lang w:val="en-US"/>
              </w:rPr>
              <w:t xml:space="preserve">WORKS IMPROVEMENT, STOCKTAKING OF REAL ESTATE AND REGISTRATION OF </w:t>
            </w:r>
            <w:r>
              <w:rPr>
                <w:rStyle w:val="translation-chunk"/>
                <w:rFonts w:ascii="Times New Roman" w:hAnsi="Times New Roman"/>
                <w:b/>
                <w:color w:val="222222"/>
                <w:sz w:val="20"/>
                <w:szCs w:val="20"/>
                <w:lang w:val="en-US"/>
              </w:rPr>
              <w:t xml:space="preserve">THE </w:t>
            </w:r>
            <w:r w:rsidRPr="009928AF">
              <w:rPr>
                <w:rStyle w:val="translation-chunk"/>
                <w:rFonts w:ascii="Times New Roman" w:hAnsi="Times New Roman"/>
                <w:b/>
                <w:color w:val="222222"/>
                <w:sz w:val="20"/>
                <w:szCs w:val="20"/>
                <w:lang w:val="en-US"/>
              </w:rPr>
              <w:t>RIGHTS</w:t>
            </w:r>
          </w:p>
          <w:p w:rsidR="00430FBB" w:rsidRPr="009928AF" w:rsidRDefault="00430FBB" w:rsidP="009928AF">
            <w:pPr>
              <w:spacing w:after="0" w:line="240" w:lineRule="auto"/>
              <w:rPr>
                <w:rFonts w:ascii="Times New Roman" w:hAnsi="Times New Roman"/>
                <w:sz w:val="20"/>
                <w:szCs w:val="20"/>
                <w:lang w:val="en-US"/>
              </w:rPr>
            </w:pPr>
          </w:p>
          <w:p w:rsidR="00430FBB" w:rsidRPr="009928AF" w:rsidRDefault="00430FBB" w:rsidP="009928AF">
            <w:pPr>
              <w:spacing w:after="0" w:line="240" w:lineRule="auto"/>
              <w:rPr>
                <w:rFonts w:ascii="Times New Roman" w:hAnsi="Times New Roman"/>
                <w:i/>
                <w:sz w:val="20"/>
                <w:szCs w:val="20"/>
                <w:lang w:val="en-US"/>
              </w:rPr>
            </w:pPr>
            <w:r w:rsidRPr="009928AF">
              <w:rPr>
                <w:rFonts w:ascii="Times New Roman" w:hAnsi="Times New Roman"/>
                <w:sz w:val="20"/>
                <w:szCs w:val="20"/>
                <w:lang w:val="en-US" w:eastAsia="ru-RU"/>
              </w:rPr>
              <w:t>Babayan Christina Tigranovna</w:t>
            </w:r>
          </w:p>
          <w:p w:rsidR="00430FBB" w:rsidRPr="009928AF" w:rsidRDefault="00430FBB" w:rsidP="009928AF">
            <w:pPr>
              <w:spacing w:after="0" w:line="240" w:lineRule="auto"/>
              <w:rPr>
                <w:rFonts w:ascii="Times New Roman" w:hAnsi="Times New Roman"/>
                <w:sz w:val="20"/>
                <w:szCs w:val="20"/>
                <w:lang w:val="en-US"/>
              </w:rPr>
            </w:pPr>
            <w:r>
              <w:rPr>
                <w:rFonts w:ascii="Times New Roman" w:hAnsi="Times New Roman"/>
                <w:sz w:val="20"/>
                <w:szCs w:val="20"/>
                <w:lang w:val="en-US"/>
              </w:rPr>
              <w:t>postgraduate student</w:t>
            </w:r>
          </w:p>
          <w:p w:rsidR="00430FBB" w:rsidRPr="009928AF" w:rsidRDefault="00430FBB" w:rsidP="009928AF">
            <w:pPr>
              <w:spacing w:after="0" w:line="240" w:lineRule="auto"/>
              <w:rPr>
                <w:rFonts w:ascii="Times New Roman" w:hAnsi="Times New Roman"/>
                <w:sz w:val="20"/>
                <w:szCs w:val="20"/>
                <w:lang w:val="en-US"/>
              </w:rPr>
            </w:pPr>
            <w:r w:rsidRPr="009928AF">
              <w:rPr>
                <w:rFonts w:ascii="Times New Roman" w:hAnsi="Times New Roman"/>
                <w:sz w:val="20"/>
                <w:szCs w:val="20"/>
                <w:lang w:val="en-US" w:eastAsia="ru-RU"/>
              </w:rPr>
              <w:t>SPIN-code = 3305-2726</w:t>
            </w:r>
          </w:p>
          <w:p w:rsidR="00430FBB" w:rsidRDefault="00430FBB" w:rsidP="009928AF">
            <w:pPr>
              <w:spacing w:after="0" w:line="240" w:lineRule="auto"/>
              <w:rPr>
                <w:rFonts w:ascii="Times New Roman" w:hAnsi="Times New Roman"/>
                <w:sz w:val="20"/>
                <w:szCs w:val="20"/>
                <w:lang w:val="en-US"/>
              </w:rPr>
            </w:pPr>
          </w:p>
          <w:p w:rsidR="00430FBB" w:rsidRDefault="00430FBB" w:rsidP="009928AF">
            <w:pPr>
              <w:spacing w:after="0" w:line="240" w:lineRule="auto"/>
              <w:rPr>
                <w:rFonts w:ascii="Times New Roman" w:hAnsi="Times New Roman"/>
                <w:sz w:val="20"/>
                <w:szCs w:val="20"/>
                <w:lang w:val="en-US"/>
              </w:rPr>
            </w:pPr>
          </w:p>
          <w:p w:rsidR="00430FBB" w:rsidRPr="009928AF" w:rsidRDefault="00430FBB" w:rsidP="009928AF">
            <w:pPr>
              <w:spacing w:after="0" w:line="240" w:lineRule="auto"/>
              <w:rPr>
                <w:rFonts w:ascii="Times New Roman" w:hAnsi="Times New Roman"/>
                <w:sz w:val="20"/>
                <w:szCs w:val="20"/>
                <w:lang w:val="en-US"/>
              </w:rPr>
            </w:pPr>
          </w:p>
          <w:p w:rsidR="00430FBB" w:rsidRPr="009928AF" w:rsidRDefault="00430FBB" w:rsidP="009928AF">
            <w:pPr>
              <w:spacing w:after="0" w:line="240" w:lineRule="auto"/>
              <w:rPr>
                <w:rFonts w:ascii="Times New Roman" w:hAnsi="Times New Roman"/>
                <w:sz w:val="20"/>
                <w:szCs w:val="20"/>
                <w:lang w:val="en-US"/>
              </w:rPr>
            </w:pPr>
            <w:r w:rsidRPr="009928AF">
              <w:rPr>
                <w:rFonts w:ascii="Times New Roman" w:hAnsi="Times New Roman"/>
                <w:sz w:val="20"/>
                <w:szCs w:val="20"/>
                <w:lang w:val="en-US"/>
              </w:rPr>
              <w:t>Gagay Irina Vladimirovna</w:t>
            </w:r>
          </w:p>
          <w:p w:rsidR="00430FBB" w:rsidRPr="009928AF" w:rsidRDefault="00430FBB" w:rsidP="009928AF">
            <w:pPr>
              <w:spacing w:after="0" w:line="240" w:lineRule="auto"/>
              <w:rPr>
                <w:rFonts w:ascii="Times New Roman" w:hAnsi="Times New Roman"/>
                <w:sz w:val="20"/>
                <w:szCs w:val="20"/>
                <w:lang w:val="en-US"/>
              </w:rPr>
            </w:pPr>
            <w:r w:rsidRPr="009928AF">
              <w:rPr>
                <w:rFonts w:ascii="Times New Roman" w:hAnsi="Times New Roman"/>
                <w:sz w:val="20"/>
                <w:szCs w:val="20"/>
                <w:lang w:val="en-US"/>
              </w:rPr>
              <w:t xml:space="preserve">postgraduate </w:t>
            </w:r>
            <w:r>
              <w:rPr>
                <w:rFonts w:ascii="Times New Roman" w:hAnsi="Times New Roman"/>
                <w:sz w:val="20"/>
                <w:szCs w:val="20"/>
                <w:lang w:val="en-US"/>
              </w:rPr>
              <w:t xml:space="preserve">student </w:t>
            </w:r>
            <w:r w:rsidRPr="009928AF">
              <w:rPr>
                <w:rFonts w:ascii="Times New Roman" w:hAnsi="Times New Roman"/>
                <w:sz w:val="20"/>
                <w:szCs w:val="20"/>
                <w:lang w:val="en-US"/>
              </w:rPr>
              <w:t xml:space="preserve">of the </w:t>
            </w:r>
            <w:r>
              <w:rPr>
                <w:rFonts w:ascii="Times New Roman" w:hAnsi="Times New Roman"/>
                <w:sz w:val="20"/>
                <w:szCs w:val="20"/>
                <w:lang w:val="en-US"/>
              </w:rPr>
              <w:t>D</w:t>
            </w:r>
            <w:r w:rsidRPr="009928AF">
              <w:rPr>
                <w:rFonts w:ascii="Times New Roman" w:hAnsi="Times New Roman"/>
                <w:sz w:val="20"/>
                <w:szCs w:val="20"/>
                <w:lang w:val="en-US"/>
              </w:rPr>
              <w:t>epartment of finance</w:t>
            </w:r>
          </w:p>
          <w:p w:rsidR="00430FBB" w:rsidRPr="009928AF" w:rsidRDefault="00430FBB" w:rsidP="009928AF">
            <w:pPr>
              <w:spacing w:after="0" w:line="240" w:lineRule="auto"/>
              <w:rPr>
                <w:rFonts w:ascii="Times New Roman" w:hAnsi="Times New Roman"/>
                <w:sz w:val="20"/>
                <w:szCs w:val="20"/>
                <w:lang w:val="en-US"/>
              </w:rPr>
            </w:pPr>
            <w:r w:rsidRPr="009928AF">
              <w:rPr>
                <w:rFonts w:ascii="Times New Roman" w:hAnsi="Times New Roman"/>
                <w:sz w:val="20"/>
                <w:szCs w:val="20"/>
                <w:lang w:val="en-US" w:eastAsia="ru-RU"/>
              </w:rPr>
              <w:t xml:space="preserve">SPIN-code </w:t>
            </w:r>
            <w:r w:rsidRPr="009928AF">
              <w:rPr>
                <w:rFonts w:ascii="Times New Roman" w:hAnsi="Times New Roman"/>
                <w:sz w:val="20"/>
                <w:szCs w:val="20"/>
                <w:lang w:val="en-US"/>
              </w:rPr>
              <w:t>= 7505-3432</w:t>
            </w:r>
          </w:p>
          <w:p w:rsidR="00430FBB" w:rsidRPr="009928AF" w:rsidRDefault="00430FBB" w:rsidP="009928AF">
            <w:pPr>
              <w:autoSpaceDE w:val="0"/>
              <w:autoSpaceDN w:val="0"/>
              <w:adjustRightInd w:val="0"/>
              <w:spacing w:after="0" w:line="240" w:lineRule="auto"/>
              <w:rPr>
                <w:rFonts w:ascii="Times New Roman" w:hAnsi="Times New Roman"/>
                <w:i/>
                <w:iCs/>
                <w:sz w:val="20"/>
                <w:szCs w:val="20"/>
                <w:lang w:val="en-US" w:eastAsia="ru-RU"/>
              </w:rPr>
            </w:pPr>
            <w:r w:rsidRPr="009928AF">
              <w:rPr>
                <w:rFonts w:ascii="Times New Roman" w:hAnsi="Times New Roman"/>
                <w:i/>
                <w:iCs/>
                <w:sz w:val="20"/>
                <w:szCs w:val="20"/>
                <w:lang w:val="en-US" w:eastAsia="ru-RU"/>
              </w:rPr>
              <w:t>FSBEI HPE “</w:t>
            </w:r>
            <w:smartTag w:uri="urn:schemas-microsoft-com:office:smarttags" w:element="metricconverter">
              <w:smartTagPr>
                <w:attr w:name="ProductID" w:val="2016 г"/>
              </w:smartTagPr>
              <w:smartTag w:uri="urn:schemas-microsoft-com:office:smarttags" w:element="metricconverter">
                <w:smartTagPr>
                  <w:attr w:name="ProductID" w:val="2016 г"/>
                </w:smartTagPr>
                <w:r w:rsidRPr="009928AF">
                  <w:rPr>
                    <w:rFonts w:ascii="Times New Roman" w:hAnsi="Times New Roman"/>
                    <w:i/>
                    <w:iCs/>
                    <w:sz w:val="20"/>
                    <w:szCs w:val="20"/>
                    <w:lang w:val="en-US" w:eastAsia="ru-RU"/>
                  </w:rPr>
                  <w:t>Kuban</w:t>
                </w:r>
              </w:smartTag>
              <w:r w:rsidRPr="009928AF">
                <w:rPr>
                  <w:rFonts w:ascii="Times New Roman" w:hAnsi="Times New Roman"/>
                  <w:i/>
                  <w:iCs/>
                  <w:sz w:val="20"/>
                  <w:szCs w:val="20"/>
                  <w:lang w:val="en-US" w:eastAsia="ru-RU"/>
                </w:rPr>
                <w:t xml:space="preserve"> </w:t>
              </w:r>
              <w:smartTag w:uri="urn:schemas-microsoft-com:office:smarttags" w:element="metricconverter">
                <w:smartTagPr>
                  <w:attr w:name="ProductID" w:val="2016 г"/>
                </w:smartTagPr>
                <w:r w:rsidRPr="009928AF">
                  <w:rPr>
                    <w:rFonts w:ascii="Times New Roman" w:hAnsi="Times New Roman"/>
                    <w:i/>
                    <w:iCs/>
                    <w:sz w:val="20"/>
                    <w:szCs w:val="20"/>
                    <w:lang w:val="en-US" w:eastAsia="ru-RU"/>
                  </w:rPr>
                  <w:t>State</w:t>
                </w:r>
              </w:smartTag>
            </w:smartTag>
            <w:r w:rsidRPr="009928AF">
              <w:rPr>
                <w:rFonts w:ascii="Times New Roman" w:hAnsi="Times New Roman"/>
                <w:i/>
                <w:iCs/>
                <w:sz w:val="20"/>
                <w:szCs w:val="20"/>
                <w:lang w:val="en-US" w:eastAsia="ru-RU"/>
              </w:rPr>
              <w:t xml:space="preserve"> Agricultural University”</w:t>
            </w:r>
          </w:p>
          <w:p w:rsidR="00430FBB" w:rsidRPr="009928AF" w:rsidRDefault="00430FBB" w:rsidP="009928AF">
            <w:pPr>
              <w:autoSpaceDE w:val="0"/>
              <w:autoSpaceDN w:val="0"/>
              <w:adjustRightInd w:val="0"/>
              <w:spacing w:after="0" w:line="240" w:lineRule="auto"/>
              <w:rPr>
                <w:rFonts w:ascii="Times New Roman" w:hAnsi="Times New Roman"/>
                <w:i/>
                <w:iCs/>
                <w:sz w:val="20"/>
                <w:szCs w:val="20"/>
                <w:lang w:val="en-US" w:eastAsia="ru-RU"/>
              </w:rPr>
            </w:pPr>
            <w:r w:rsidRPr="009928AF">
              <w:rPr>
                <w:rFonts w:ascii="Times New Roman" w:hAnsi="Times New Roman"/>
                <w:i/>
                <w:iCs/>
                <w:sz w:val="20"/>
                <w:szCs w:val="20"/>
                <w:lang w:val="en-US" w:eastAsia="ru-RU"/>
              </w:rPr>
              <w:t xml:space="preserve">350044, </w:t>
            </w:r>
            <w:smartTag w:uri="urn:schemas-microsoft-com:office:smarttags" w:element="metricconverter">
              <w:smartTagPr>
                <w:attr w:name="ProductID" w:val="2016 г"/>
              </w:smartTagPr>
              <w:r w:rsidRPr="009928AF">
                <w:rPr>
                  <w:rFonts w:ascii="Times New Roman" w:hAnsi="Times New Roman"/>
                  <w:i/>
                  <w:iCs/>
                  <w:sz w:val="20"/>
                  <w:szCs w:val="20"/>
                  <w:lang w:val="en-US" w:eastAsia="ru-RU"/>
                </w:rPr>
                <w:t>Russia</w:t>
              </w:r>
            </w:smartTag>
            <w:r w:rsidRPr="009928AF">
              <w:rPr>
                <w:rFonts w:ascii="Times New Roman" w:hAnsi="Times New Roman"/>
                <w:i/>
                <w:iCs/>
                <w:sz w:val="20"/>
                <w:szCs w:val="20"/>
                <w:lang w:val="en-US" w:eastAsia="ru-RU"/>
              </w:rPr>
              <w:t xml:space="preserve">, </w:t>
            </w:r>
            <w:smartTag w:uri="urn:schemas-microsoft-com:office:smarttags" w:element="metricconverter">
              <w:smartTagPr>
                <w:attr w:name="ProductID" w:val="2016 г"/>
              </w:smartTagPr>
              <w:r w:rsidRPr="009928AF">
                <w:rPr>
                  <w:rFonts w:ascii="Times New Roman" w:hAnsi="Times New Roman"/>
                  <w:i/>
                  <w:iCs/>
                  <w:sz w:val="20"/>
                  <w:szCs w:val="20"/>
                  <w:lang w:val="en-US" w:eastAsia="ru-RU"/>
                </w:rPr>
                <w:t>Krasnodar</w:t>
              </w:r>
            </w:smartTag>
            <w:r w:rsidRPr="009928AF">
              <w:rPr>
                <w:rFonts w:ascii="Times New Roman" w:hAnsi="Times New Roman"/>
                <w:i/>
                <w:iCs/>
                <w:sz w:val="20"/>
                <w:szCs w:val="20"/>
                <w:lang w:val="en-US" w:eastAsia="ru-RU"/>
              </w:rPr>
              <w:t>, Kalinina,13</w:t>
            </w:r>
          </w:p>
          <w:p w:rsidR="00430FBB" w:rsidRPr="009928AF" w:rsidRDefault="00430FBB" w:rsidP="009928AF">
            <w:pPr>
              <w:autoSpaceDE w:val="0"/>
              <w:autoSpaceDN w:val="0"/>
              <w:adjustRightInd w:val="0"/>
              <w:spacing w:after="0" w:line="240" w:lineRule="auto"/>
              <w:rPr>
                <w:rFonts w:ascii="Times New Roman" w:hAnsi="Times New Roman"/>
                <w:i/>
                <w:iCs/>
                <w:sz w:val="20"/>
                <w:szCs w:val="20"/>
                <w:lang w:val="en-US" w:eastAsia="ru-RU"/>
              </w:rPr>
            </w:pPr>
          </w:p>
          <w:p w:rsidR="00430FBB" w:rsidRPr="009928AF" w:rsidRDefault="00430FBB" w:rsidP="009928AF">
            <w:pPr>
              <w:autoSpaceDE w:val="0"/>
              <w:autoSpaceDN w:val="0"/>
              <w:adjustRightInd w:val="0"/>
              <w:spacing w:after="0" w:line="240" w:lineRule="auto"/>
              <w:rPr>
                <w:rFonts w:ascii="Times New Roman" w:hAnsi="Times New Roman"/>
                <w:i/>
                <w:iCs/>
                <w:sz w:val="20"/>
                <w:szCs w:val="20"/>
                <w:lang w:val="en-US" w:eastAsia="ru-RU"/>
              </w:rPr>
            </w:pPr>
          </w:p>
          <w:p w:rsidR="00430FBB" w:rsidRPr="009928AF" w:rsidRDefault="00430FBB" w:rsidP="009928AF">
            <w:pPr>
              <w:autoSpaceDE w:val="0"/>
              <w:autoSpaceDN w:val="0"/>
              <w:adjustRightInd w:val="0"/>
              <w:spacing w:after="0" w:line="240" w:lineRule="auto"/>
              <w:rPr>
                <w:rFonts w:ascii="Times New Roman" w:hAnsi="Times New Roman"/>
                <w:iCs/>
                <w:sz w:val="20"/>
                <w:szCs w:val="20"/>
                <w:lang w:val="en-US" w:eastAsia="ru-RU"/>
              </w:rPr>
            </w:pPr>
            <w:r w:rsidRPr="009928AF">
              <w:rPr>
                <w:rFonts w:ascii="Times New Roman" w:hAnsi="Times New Roman"/>
                <w:iCs/>
                <w:sz w:val="20"/>
                <w:szCs w:val="20"/>
                <w:lang w:val="en-US" w:eastAsia="ru-RU"/>
              </w:rPr>
              <w:t xml:space="preserve">The present article is devoted to the problems of improvement of authority of state property cadastre, registration of rights on real estate and bargains with it. </w:t>
            </w:r>
            <w:r>
              <w:rPr>
                <w:rFonts w:ascii="Times New Roman" w:hAnsi="Times New Roman"/>
                <w:iCs/>
                <w:sz w:val="20"/>
                <w:szCs w:val="20"/>
                <w:lang w:val="en-US" w:eastAsia="ru-RU"/>
              </w:rPr>
              <w:t>The c</w:t>
            </w:r>
            <w:r w:rsidRPr="009928AF">
              <w:rPr>
                <w:rFonts w:ascii="Times New Roman" w:hAnsi="Times New Roman"/>
                <w:iCs/>
                <w:sz w:val="20"/>
                <w:szCs w:val="20"/>
                <w:lang w:val="en-US" w:eastAsia="ru-RU"/>
              </w:rPr>
              <w:t xml:space="preserve">hanges introduced by the Federal Law from 13.07.2015 # 218-FL “On state registration of real estate” </w:t>
            </w:r>
            <w:r>
              <w:rPr>
                <w:rFonts w:ascii="Times New Roman" w:hAnsi="Times New Roman"/>
                <w:iCs/>
                <w:sz w:val="20"/>
                <w:szCs w:val="20"/>
                <w:lang w:val="en-US" w:eastAsia="ru-RU"/>
              </w:rPr>
              <w:t xml:space="preserve">are </w:t>
            </w:r>
            <w:r w:rsidRPr="009928AF">
              <w:rPr>
                <w:rFonts w:ascii="Times New Roman" w:hAnsi="Times New Roman"/>
                <w:iCs/>
                <w:sz w:val="20"/>
                <w:szCs w:val="20"/>
                <w:lang w:val="en-US" w:eastAsia="ru-RU"/>
              </w:rPr>
              <w:t xml:space="preserve">conditioned by the urge of a legislator towards the increase of quality of state services in the sphere of state cadastre stocktaking of  property and state registration on it and as well as minimization of mistakes containing in data of state cadastre of real estate and united state register of rights to replenish budgets of all levels at the expense of increase of taxing base and to stimulate the economic growth of  the country. To the view of authors, the normative base of land, civil and other special legislation demands the further improvement that testifies the urgency of present problem. </w:t>
            </w:r>
            <w:r>
              <w:rPr>
                <w:rFonts w:ascii="Times New Roman" w:hAnsi="Times New Roman"/>
                <w:iCs/>
                <w:sz w:val="20"/>
                <w:szCs w:val="20"/>
                <w:lang w:val="en-US" w:eastAsia="ru-RU"/>
              </w:rPr>
              <w:t>The a</w:t>
            </w:r>
            <w:r w:rsidRPr="009928AF">
              <w:rPr>
                <w:rFonts w:ascii="Times New Roman" w:hAnsi="Times New Roman"/>
                <w:iCs/>
                <w:sz w:val="20"/>
                <w:szCs w:val="20"/>
                <w:lang w:val="en-US" w:eastAsia="ru-RU"/>
              </w:rPr>
              <w:t>uthors carried out the analysis of modern legislation, there were revealed the problematic moments of realization of  special regulations of the Law on registration of real estate and other subordinate regulatory acts, there were introduced the offers on their elimination, and as well as there were cited the prospects of legislation development in the sphere of land-property relations</w:t>
            </w:r>
          </w:p>
          <w:p w:rsidR="00430FBB" w:rsidRPr="009928AF" w:rsidRDefault="00430FBB" w:rsidP="009928AF">
            <w:pPr>
              <w:autoSpaceDE w:val="0"/>
              <w:autoSpaceDN w:val="0"/>
              <w:adjustRightInd w:val="0"/>
              <w:spacing w:after="0" w:line="240" w:lineRule="auto"/>
              <w:rPr>
                <w:rFonts w:ascii="Times New Roman" w:hAnsi="Times New Roman"/>
                <w:sz w:val="20"/>
                <w:szCs w:val="20"/>
                <w:lang w:val="en-US"/>
              </w:rPr>
            </w:pPr>
          </w:p>
          <w:p w:rsidR="00430FBB" w:rsidRDefault="00430FBB" w:rsidP="009928AF">
            <w:pPr>
              <w:spacing w:after="0" w:line="240" w:lineRule="auto"/>
              <w:rPr>
                <w:rFonts w:ascii="Times New Roman" w:hAnsi="Times New Roman"/>
                <w:sz w:val="20"/>
                <w:szCs w:val="20"/>
                <w:lang w:val="en-US"/>
              </w:rPr>
            </w:pPr>
          </w:p>
          <w:p w:rsidR="00430FBB" w:rsidRDefault="00430FBB" w:rsidP="009928AF">
            <w:pPr>
              <w:spacing w:after="0" w:line="240" w:lineRule="auto"/>
              <w:rPr>
                <w:rFonts w:ascii="Times New Roman" w:hAnsi="Times New Roman"/>
                <w:sz w:val="20"/>
                <w:szCs w:val="20"/>
                <w:lang w:val="en-US"/>
              </w:rPr>
            </w:pPr>
          </w:p>
          <w:p w:rsidR="00430FBB" w:rsidRDefault="00430FBB" w:rsidP="009928AF">
            <w:pPr>
              <w:spacing w:after="0" w:line="240" w:lineRule="auto"/>
              <w:rPr>
                <w:rFonts w:ascii="Times New Roman" w:hAnsi="Times New Roman"/>
                <w:sz w:val="20"/>
                <w:szCs w:val="20"/>
                <w:lang w:val="en-US"/>
              </w:rPr>
            </w:pPr>
          </w:p>
          <w:p w:rsidR="00430FBB" w:rsidRDefault="00430FBB" w:rsidP="009928AF">
            <w:pPr>
              <w:spacing w:after="0" w:line="240" w:lineRule="auto"/>
              <w:rPr>
                <w:rFonts w:ascii="Times New Roman" w:hAnsi="Times New Roman"/>
                <w:sz w:val="20"/>
                <w:szCs w:val="20"/>
                <w:lang w:val="en-US"/>
              </w:rPr>
            </w:pPr>
          </w:p>
          <w:p w:rsidR="00430FBB" w:rsidRPr="009928AF" w:rsidRDefault="00430FBB" w:rsidP="009928AF">
            <w:pPr>
              <w:spacing w:after="0" w:line="240" w:lineRule="auto"/>
              <w:rPr>
                <w:rFonts w:ascii="Times New Roman" w:hAnsi="Times New Roman"/>
                <w:sz w:val="20"/>
                <w:szCs w:val="20"/>
                <w:lang w:val="en-US"/>
              </w:rPr>
            </w:pPr>
          </w:p>
          <w:p w:rsidR="00430FBB" w:rsidRPr="009928AF" w:rsidRDefault="00430FBB" w:rsidP="009928AF">
            <w:pPr>
              <w:spacing w:after="0" w:line="240" w:lineRule="auto"/>
              <w:rPr>
                <w:rFonts w:ascii="Times New Roman" w:hAnsi="Times New Roman"/>
                <w:sz w:val="20"/>
                <w:szCs w:val="20"/>
                <w:lang w:val="en-US"/>
              </w:rPr>
            </w:pPr>
          </w:p>
          <w:p w:rsidR="00430FBB" w:rsidRPr="009928AF" w:rsidRDefault="00430FBB" w:rsidP="009928AF">
            <w:pPr>
              <w:spacing w:after="0" w:line="240" w:lineRule="auto"/>
              <w:rPr>
                <w:rFonts w:ascii="Times New Roman" w:hAnsi="Times New Roman"/>
                <w:sz w:val="20"/>
                <w:szCs w:val="20"/>
                <w:lang w:val="en-US"/>
              </w:rPr>
            </w:pPr>
            <w:r w:rsidRPr="009928AF">
              <w:rPr>
                <w:rFonts w:ascii="Times New Roman" w:hAnsi="Times New Roman"/>
                <w:sz w:val="20"/>
                <w:szCs w:val="20"/>
                <w:lang w:val="en-US"/>
              </w:rPr>
              <w:t>Keywords: STATE CADASTRE OF REAL ESTATE, REGISTRATION OF REAL ESTATE, CADASTRE WORKS, UNITED STATE REGISTER OF RIGHTS, IMPROVEMENT OF LEGISLATION</w:t>
            </w:r>
          </w:p>
        </w:tc>
      </w:tr>
    </w:tbl>
    <w:p w:rsidR="00430FBB" w:rsidRPr="00C450DD" w:rsidRDefault="00430FBB" w:rsidP="00254D4E">
      <w:pPr>
        <w:spacing w:after="0" w:line="360" w:lineRule="auto"/>
        <w:ind w:firstLine="567"/>
        <w:jc w:val="both"/>
        <w:rPr>
          <w:rFonts w:ascii="Times New Roman" w:hAnsi="Times New Roman"/>
          <w:sz w:val="28"/>
          <w:szCs w:val="28"/>
        </w:rPr>
      </w:pPr>
      <w:r w:rsidRPr="00C450DD">
        <w:rPr>
          <w:rFonts w:ascii="Times New Roman" w:hAnsi="Times New Roman"/>
          <w:sz w:val="28"/>
          <w:szCs w:val="28"/>
        </w:rPr>
        <w:t xml:space="preserve">Познание государства предполагает рассмотрение его функций, представляющих собой важнейшие  характеристики  государства как особой организации публичной власти. Каждая из функций государства имеет </w:t>
      </w:r>
      <w:r w:rsidRPr="00C450DD">
        <w:rPr>
          <w:rFonts w:ascii="Times New Roman" w:hAnsi="Times New Roman"/>
          <w:bCs/>
          <w:sz w:val="28"/>
          <w:szCs w:val="28"/>
        </w:rPr>
        <w:t>определенное содержание</w:t>
      </w:r>
      <w:r w:rsidRPr="00C450DD">
        <w:rPr>
          <w:rFonts w:ascii="Times New Roman" w:hAnsi="Times New Roman"/>
          <w:sz w:val="28"/>
          <w:szCs w:val="28"/>
        </w:rPr>
        <w:t>, которое показывает, что делает государство, чем занимаются его органы, какие вопросы они решают. Содержание каждой функции складывается из разнообразных аспектов деятельности государства. Так, содержание  экономической функции заключается в осуществлении государством мер по развитию   промышленности, сельского хозяйства, энергетики, транспорта и других областей путем образования государственных предприятий, принятия экономических законов, создания условий для деятельности  негосударственных предприятий</w:t>
      </w:r>
      <w:r>
        <w:rPr>
          <w:rFonts w:ascii="Times New Roman" w:hAnsi="Times New Roman"/>
          <w:sz w:val="28"/>
          <w:szCs w:val="28"/>
        </w:rPr>
        <w:t xml:space="preserve"> </w:t>
      </w:r>
      <w:r w:rsidRPr="00883373">
        <w:rPr>
          <w:rFonts w:ascii="Times New Roman" w:hAnsi="Times New Roman"/>
          <w:sz w:val="28"/>
          <w:szCs w:val="28"/>
        </w:rPr>
        <w:t>[</w:t>
      </w:r>
      <w:r>
        <w:rPr>
          <w:rFonts w:ascii="Times New Roman" w:hAnsi="Times New Roman"/>
          <w:sz w:val="28"/>
          <w:szCs w:val="28"/>
        </w:rPr>
        <w:t>7, с. 76</w:t>
      </w:r>
      <w:r w:rsidRPr="00254D4E">
        <w:rPr>
          <w:rFonts w:ascii="Times New Roman" w:hAnsi="Times New Roman"/>
          <w:sz w:val="28"/>
          <w:szCs w:val="28"/>
        </w:rPr>
        <w:t>]</w:t>
      </w:r>
      <w:r w:rsidRPr="00C450DD">
        <w:rPr>
          <w:rFonts w:ascii="Times New Roman" w:hAnsi="Times New Roman"/>
          <w:sz w:val="28"/>
          <w:szCs w:val="28"/>
        </w:rPr>
        <w:t xml:space="preserve">. Одной из важнейших государственных мер, реализующей экономическую функцию, является учет недвижимости и регистрация прав на нее, проведение кадастровых работ. Именно этому аспекту государственной деятельности и посвящена данная статья. </w:t>
      </w:r>
    </w:p>
    <w:p w:rsidR="00430FBB" w:rsidRPr="00113EC8" w:rsidRDefault="00430FBB" w:rsidP="00254D4E">
      <w:pPr>
        <w:pStyle w:val="ConsPlusNormal"/>
        <w:spacing w:line="360" w:lineRule="auto"/>
        <w:ind w:firstLine="709"/>
        <w:jc w:val="both"/>
        <w:rPr>
          <w:rFonts w:ascii="Times New Roman" w:hAnsi="Times New Roman" w:cs="Times New Roman"/>
          <w:sz w:val="28"/>
          <w:szCs w:val="28"/>
        </w:rPr>
      </w:pPr>
      <w:r w:rsidRPr="00113EC8">
        <w:rPr>
          <w:rFonts w:ascii="Times New Roman" w:hAnsi="Times New Roman" w:cs="Times New Roman"/>
          <w:sz w:val="28"/>
          <w:szCs w:val="28"/>
        </w:rPr>
        <w:t>Обеспечение гарантий прав на землю и защита прав и законных интересов правообладателей земельных участков, совершенствование порядка предоставления государственных услуг в области земельных отношений вызывают необходимость дальнейшего развития законодательства о кадастровом учете и регистрации прав на недвижимое имущество. Направления такого совершенствования законодательства намечены в Плане мероприятий (</w:t>
      </w:r>
      <w:r>
        <w:rPr>
          <w:rFonts w:ascii="Times New Roman" w:hAnsi="Times New Roman" w:cs="Times New Roman"/>
          <w:sz w:val="28"/>
          <w:szCs w:val="28"/>
        </w:rPr>
        <w:t>«</w:t>
      </w:r>
      <w:r w:rsidRPr="00113EC8">
        <w:rPr>
          <w:rFonts w:ascii="Times New Roman" w:hAnsi="Times New Roman" w:cs="Times New Roman"/>
          <w:sz w:val="28"/>
          <w:szCs w:val="28"/>
        </w:rPr>
        <w:t>дорожной карте</w:t>
      </w:r>
      <w:r>
        <w:rPr>
          <w:rFonts w:ascii="Times New Roman" w:hAnsi="Times New Roman" w:cs="Times New Roman"/>
          <w:sz w:val="28"/>
          <w:szCs w:val="28"/>
        </w:rPr>
        <w:t>»</w:t>
      </w:r>
      <w:r w:rsidRPr="00113EC8">
        <w:rPr>
          <w:rFonts w:ascii="Times New Roman" w:hAnsi="Times New Roman" w:cs="Times New Roman"/>
          <w:sz w:val="28"/>
          <w:szCs w:val="28"/>
        </w:rPr>
        <w:t xml:space="preserve">) </w:t>
      </w:r>
      <w:r>
        <w:rPr>
          <w:rFonts w:ascii="Times New Roman" w:hAnsi="Times New Roman" w:cs="Times New Roman"/>
          <w:sz w:val="28"/>
          <w:szCs w:val="28"/>
        </w:rPr>
        <w:t>«</w:t>
      </w:r>
      <w:r w:rsidRPr="00113EC8">
        <w:rPr>
          <w:rFonts w:ascii="Times New Roman" w:hAnsi="Times New Roman" w:cs="Times New Roman"/>
          <w:sz w:val="28"/>
          <w:szCs w:val="28"/>
        </w:rPr>
        <w:t>Повышение качества государственных услуг в сфере государственного кадастрового учета недвижимого имущества и государственной регистрации прав на недвижимое имущество и сделок с ним</w:t>
      </w:r>
      <w:r>
        <w:rPr>
          <w:rFonts w:ascii="Times New Roman" w:hAnsi="Times New Roman" w:cs="Times New Roman"/>
          <w:sz w:val="28"/>
          <w:szCs w:val="28"/>
        </w:rPr>
        <w:t>»</w:t>
      </w:r>
      <w:r w:rsidRPr="00113EC8">
        <w:rPr>
          <w:rFonts w:ascii="Times New Roman" w:hAnsi="Times New Roman" w:cs="Times New Roman"/>
          <w:sz w:val="28"/>
          <w:szCs w:val="28"/>
        </w:rPr>
        <w:t xml:space="preserve">, утвержденном распоряжением Правительства РФ от 01.12.2012 </w:t>
      </w:r>
      <w:r>
        <w:rPr>
          <w:rFonts w:ascii="Times New Roman" w:hAnsi="Times New Roman" w:cs="Times New Roman"/>
          <w:sz w:val="28"/>
          <w:szCs w:val="28"/>
        </w:rPr>
        <w:t xml:space="preserve">г. </w:t>
      </w:r>
      <w:r w:rsidRPr="00113EC8">
        <w:rPr>
          <w:rFonts w:ascii="Times New Roman" w:hAnsi="Times New Roman" w:cs="Times New Roman"/>
          <w:sz w:val="28"/>
          <w:szCs w:val="28"/>
        </w:rPr>
        <w:t xml:space="preserve">№ 2236-р, которым предусмотрены, в частности, мероприятия по совершенствованию процедур предоставления государственных услуг в сфере кадастрового учета и государственной регистрации прав заявителям, повышению качества сведений о недвижимом имуществе, содержащихся в Едином государственном реестре прав на недвижимое имущество и сделок с ним (далее </w:t>
      </w:r>
      <w:r>
        <w:rPr>
          <w:rFonts w:ascii="Times New Roman" w:hAnsi="Times New Roman" w:cs="Times New Roman"/>
          <w:sz w:val="28"/>
          <w:szCs w:val="28"/>
        </w:rPr>
        <w:t>–</w:t>
      </w:r>
      <w:r w:rsidRPr="00113EC8">
        <w:rPr>
          <w:rFonts w:ascii="Times New Roman" w:hAnsi="Times New Roman" w:cs="Times New Roman"/>
          <w:sz w:val="28"/>
          <w:szCs w:val="28"/>
        </w:rPr>
        <w:t xml:space="preserve"> ЕГРП) и государственном кадастре недвижимости (далее </w:t>
      </w:r>
      <w:r>
        <w:rPr>
          <w:rFonts w:ascii="Times New Roman" w:hAnsi="Times New Roman" w:cs="Times New Roman"/>
          <w:sz w:val="28"/>
          <w:szCs w:val="28"/>
        </w:rPr>
        <w:t>–</w:t>
      </w:r>
      <w:r w:rsidRPr="00113EC8">
        <w:rPr>
          <w:rFonts w:ascii="Times New Roman" w:hAnsi="Times New Roman" w:cs="Times New Roman"/>
          <w:sz w:val="28"/>
          <w:szCs w:val="28"/>
        </w:rPr>
        <w:t xml:space="preserve"> ГКН), повышению эффективности кадастровой деятельности.</w:t>
      </w:r>
    </w:p>
    <w:p w:rsidR="00430FBB" w:rsidRDefault="00430FBB" w:rsidP="004B1A98">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xml:space="preserve">Одним из этапов реализации указанных мер стал Федеральный закон от 13.07.2015 </w:t>
      </w:r>
      <w:r>
        <w:rPr>
          <w:rFonts w:ascii="Times New Roman" w:hAnsi="Times New Roman" w:cs="Times New Roman"/>
          <w:sz w:val="28"/>
          <w:szCs w:val="28"/>
        </w:rPr>
        <w:t xml:space="preserve">г. </w:t>
      </w:r>
      <w:r w:rsidRPr="00883373">
        <w:rPr>
          <w:rFonts w:ascii="Times New Roman" w:hAnsi="Times New Roman" w:cs="Times New Roman"/>
          <w:sz w:val="28"/>
          <w:szCs w:val="28"/>
        </w:rPr>
        <w:t xml:space="preserve">№ 218-ФЗ «О государственной регистрации недвижимости» </w:t>
      </w:r>
      <w:r>
        <w:rPr>
          <w:rFonts w:ascii="Times New Roman" w:hAnsi="Times New Roman" w:cs="Times New Roman"/>
          <w:sz w:val="28"/>
          <w:szCs w:val="28"/>
        </w:rPr>
        <w:t xml:space="preserve">[4] </w:t>
      </w:r>
      <w:r w:rsidRPr="00883373">
        <w:rPr>
          <w:rFonts w:ascii="Times New Roman" w:hAnsi="Times New Roman" w:cs="Times New Roman"/>
          <w:sz w:val="28"/>
          <w:szCs w:val="28"/>
        </w:rPr>
        <w:t>(далее – Закон о регистрации недвижимости), вступающий в силу с 1 января 2017 года, направленный на регулирование отношений, возникающих в связи с осуществлением государственной регистрации прав, государственного кадастрового учета недвижимого имущества и ведением Единого государственного реестра недвижимости (далее – ЕГРН), который будет создан на базе ГКН и ЕГРП. Основной новеллой данного закона является введение единой учетно-регистрационной процедуры в отношении объектов недвижимости (исключение необходимости подачи отдельного заявления о кадастровом учете объекта недвижимости для последующей государственной регистрации права). Однако в Законе о регистрации недвижимости перечислено немало случаев, когда эти две процедуры осуществляются отдельно, т.е. кадастровый учет объектов недвижимости и государственная регистрация прав на них все равно остаются двумя самостоятельными учетно-регистрационными действиями.</w:t>
      </w:r>
    </w:p>
    <w:p w:rsidR="00430FBB" w:rsidRPr="00883373" w:rsidRDefault="00430FBB" w:rsidP="004B1A98">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xml:space="preserve">В Законе о регистрации недвижимости, по сути, сведены нормы, содержащиеся сейчас в Федеральных законах от 21.07.1997 </w:t>
      </w:r>
      <w:r>
        <w:rPr>
          <w:rFonts w:ascii="Times New Roman" w:hAnsi="Times New Roman" w:cs="Times New Roman"/>
          <w:sz w:val="28"/>
          <w:szCs w:val="28"/>
        </w:rPr>
        <w:t xml:space="preserve">г. </w:t>
      </w:r>
      <w:r w:rsidRPr="00883373">
        <w:rPr>
          <w:rFonts w:ascii="Times New Roman" w:hAnsi="Times New Roman" w:cs="Times New Roman"/>
          <w:sz w:val="28"/>
          <w:szCs w:val="28"/>
        </w:rPr>
        <w:t>№ 122-ФЗ «О государственной регистрации прав на недвижимое имущество и сделок с ним»</w:t>
      </w:r>
      <w:r>
        <w:rPr>
          <w:rFonts w:ascii="Times New Roman" w:hAnsi="Times New Roman" w:cs="Times New Roman"/>
          <w:sz w:val="28"/>
          <w:szCs w:val="28"/>
        </w:rPr>
        <w:t xml:space="preserve"> </w:t>
      </w:r>
      <w:r w:rsidRPr="00883373">
        <w:rPr>
          <w:rFonts w:ascii="Times New Roman" w:hAnsi="Times New Roman" w:cs="Times New Roman"/>
          <w:sz w:val="28"/>
          <w:szCs w:val="28"/>
        </w:rPr>
        <w:t>(далее – Закон о государственной регистрации)</w:t>
      </w:r>
      <w:r>
        <w:rPr>
          <w:rFonts w:ascii="Times New Roman" w:hAnsi="Times New Roman" w:cs="Times New Roman"/>
          <w:sz w:val="28"/>
          <w:szCs w:val="28"/>
        </w:rPr>
        <w:t xml:space="preserve"> </w:t>
      </w:r>
      <w:r w:rsidRPr="00883373">
        <w:rPr>
          <w:rFonts w:ascii="Times New Roman" w:hAnsi="Times New Roman" w:cs="Times New Roman"/>
          <w:sz w:val="28"/>
          <w:szCs w:val="28"/>
        </w:rPr>
        <w:t xml:space="preserve">и от 24.07.2007 </w:t>
      </w:r>
      <w:r>
        <w:rPr>
          <w:rFonts w:ascii="Times New Roman" w:hAnsi="Times New Roman" w:cs="Times New Roman"/>
          <w:sz w:val="28"/>
          <w:szCs w:val="28"/>
        </w:rPr>
        <w:t xml:space="preserve">г. </w:t>
      </w:r>
      <w:r w:rsidRPr="00883373">
        <w:rPr>
          <w:rFonts w:ascii="Times New Roman" w:hAnsi="Times New Roman" w:cs="Times New Roman"/>
          <w:sz w:val="28"/>
          <w:szCs w:val="28"/>
        </w:rPr>
        <w:t>№ 221-ФЗ «О государственном кадастре недвижимости»</w:t>
      </w:r>
      <w:r>
        <w:rPr>
          <w:rFonts w:ascii="Times New Roman" w:hAnsi="Times New Roman" w:cs="Times New Roman"/>
          <w:sz w:val="28"/>
          <w:szCs w:val="28"/>
        </w:rPr>
        <w:t xml:space="preserve"> (далее – Закон</w:t>
      </w:r>
      <w:r w:rsidRPr="00883373">
        <w:rPr>
          <w:rFonts w:ascii="Times New Roman" w:hAnsi="Times New Roman" w:cs="Times New Roman"/>
          <w:sz w:val="28"/>
          <w:szCs w:val="28"/>
        </w:rPr>
        <w:t xml:space="preserve"> о ГКН</w:t>
      </w:r>
      <w:r>
        <w:rPr>
          <w:rFonts w:ascii="Times New Roman" w:hAnsi="Times New Roman" w:cs="Times New Roman"/>
          <w:sz w:val="28"/>
          <w:szCs w:val="28"/>
        </w:rPr>
        <w:t>)</w:t>
      </w:r>
      <w:r w:rsidRPr="00883373">
        <w:rPr>
          <w:rFonts w:ascii="Times New Roman" w:hAnsi="Times New Roman" w:cs="Times New Roman"/>
          <w:sz w:val="28"/>
          <w:szCs w:val="28"/>
        </w:rPr>
        <w:t>. Это объясняется тем, что разработчики в основном восприняли существующую практику государственной регистрации прав и государственного кадастрового учета.</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Анализируя положения Закона о регистрации недвижимости, можно обратить внимание на следующие проблемные моменты, а также перспективы развития законодательства в данной сфере.</w:t>
      </w:r>
    </w:p>
    <w:p w:rsidR="00430FBB" w:rsidRPr="00883373" w:rsidRDefault="00430FBB" w:rsidP="00AC577F">
      <w:pPr>
        <w:pStyle w:val="ConsPlusNormal"/>
        <w:spacing w:line="360" w:lineRule="auto"/>
        <w:ind w:firstLine="709"/>
        <w:jc w:val="both"/>
        <w:rPr>
          <w:rFonts w:ascii="Times New Roman" w:hAnsi="Times New Roman" w:cs="Times New Roman"/>
          <w:sz w:val="28"/>
          <w:szCs w:val="28"/>
        </w:rPr>
      </w:pPr>
      <w:smartTag w:uri="urn:schemas-microsoft-com:office:smarttags" w:element="metricconverter">
        <w:smartTagPr>
          <w:attr w:name="ProductID" w:val="2016 г"/>
        </w:smartTagPr>
        <w:r w:rsidRPr="00883373">
          <w:rPr>
            <w:rFonts w:ascii="Times New Roman" w:hAnsi="Times New Roman" w:cs="Times New Roman"/>
            <w:sz w:val="28"/>
            <w:szCs w:val="28"/>
          </w:rPr>
          <w:t xml:space="preserve">1. </w:t>
        </w:r>
        <w:r>
          <w:rPr>
            <w:rFonts w:ascii="Times New Roman" w:hAnsi="Times New Roman" w:cs="Times New Roman"/>
            <w:sz w:val="28"/>
            <w:szCs w:val="28"/>
          </w:rPr>
          <w:t>Г</w:t>
        </w:r>
      </w:smartTag>
      <w:r>
        <w:rPr>
          <w:rFonts w:ascii="Times New Roman" w:hAnsi="Times New Roman" w:cs="Times New Roman"/>
          <w:sz w:val="28"/>
          <w:szCs w:val="28"/>
        </w:rPr>
        <w:t>. Л. Землякова</w:t>
      </w:r>
      <w:r w:rsidRPr="00883373">
        <w:rPr>
          <w:rFonts w:ascii="Times New Roman" w:hAnsi="Times New Roman" w:cs="Times New Roman"/>
          <w:sz w:val="28"/>
          <w:szCs w:val="28"/>
        </w:rPr>
        <w:t xml:space="preserve"> отме</w:t>
      </w:r>
      <w:r>
        <w:rPr>
          <w:rFonts w:ascii="Times New Roman" w:hAnsi="Times New Roman" w:cs="Times New Roman"/>
          <w:sz w:val="28"/>
          <w:szCs w:val="28"/>
        </w:rPr>
        <w:t>чает</w:t>
      </w:r>
      <w:r w:rsidRPr="00883373">
        <w:rPr>
          <w:rFonts w:ascii="Times New Roman" w:hAnsi="Times New Roman" w:cs="Times New Roman"/>
          <w:sz w:val="28"/>
          <w:szCs w:val="28"/>
        </w:rPr>
        <w:t>, что Закон о регистрации недвижимости не предусматривает каких-либо переходных положений, закрепляющих правила объединения в единую информационную систему и синхронизации сведений, содержащихся в ГКН и ЕГРП, что является, на наш взгляд, существенным недостатком, так как именно этот момент является наиболее актуальным. Дело в том, что вопрос объединения ГКН и ЕГРП обсуждается уже более десяти лет. Нельзя не согласиться с мнением В.</w:t>
      </w:r>
      <w:r>
        <w:rPr>
          <w:rFonts w:ascii="Times New Roman" w:hAnsi="Times New Roman" w:cs="Times New Roman"/>
          <w:sz w:val="28"/>
          <w:szCs w:val="28"/>
        </w:rPr>
        <w:t xml:space="preserve"> </w:t>
      </w:r>
      <w:r w:rsidRPr="00883373">
        <w:rPr>
          <w:rFonts w:ascii="Times New Roman" w:hAnsi="Times New Roman" w:cs="Times New Roman"/>
          <w:sz w:val="28"/>
          <w:szCs w:val="28"/>
        </w:rPr>
        <w:t>Н. Сидоренко, который еще в 2003 году указывал на проблемы, которые могут возникнуть при объединении государственного земельного кадастра и ЕГРП в связи с тем, что единый государственный реестр земель (земельного кадастра) представляет собой трехуровневую систему (кадастровые округа, кадастровые районы, кадастровые кварталы), в то время как ЕГРП представляет собой одноуровневую систему (уровень регистрационных округов) [</w:t>
      </w:r>
      <w:r>
        <w:rPr>
          <w:rFonts w:ascii="Times New Roman" w:hAnsi="Times New Roman" w:cs="Times New Roman"/>
          <w:sz w:val="28"/>
          <w:szCs w:val="28"/>
        </w:rPr>
        <w:t>8, с. 18</w:t>
      </w:r>
      <w:r w:rsidRPr="00883373">
        <w:rPr>
          <w:rFonts w:ascii="Times New Roman" w:hAnsi="Times New Roman" w:cs="Times New Roman"/>
          <w:sz w:val="28"/>
          <w:szCs w:val="28"/>
        </w:rPr>
        <w:t>]. Высказанные автором опасения являются и сейчас актуальными, так как системы, по которым ведутся ЕГРП и ГКН, различны. Кроме того, эти системы различаются по специализации, и в основе их лежат совершенно разные области деятельности [</w:t>
      </w:r>
      <w:r>
        <w:rPr>
          <w:rFonts w:ascii="Times New Roman" w:hAnsi="Times New Roman" w:cs="Times New Roman"/>
          <w:sz w:val="28"/>
          <w:szCs w:val="28"/>
        </w:rPr>
        <w:t>3, с. 55</w:t>
      </w:r>
      <w:r w:rsidRPr="00883373">
        <w:rPr>
          <w:rFonts w:ascii="Times New Roman" w:hAnsi="Times New Roman" w:cs="Times New Roman"/>
          <w:sz w:val="28"/>
          <w:szCs w:val="28"/>
        </w:rPr>
        <w:t>]. Следует признать обоснованным высказанное Г.</w:t>
      </w:r>
      <w:r>
        <w:rPr>
          <w:rFonts w:ascii="Times New Roman" w:hAnsi="Times New Roman" w:cs="Times New Roman"/>
          <w:sz w:val="28"/>
          <w:szCs w:val="28"/>
        </w:rPr>
        <w:t xml:space="preserve"> </w:t>
      </w:r>
      <w:r w:rsidRPr="00883373">
        <w:rPr>
          <w:rFonts w:ascii="Times New Roman" w:hAnsi="Times New Roman" w:cs="Times New Roman"/>
          <w:sz w:val="28"/>
          <w:szCs w:val="28"/>
        </w:rPr>
        <w:t>Л. Земляковой замечание о том, что до тех пор, пока не будут установлены правила синхронизации сведений, содержащихся в ГКН и ЕГРП, и устранения несоответствий между этими сведениями, едва ли можно рассчитывать на значительную оптимизацию и снижение удельной ресурсоемкости учетно-регистрационных процедур, особенно учитывая опыт недавно завершившегося процесса переноса сведений из архивов органов (организаций) по государственному техническому учету и (или) технической инвентаризации (далее – ОТИ) в ГКН, повлекшего за собой массу проблем, в первую очередь, для правообладателей объектов недвижимости [</w:t>
      </w:r>
      <w:r>
        <w:rPr>
          <w:rFonts w:ascii="Times New Roman" w:hAnsi="Times New Roman" w:cs="Times New Roman"/>
          <w:sz w:val="28"/>
          <w:szCs w:val="28"/>
        </w:rPr>
        <w:t>2, с. 93</w:t>
      </w:r>
      <w:r w:rsidRPr="00883373">
        <w:rPr>
          <w:rFonts w:ascii="Times New Roman" w:hAnsi="Times New Roman" w:cs="Times New Roman"/>
          <w:sz w:val="28"/>
          <w:szCs w:val="28"/>
        </w:rPr>
        <w:t>]. По нашему мнению, было бы целесообразно в течение определенного переходного периода апробировать ведение ЕГРН в нескольких «пилотных» регионах (в том числе в Крыму и Севастополе), а затем, с учетом полученных результатов, принимать решение о его введении на территории всей страны.</w:t>
      </w:r>
    </w:p>
    <w:p w:rsidR="00430FBB" w:rsidRPr="00883373" w:rsidRDefault="00430FBB" w:rsidP="00AC577F">
      <w:pPr>
        <w:pStyle w:val="ConsPlusNormal"/>
        <w:spacing w:line="360" w:lineRule="auto"/>
        <w:ind w:firstLine="709"/>
        <w:jc w:val="both"/>
        <w:rPr>
          <w:rFonts w:ascii="Times New Roman" w:hAnsi="Times New Roman" w:cs="Times New Roman"/>
          <w:sz w:val="28"/>
          <w:szCs w:val="28"/>
          <w:lang w:eastAsia="en-US"/>
        </w:rPr>
      </w:pPr>
      <w:r w:rsidRPr="00883373">
        <w:rPr>
          <w:rFonts w:ascii="Times New Roman" w:hAnsi="Times New Roman" w:cs="Times New Roman"/>
          <w:sz w:val="28"/>
          <w:szCs w:val="28"/>
        </w:rPr>
        <w:t>2. В настоящее время в ЕГРП содержатся записи о государственной регистрации прав на объекты, которые фактически не являлись и не являются объектами недвижимости в понимании ст</w:t>
      </w:r>
      <w:r>
        <w:rPr>
          <w:rFonts w:ascii="Times New Roman" w:hAnsi="Times New Roman" w:cs="Times New Roman"/>
          <w:sz w:val="28"/>
          <w:szCs w:val="28"/>
        </w:rPr>
        <w:t>.</w:t>
      </w:r>
      <w:r w:rsidRPr="00883373">
        <w:rPr>
          <w:rFonts w:ascii="Times New Roman" w:hAnsi="Times New Roman" w:cs="Times New Roman"/>
          <w:sz w:val="28"/>
          <w:szCs w:val="28"/>
        </w:rPr>
        <w:t xml:space="preserve"> 130 Гражданского кодекса Российской Федерации, сведения о которых также содержатся в ГКН на основании данных, переданных ОТИ в рамках реализации приказа Минэкономразвития России «О сроках и порядке включения в государственный кадастр недвижимости сведений о ранее учтенных объектах недвижимости» от 11.01.2011 </w:t>
      </w:r>
      <w:r>
        <w:rPr>
          <w:rFonts w:ascii="Times New Roman" w:hAnsi="Times New Roman" w:cs="Times New Roman"/>
          <w:sz w:val="28"/>
          <w:szCs w:val="28"/>
        </w:rPr>
        <w:t xml:space="preserve">г. </w:t>
      </w:r>
      <w:r w:rsidRPr="00883373">
        <w:rPr>
          <w:rFonts w:ascii="Times New Roman" w:hAnsi="Times New Roman" w:cs="Times New Roman"/>
          <w:sz w:val="28"/>
          <w:szCs w:val="28"/>
        </w:rPr>
        <w:t>№ 1</w:t>
      </w:r>
      <w:r>
        <w:rPr>
          <w:rFonts w:ascii="Times New Roman" w:hAnsi="Times New Roman" w:cs="Times New Roman"/>
          <w:sz w:val="28"/>
          <w:szCs w:val="28"/>
        </w:rPr>
        <w:t xml:space="preserve"> [5]</w:t>
      </w:r>
      <w:r w:rsidRPr="00883373">
        <w:rPr>
          <w:rFonts w:ascii="Times New Roman" w:hAnsi="Times New Roman" w:cs="Times New Roman"/>
          <w:sz w:val="28"/>
          <w:szCs w:val="28"/>
        </w:rPr>
        <w:t>. Таким образом, сведения о таких объектах и о зарегистрированных правах на них неизбежно автоматически попадут в ЕГРН, что будет противоречить законодательству Российской Федерации</w:t>
      </w:r>
      <w:r w:rsidRPr="00E0611B">
        <w:rPr>
          <w:rFonts w:ascii="Times New Roman" w:hAnsi="Times New Roman" w:cs="Times New Roman"/>
          <w:sz w:val="28"/>
          <w:szCs w:val="28"/>
          <w:lang w:eastAsia="en-US"/>
        </w:rPr>
        <w:t>.</w:t>
      </w:r>
      <w:r w:rsidRPr="00883373">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Для исключения</w:t>
      </w:r>
      <w:r w:rsidRPr="00883373">
        <w:rPr>
          <w:rFonts w:ascii="Times New Roman" w:hAnsi="Times New Roman" w:cs="Times New Roman"/>
          <w:sz w:val="28"/>
          <w:szCs w:val="28"/>
          <w:lang w:eastAsia="en-US"/>
        </w:rPr>
        <w:t xml:space="preserve"> подобной ситуации </w:t>
      </w:r>
      <w:r>
        <w:rPr>
          <w:rFonts w:ascii="Times New Roman" w:hAnsi="Times New Roman" w:cs="Times New Roman"/>
          <w:sz w:val="28"/>
          <w:szCs w:val="28"/>
          <w:lang w:eastAsia="en-US"/>
        </w:rPr>
        <w:t xml:space="preserve">необходимо, на наш взгляд, применить </w:t>
      </w:r>
      <w:r w:rsidRPr="00883373">
        <w:rPr>
          <w:rFonts w:ascii="Times New Roman" w:hAnsi="Times New Roman" w:cs="Times New Roman"/>
          <w:sz w:val="28"/>
          <w:szCs w:val="28"/>
          <w:lang w:eastAsia="en-US"/>
        </w:rPr>
        <w:t>алгоритм действий</w:t>
      </w:r>
      <w:r>
        <w:rPr>
          <w:rFonts w:ascii="Times New Roman" w:hAnsi="Times New Roman" w:cs="Times New Roman"/>
          <w:sz w:val="28"/>
          <w:szCs w:val="28"/>
          <w:lang w:eastAsia="en-US"/>
        </w:rPr>
        <w:t xml:space="preserve">, предложенный в письме </w:t>
      </w:r>
      <w:r w:rsidRPr="00E0611B">
        <w:rPr>
          <w:rFonts w:ascii="Times New Roman" w:hAnsi="Times New Roman" w:cs="Times New Roman"/>
          <w:sz w:val="28"/>
          <w:szCs w:val="28"/>
          <w:lang w:eastAsia="en-US"/>
        </w:rPr>
        <w:t xml:space="preserve">Росреестра от 26.10.2015 </w:t>
      </w:r>
      <w:r>
        <w:rPr>
          <w:rFonts w:ascii="Times New Roman" w:hAnsi="Times New Roman" w:cs="Times New Roman"/>
          <w:sz w:val="28"/>
          <w:szCs w:val="28"/>
          <w:lang w:eastAsia="en-US"/>
        </w:rPr>
        <w:t>г. №</w:t>
      </w:r>
      <w:r w:rsidRPr="00E0611B">
        <w:rPr>
          <w:rFonts w:ascii="Times New Roman" w:hAnsi="Times New Roman" w:cs="Times New Roman"/>
          <w:sz w:val="28"/>
          <w:szCs w:val="28"/>
          <w:lang w:eastAsia="en-US"/>
        </w:rPr>
        <w:t xml:space="preserve"> 09-исх/15309-ГЕ/15</w:t>
      </w:r>
      <w:r w:rsidRPr="00883373">
        <w:rPr>
          <w:rFonts w:ascii="Times New Roman" w:hAnsi="Times New Roman" w:cs="Times New Roman"/>
          <w:sz w:val="28"/>
          <w:szCs w:val="28"/>
          <w:lang w:eastAsia="en-US"/>
        </w:rPr>
        <w:t>:</w:t>
      </w:r>
    </w:p>
    <w:p w:rsidR="00430FBB" w:rsidRPr="00883373" w:rsidRDefault="00430FBB" w:rsidP="00AC577F">
      <w:pPr>
        <w:autoSpaceDE w:val="0"/>
        <w:autoSpaceDN w:val="0"/>
        <w:adjustRightInd w:val="0"/>
        <w:spacing w:after="0" w:line="360" w:lineRule="auto"/>
        <w:ind w:firstLine="709"/>
        <w:jc w:val="both"/>
        <w:rPr>
          <w:rFonts w:ascii="Times New Roman" w:hAnsi="Times New Roman"/>
          <w:sz w:val="28"/>
          <w:szCs w:val="28"/>
        </w:rPr>
      </w:pPr>
      <w:r w:rsidRPr="00883373">
        <w:rPr>
          <w:rFonts w:ascii="Times New Roman" w:hAnsi="Times New Roman"/>
          <w:sz w:val="28"/>
          <w:szCs w:val="28"/>
        </w:rPr>
        <w:t>а) регистрирующему органу совместно с органом кадастрового учета следует сформировать перечень таких объектов, права на которые зарегистрированы в ЕГРП, сведения о которых содержатся либо отсутствуют в ГКН;</w:t>
      </w:r>
    </w:p>
    <w:p w:rsidR="00430FBB" w:rsidRPr="00883373" w:rsidRDefault="00430FBB" w:rsidP="00AC577F">
      <w:pPr>
        <w:autoSpaceDE w:val="0"/>
        <w:autoSpaceDN w:val="0"/>
        <w:adjustRightInd w:val="0"/>
        <w:spacing w:after="0" w:line="360" w:lineRule="auto"/>
        <w:ind w:firstLine="709"/>
        <w:jc w:val="both"/>
        <w:rPr>
          <w:rFonts w:ascii="Times New Roman" w:hAnsi="Times New Roman"/>
          <w:sz w:val="28"/>
          <w:szCs w:val="28"/>
        </w:rPr>
      </w:pPr>
      <w:r w:rsidRPr="00883373">
        <w:rPr>
          <w:rFonts w:ascii="Times New Roman" w:hAnsi="Times New Roman"/>
          <w:sz w:val="28"/>
          <w:szCs w:val="28"/>
        </w:rPr>
        <w:t>б) организовать заседание совместной рабочей группы, к участию в котором привлечь представителя ОТИ, и на котором провести анализ документации из дел правоустанавливающих документов и кадастровых дел. Если в документах говорится, что такие объекты не являлись и не являются объектами недвижимости, содержащиеся в ГКН записи о них могут быть квалифицированы как ошибочно внесенные на основании решения об исправлении технической ошибки. Решение по вопросу определения статуса объекта и исправления технической ошибки в записях ГКН должно быть оформлено протоколом рабочей группы;</w:t>
      </w:r>
    </w:p>
    <w:p w:rsidR="00430FBB" w:rsidRPr="00883373" w:rsidRDefault="00430FBB" w:rsidP="00F7458A">
      <w:pPr>
        <w:autoSpaceDE w:val="0"/>
        <w:autoSpaceDN w:val="0"/>
        <w:adjustRightInd w:val="0"/>
        <w:spacing w:after="0" w:line="360" w:lineRule="auto"/>
        <w:ind w:firstLine="709"/>
        <w:jc w:val="both"/>
        <w:rPr>
          <w:rFonts w:ascii="Times New Roman" w:hAnsi="Times New Roman"/>
          <w:sz w:val="28"/>
          <w:szCs w:val="28"/>
        </w:rPr>
      </w:pPr>
      <w:r w:rsidRPr="00883373">
        <w:rPr>
          <w:rFonts w:ascii="Times New Roman" w:hAnsi="Times New Roman"/>
          <w:sz w:val="28"/>
          <w:szCs w:val="28"/>
        </w:rPr>
        <w:t>в) после принятия решения рабочей группой регистрирующему органу следует организовать работу с заявителями в целях подачи ими заявлений о нормализации базы данных ЕГРП и ГКН (в т.ч. путем исправления технической  ошибки), в частности:</w:t>
      </w:r>
    </w:p>
    <w:p w:rsidR="00430FBB" w:rsidRPr="00883373" w:rsidRDefault="00430FBB" w:rsidP="00F7458A">
      <w:pPr>
        <w:autoSpaceDE w:val="0"/>
        <w:autoSpaceDN w:val="0"/>
        <w:adjustRightInd w:val="0"/>
        <w:spacing w:after="0" w:line="360" w:lineRule="auto"/>
        <w:ind w:firstLine="709"/>
        <w:jc w:val="both"/>
        <w:rPr>
          <w:rFonts w:ascii="Times New Roman" w:hAnsi="Times New Roman"/>
          <w:sz w:val="28"/>
          <w:szCs w:val="28"/>
        </w:rPr>
      </w:pPr>
      <w:r w:rsidRPr="00883373">
        <w:rPr>
          <w:rFonts w:ascii="Times New Roman" w:hAnsi="Times New Roman"/>
          <w:sz w:val="28"/>
          <w:szCs w:val="28"/>
        </w:rPr>
        <w:t>– по каждому такому объекту подготовить уведомление заявителю, которое должно содержать описание проблемы и приглашение на личный прием с указанием времени и места (номер окна (кабинета) проведения такого приема, а также телефона и контактного лица регистрирующего органа, с которым можно связаться в случае необходимости переноса предлагаемого времени и даты проведения приема);</w:t>
      </w:r>
    </w:p>
    <w:p w:rsidR="00430FBB" w:rsidRPr="00883373" w:rsidRDefault="00430FBB" w:rsidP="00F7458A">
      <w:pPr>
        <w:autoSpaceDE w:val="0"/>
        <w:autoSpaceDN w:val="0"/>
        <w:adjustRightInd w:val="0"/>
        <w:spacing w:after="0" w:line="360" w:lineRule="auto"/>
        <w:ind w:firstLine="709"/>
        <w:jc w:val="both"/>
        <w:rPr>
          <w:rFonts w:ascii="Times New Roman" w:hAnsi="Times New Roman"/>
          <w:sz w:val="28"/>
          <w:szCs w:val="28"/>
        </w:rPr>
      </w:pPr>
      <w:r w:rsidRPr="00883373">
        <w:rPr>
          <w:rFonts w:ascii="Times New Roman" w:hAnsi="Times New Roman"/>
          <w:sz w:val="28"/>
          <w:szCs w:val="28"/>
        </w:rPr>
        <w:t>– назначить специалиста, ответственного за проведение личного приема по вопросам верификации и гармонизации сведений об объектах недвижимости, а также лицо из числа руководства территориального органа Росреестра (не ниже заместителя руководителя Управления), осуществляющего контроль по данному направлению деятельности. При проведении личного приема необходимо разъяснить заявителю сложившуюся ситуацию, изложить конструктивные варианты ее решения, а также возможные последствия в случае бездействия заявителя. Предоставить заявителю возможность подачи соответствующего заявления в тот же день</w:t>
      </w:r>
      <w:r>
        <w:rPr>
          <w:rFonts w:ascii="Times New Roman" w:hAnsi="Times New Roman"/>
          <w:sz w:val="28"/>
          <w:szCs w:val="28"/>
        </w:rPr>
        <w:t xml:space="preserve"> [6]</w:t>
      </w:r>
      <w:r w:rsidRPr="00883373">
        <w:rPr>
          <w:rFonts w:ascii="Times New Roman" w:hAnsi="Times New Roman"/>
          <w:sz w:val="28"/>
          <w:szCs w:val="28"/>
        </w:rPr>
        <w:t>.</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lang w:eastAsia="en-US"/>
        </w:rPr>
        <w:t>3. Согласно ч</w:t>
      </w:r>
      <w:r>
        <w:rPr>
          <w:rFonts w:ascii="Times New Roman" w:hAnsi="Times New Roman" w:cs="Times New Roman"/>
          <w:sz w:val="28"/>
          <w:szCs w:val="28"/>
          <w:lang w:eastAsia="en-US"/>
        </w:rPr>
        <w:t>.</w:t>
      </w:r>
      <w:r w:rsidRPr="00883373">
        <w:rPr>
          <w:rFonts w:ascii="Times New Roman" w:hAnsi="Times New Roman" w:cs="Times New Roman"/>
          <w:sz w:val="28"/>
          <w:szCs w:val="28"/>
          <w:lang w:eastAsia="en-US"/>
        </w:rPr>
        <w:t xml:space="preserve"> 10 ст</w:t>
      </w:r>
      <w:r>
        <w:rPr>
          <w:rFonts w:ascii="Times New Roman" w:hAnsi="Times New Roman" w:cs="Times New Roman"/>
          <w:sz w:val="28"/>
          <w:szCs w:val="28"/>
          <w:lang w:eastAsia="en-US"/>
        </w:rPr>
        <w:t>.</w:t>
      </w:r>
      <w:r w:rsidRPr="00883373">
        <w:rPr>
          <w:rFonts w:ascii="Times New Roman" w:hAnsi="Times New Roman" w:cs="Times New Roman"/>
          <w:sz w:val="28"/>
          <w:szCs w:val="28"/>
          <w:lang w:eastAsia="en-US"/>
        </w:rPr>
        <w:t xml:space="preserve"> 69 </w:t>
      </w:r>
      <w:r w:rsidRPr="00883373">
        <w:rPr>
          <w:rFonts w:ascii="Times New Roman" w:hAnsi="Times New Roman" w:cs="Times New Roman"/>
          <w:sz w:val="28"/>
          <w:szCs w:val="28"/>
        </w:rPr>
        <w:t xml:space="preserve">Закона о регистрации недвижимости, </w:t>
      </w:r>
      <w:r w:rsidRPr="00883373">
        <w:rPr>
          <w:rFonts w:ascii="Times New Roman" w:hAnsi="Times New Roman" w:cs="Times New Roman"/>
          <w:sz w:val="28"/>
          <w:szCs w:val="28"/>
          <w:lang w:eastAsia="en-US"/>
        </w:rPr>
        <w:t>органу регистрации прав</w:t>
      </w:r>
      <w:r w:rsidRPr="00883373">
        <w:rPr>
          <w:rFonts w:ascii="Times New Roman" w:hAnsi="Times New Roman" w:cs="Times New Roman"/>
          <w:sz w:val="28"/>
          <w:szCs w:val="28"/>
        </w:rPr>
        <w:t xml:space="preserve"> надлежит в течение десяти рабочих дней по истечении пяти лет с даты присвоения кадастровых номеров ранее учтенным зданиям, сооружениям, помещениям, объектам незавершенного строительства, в отношении которых в ГКН отсутствуют сведения о правах на такие объекты недвижимости или о вещных правах на земельные участки, на которых расположены такие объекты недвижимости, направлять сведения о таких объектах недвижимости, в том числе в уполномоченные органы местного самоуправления городских, сельских поселений, городских округов. Однако существующей редакцией данной нормы не предусмотрено принятие нормативного правового акта, регламентирующего порядок направления указанного уведомления, в том числе объем таких сведений.</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Поскольку последующее использование таких сведений органами местного самоуправления может привести к спорам в связи с требованиями соответствующих лиц о защите их прав и законных интересов, полагаем целесообразным внести изменения в вышеуказанную статью Закона о регистрации недвижимости, указывающие на установление соответствующего порядка органом нормативно-правового регулирования.</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lang w:eastAsia="en-US"/>
        </w:rPr>
        <w:t xml:space="preserve">4. В рамках реализации положений </w:t>
      </w:r>
      <w:r w:rsidRPr="00883373">
        <w:rPr>
          <w:rFonts w:ascii="Times New Roman" w:hAnsi="Times New Roman" w:cs="Times New Roman"/>
          <w:sz w:val="28"/>
          <w:szCs w:val="28"/>
        </w:rPr>
        <w:t>Закона о регистрации недвижимости надлежит разработать более 40 подзаконных нормативно-правовых актов. По состоянию на февраль 2016 года уже приняты следующие документы:</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кадастрового деления территории Российской Федерации, порядок присвоения объектам недвижимости кадастровых номеров, номеров регистр</w:t>
      </w:r>
      <w:r>
        <w:rPr>
          <w:rFonts w:ascii="Times New Roman" w:hAnsi="Times New Roman" w:cs="Times New Roman"/>
          <w:sz w:val="28"/>
          <w:szCs w:val="28"/>
        </w:rPr>
        <w:t>ации, реестровых номеров границ</w:t>
      </w:r>
      <w:r w:rsidRPr="00883373">
        <w:rPr>
          <w:rFonts w:ascii="Times New Roman" w:hAnsi="Times New Roman" w:cs="Times New Roman"/>
          <w:sz w:val="28"/>
          <w:szCs w:val="28"/>
        </w:rPr>
        <w:t>;</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форма и состав сведений межевого плана,</w:t>
      </w:r>
      <w:r>
        <w:rPr>
          <w:rFonts w:ascii="Times New Roman" w:hAnsi="Times New Roman" w:cs="Times New Roman"/>
          <w:sz w:val="28"/>
          <w:szCs w:val="28"/>
        </w:rPr>
        <w:t xml:space="preserve"> требования к его подготовке</w:t>
      </w:r>
      <w:r w:rsidRPr="00B81A5E">
        <w:rPr>
          <w:rFonts w:ascii="Times New Roman" w:hAnsi="Times New Roman" w:cs="Times New Roman"/>
          <w:sz w:val="28"/>
          <w:szCs w:val="28"/>
        </w:rPr>
        <w:t>.</w:t>
      </w:r>
      <w:r w:rsidRPr="00883373">
        <w:rPr>
          <w:rFonts w:ascii="Times New Roman" w:hAnsi="Times New Roman" w:cs="Times New Roman"/>
          <w:sz w:val="28"/>
          <w:szCs w:val="28"/>
        </w:rPr>
        <w:t xml:space="preserve"> Здесь необходимо отметить, что на основании этих утвержденных требований Росреестр должен разработать и разместить на своем сайте в сети Интернет </w:t>
      </w:r>
      <w:r w:rsidRPr="00883373">
        <w:rPr>
          <w:rFonts w:ascii="Times New Roman" w:hAnsi="Times New Roman" w:cs="Times New Roman"/>
          <w:sz w:val="28"/>
          <w:szCs w:val="28"/>
          <w:lang w:val="en-US"/>
        </w:rPr>
        <w:t>XML</w:t>
      </w:r>
      <w:r w:rsidRPr="00883373">
        <w:rPr>
          <w:rFonts w:ascii="Times New Roman" w:hAnsi="Times New Roman" w:cs="Times New Roman"/>
          <w:sz w:val="28"/>
          <w:szCs w:val="28"/>
        </w:rPr>
        <w:t xml:space="preserve">-схему межевого плана в виде электронного документа, т.к. именно в этом формате межевой план должен предоставляться в орган регистрации прав. При этом надо избежать неоднократно повторявшейся ситуации, когда требования к межевому плану (или изменения к ним) вводятся в действие, а </w:t>
      </w:r>
      <w:r w:rsidRPr="00883373">
        <w:rPr>
          <w:rFonts w:ascii="Times New Roman" w:hAnsi="Times New Roman" w:cs="Times New Roman"/>
          <w:sz w:val="28"/>
          <w:szCs w:val="28"/>
          <w:lang w:val="en-US"/>
        </w:rPr>
        <w:t>XML</w:t>
      </w:r>
      <w:r w:rsidRPr="00883373">
        <w:rPr>
          <w:rFonts w:ascii="Times New Roman" w:hAnsi="Times New Roman" w:cs="Times New Roman"/>
          <w:sz w:val="28"/>
          <w:szCs w:val="28"/>
        </w:rPr>
        <w:t xml:space="preserve">-схема межевого плана в виде электронного документа еще не разработана или вступает в силу гораздо позже (по истечении двух месяцев со дня размещения на официальном сайте Росреестра). Совсем свежий пример такого неприемлемого положения – </w:t>
      </w:r>
      <w:r w:rsidRPr="00883373">
        <w:rPr>
          <w:rFonts w:ascii="Times New Roman" w:hAnsi="Times New Roman" w:cs="Times New Roman"/>
          <w:bCs/>
          <w:sz w:val="28"/>
          <w:szCs w:val="28"/>
        </w:rPr>
        <w:t xml:space="preserve">вступивший в силу 29.12.2015 г. </w:t>
      </w:r>
      <w:r w:rsidRPr="00883373">
        <w:rPr>
          <w:rFonts w:ascii="Times New Roman" w:hAnsi="Times New Roman" w:cs="Times New Roman"/>
          <w:sz w:val="28"/>
          <w:szCs w:val="28"/>
        </w:rPr>
        <w:t xml:space="preserve">приказ Минэкономразвития России от 12.11.2015 </w:t>
      </w:r>
      <w:r>
        <w:rPr>
          <w:rFonts w:ascii="Times New Roman" w:hAnsi="Times New Roman" w:cs="Times New Roman"/>
          <w:sz w:val="28"/>
          <w:szCs w:val="28"/>
        </w:rPr>
        <w:t xml:space="preserve">г. </w:t>
      </w:r>
      <w:r w:rsidRPr="00883373">
        <w:rPr>
          <w:rFonts w:ascii="Times New Roman" w:hAnsi="Times New Roman" w:cs="Times New Roman"/>
          <w:sz w:val="28"/>
          <w:szCs w:val="28"/>
        </w:rPr>
        <w:t>№ 842 «</w:t>
      </w:r>
      <w:r w:rsidRPr="00883373">
        <w:rPr>
          <w:rFonts w:ascii="Times New Roman" w:hAnsi="Times New Roman" w:cs="Times New Roman"/>
          <w:bCs/>
          <w:sz w:val="28"/>
          <w:szCs w:val="28"/>
        </w:rPr>
        <w:t>О внесении изменений в приложения № 1 и № 2 к приказу Минэкономразвития России от 24 ноября 2008 г. № 412»</w:t>
      </w:r>
      <w:r w:rsidRPr="00883373">
        <w:rPr>
          <w:rFonts w:ascii="Times New Roman" w:hAnsi="Times New Roman" w:cs="Times New Roman"/>
          <w:sz w:val="28"/>
          <w:szCs w:val="28"/>
        </w:rPr>
        <w:t>, который</w:t>
      </w:r>
      <w:r w:rsidRPr="00883373">
        <w:rPr>
          <w:rFonts w:ascii="Times New Roman" w:hAnsi="Times New Roman" w:cs="Times New Roman"/>
          <w:bCs/>
          <w:sz w:val="28"/>
          <w:szCs w:val="28"/>
        </w:rPr>
        <w:t xml:space="preserve"> не может быть реализован в полной мере из-за отсутствия по состоянию на середину февраля 2016 г. </w:t>
      </w:r>
      <w:r w:rsidRPr="00883373">
        <w:rPr>
          <w:rFonts w:ascii="Times New Roman" w:hAnsi="Times New Roman" w:cs="Times New Roman"/>
          <w:sz w:val="28"/>
          <w:szCs w:val="28"/>
          <w:lang w:val="en-US"/>
        </w:rPr>
        <w:t>XML</w:t>
      </w:r>
      <w:r w:rsidRPr="00883373">
        <w:rPr>
          <w:rFonts w:ascii="Times New Roman" w:hAnsi="Times New Roman" w:cs="Times New Roman"/>
          <w:sz w:val="28"/>
          <w:szCs w:val="28"/>
        </w:rPr>
        <w:t>-схемы межевого плана в виде электронного документа;</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ведения и состав сведений реестра государственных регистраторов прав</w:t>
      </w:r>
      <w:r w:rsidRPr="00946432">
        <w:rPr>
          <w:rFonts w:ascii="Times New Roman" w:hAnsi="Times New Roman" w:cs="Times New Roman"/>
          <w:sz w:val="28"/>
          <w:szCs w:val="28"/>
        </w:rPr>
        <w:t>;</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форма и состав сведений акта обследования, а также требования к его подготовке</w:t>
      </w:r>
      <w:r w:rsidRPr="00946432">
        <w:rPr>
          <w:rFonts w:ascii="Times New Roman" w:hAnsi="Times New Roman" w:cs="Times New Roman"/>
          <w:sz w:val="28"/>
          <w:szCs w:val="28"/>
        </w:rPr>
        <w:t>;</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представления заявления о государственном кадастровом учете недвижимого имущества и (или) государственной регистрации прав на недвижимое имущество и прилагаемых к нему документов, порядок представления заявления об исправлении технической ошибки в записях ЕГРН</w:t>
      </w:r>
      <w:r w:rsidRPr="00946432">
        <w:rPr>
          <w:rFonts w:ascii="Times New Roman" w:hAnsi="Times New Roman" w:cs="Times New Roman"/>
          <w:sz w:val="28"/>
          <w:szCs w:val="28"/>
        </w:rPr>
        <w:t>;</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формирования экзаменационной комиссии по приему экзамена на соответствие требованиям, предъявляемым к государственным регистраторам прав, её полномочия и процедура принятия такого экзамена</w:t>
      </w:r>
      <w:r w:rsidRPr="00946432">
        <w:rPr>
          <w:rFonts w:ascii="Times New Roman" w:hAnsi="Times New Roman" w:cs="Times New Roman"/>
          <w:sz w:val="28"/>
          <w:szCs w:val="28"/>
        </w:rPr>
        <w:t>;</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xml:space="preserve">– порядок информационного взаимодействия кадастрового инженера с органом регистрации прав в электронной форме через единый портал государственных и муниципальных услуг (функций) или официальный сайт органа регистрации прав в информационно-телекоммуникационной сети </w:t>
      </w:r>
      <w:r>
        <w:rPr>
          <w:rFonts w:ascii="Times New Roman" w:hAnsi="Times New Roman" w:cs="Times New Roman"/>
          <w:sz w:val="28"/>
          <w:szCs w:val="28"/>
        </w:rPr>
        <w:t>«</w:t>
      </w:r>
      <w:r w:rsidRPr="00883373">
        <w:rPr>
          <w:rFonts w:ascii="Times New Roman" w:hAnsi="Times New Roman" w:cs="Times New Roman"/>
          <w:sz w:val="28"/>
          <w:szCs w:val="28"/>
        </w:rPr>
        <w:t>Интернет</w:t>
      </w:r>
      <w:r>
        <w:rPr>
          <w:rFonts w:ascii="Times New Roman" w:hAnsi="Times New Roman" w:cs="Times New Roman"/>
          <w:sz w:val="28"/>
          <w:szCs w:val="28"/>
        </w:rPr>
        <w:t>»</w:t>
      </w:r>
      <w:r w:rsidRPr="00883373">
        <w:rPr>
          <w:rFonts w:ascii="Times New Roman" w:hAnsi="Times New Roman" w:cs="Times New Roman"/>
          <w:sz w:val="28"/>
          <w:szCs w:val="28"/>
        </w:rPr>
        <w:t xml:space="preserve"> с использованием единой системы идентификации и аутентификации. Практическая реализация данных правовых норм также будет в огромной степени зависеть от должного технического сопровождения Росреестром задуманных преобразований. Например, в настоящее время фактически сведена на нет возможность подачи заявления об осуществлении кадастрового учета земельных участков через Интернет-портал Росреестра, т.к. технические возможности данного ресурса позволяют загрузить межевой план в виде электронного документа (с необходимыми приложениями) объемом не более 20 мегабайт, в то время как в связи с установленными требованиями о качестве сканирования прилагаемых документов (полноцветный режим, разрешение 300 </w:t>
      </w:r>
      <w:r w:rsidRPr="00883373">
        <w:rPr>
          <w:rFonts w:ascii="Times New Roman" w:hAnsi="Times New Roman" w:cs="Times New Roman"/>
          <w:sz w:val="28"/>
          <w:szCs w:val="28"/>
          <w:lang w:val="en-US"/>
        </w:rPr>
        <w:t>dpi</w:t>
      </w:r>
      <w:r w:rsidRPr="00883373">
        <w:rPr>
          <w:rFonts w:ascii="Times New Roman" w:hAnsi="Times New Roman" w:cs="Times New Roman"/>
          <w:sz w:val="28"/>
          <w:szCs w:val="28"/>
        </w:rPr>
        <w:t>), размер сформированного пакета документов зачастую значительно превышает установленные ограничения;</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требования к картам и планам, являющимся картографической основой ЕГРН, а также к периодичности их обновления</w:t>
      </w:r>
      <w:r>
        <w:rPr>
          <w:rFonts w:ascii="Times New Roman" w:hAnsi="Times New Roman" w:cs="Times New Roman"/>
          <w:sz w:val="28"/>
          <w:szCs w:val="28"/>
        </w:rPr>
        <w:t>.</w:t>
      </w:r>
      <w:r w:rsidRPr="00883373">
        <w:rPr>
          <w:rFonts w:ascii="Times New Roman" w:hAnsi="Times New Roman" w:cs="Times New Roman"/>
          <w:sz w:val="28"/>
          <w:szCs w:val="28"/>
        </w:rPr>
        <w:t xml:space="preserve"> Данный вопрос также представляется очень злободневным, принимая во внимание тот факт, что на территории Краснодарского края до настоящего времени отсутствует картографическая основа ГКН.</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Таким образом, предстоит принять еще порядка 35 документов, в том числе:</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ведения ЕГРН, в том числе объем вносимых в реестры ЕГРН сведений;</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принятия на учет бесхозяйных недвижимых вещей;</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случаи использования для ведения ЕГРН единой государственной системы координат;</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состав сведений, содержащихся в кадастровых картах;</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размер платы за использование кадастровым инженером электронного сервиса «Личный кабинет кадастрового инженера», порядок ее взимания и возврата;</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lang w:eastAsia="en-US"/>
        </w:rPr>
        <w:t>– ф</w:t>
      </w:r>
      <w:r w:rsidRPr="00883373">
        <w:rPr>
          <w:rFonts w:ascii="Times New Roman" w:hAnsi="Times New Roman" w:cs="Times New Roman"/>
          <w:sz w:val="28"/>
          <w:szCs w:val="28"/>
        </w:rPr>
        <w:t>орма технического плана, требования к его подготовке, состав содержащихся в нем сведений, форма декларации правообладателя объекта недвижимости, требования к ее подготовке, состав содержащихся в ней сведений, требования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требования к подготовке плана этажа, части этажа здания или сооружения, плана здания или сооружения, плана части здания или сооружения, а также требования к определению площади здания, сооружения или помещения;</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lang w:eastAsia="en-US"/>
        </w:rPr>
        <w:t>– ф</w:t>
      </w:r>
      <w:r w:rsidRPr="00883373">
        <w:rPr>
          <w:rFonts w:ascii="Times New Roman" w:hAnsi="Times New Roman" w:cs="Times New Roman"/>
          <w:sz w:val="28"/>
          <w:szCs w:val="28"/>
        </w:rPr>
        <w:t>орма специальной регистрационной надписи, состав включаемых в нее сведений и требования к ее заполнению, а также требования к формату специальной регистрационной надписи в электронной форме;</w:t>
      </w:r>
    </w:p>
    <w:p w:rsidR="00430FBB" w:rsidRPr="00883373" w:rsidRDefault="00430FBB" w:rsidP="00F7458A">
      <w:pPr>
        <w:pStyle w:val="ConsPlusNormal"/>
        <w:spacing w:line="360" w:lineRule="auto"/>
        <w:ind w:firstLine="709"/>
        <w:jc w:val="both"/>
        <w:rPr>
          <w:rFonts w:ascii="Times New Roman" w:hAnsi="Times New Roman" w:cs="Times New Roman"/>
          <w:sz w:val="28"/>
          <w:szCs w:val="28"/>
          <w:lang w:eastAsia="en-US"/>
        </w:rPr>
      </w:pPr>
      <w:r w:rsidRPr="00883373">
        <w:rPr>
          <w:rFonts w:ascii="Times New Roman" w:hAnsi="Times New Roman" w:cs="Times New Roman"/>
          <w:sz w:val="28"/>
          <w:szCs w:val="28"/>
        </w:rPr>
        <w:t>– порядок и способы направления уведомлений о приостановлении государственного кадастрового учета и (или) государственной регистрации прав, а также уведомлений об отказе в государственном кадастровом учете и (или) государственной регистрации прав и подлежащих выдаче после осуществления государственного кадастрового учета и (или) государственной регистрации прав подлинников представленных заявителем документов, в том числе форма таких уведомлений, требования к формату таких уведомлений;</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xml:space="preserve">– порядок бесплатного получения в электронной форме межевого плана, технического плана, карты-плана территории и акта обследования из электронного хранилища изготовившим такие планы кадастровым инженером посредством электронного сервиса </w:t>
      </w:r>
      <w:r>
        <w:rPr>
          <w:rFonts w:ascii="Times New Roman" w:hAnsi="Times New Roman" w:cs="Times New Roman"/>
          <w:sz w:val="28"/>
          <w:szCs w:val="28"/>
        </w:rPr>
        <w:t>«</w:t>
      </w:r>
      <w:r w:rsidRPr="00883373">
        <w:rPr>
          <w:rFonts w:ascii="Times New Roman" w:hAnsi="Times New Roman" w:cs="Times New Roman"/>
          <w:sz w:val="28"/>
          <w:szCs w:val="28"/>
        </w:rPr>
        <w:t>Личный кабинет кадастрового инженера</w:t>
      </w:r>
      <w:r>
        <w:rPr>
          <w:rFonts w:ascii="Times New Roman" w:hAnsi="Times New Roman" w:cs="Times New Roman"/>
          <w:sz w:val="28"/>
          <w:szCs w:val="28"/>
        </w:rPr>
        <w:t>»</w:t>
      </w:r>
      <w:r w:rsidRPr="00883373">
        <w:rPr>
          <w:rFonts w:ascii="Times New Roman" w:hAnsi="Times New Roman" w:cs="Times New Roman"/>
          <w:sz w:val="28"/>
          <w:szCs w:val="28"/>
        </w:rPr>
        <w:t xml:space="preserve">, а также заказчиком соответствующих кадастровых работ. Полагаем, что для заказчиков кадастровых работ данные положения будут иметь практический смысл только при условии разработки общедоступного программного обеспечения, позволяющего трансформировать в «человекочитаемый» вид </w:t>
      </w:r>
      <w:r w:rsidRPr="00883373">
        <w:rPr>
          <w:rFonts w:ascii="Times New Roman" w:hAnsi="Times New Roman" w:cs="Times New Roman"/>
          <w:sz w:val="28"/>
          <w:szCs w:val="28"/>
          <w:lang w:val="en-US"/>
        </w:rPr>
        <w:t>XML</w:t>
      </w:r>
      <w:r w:rsidRPr="00883373">
        <w:rPr>
          <w:rFonts w:ascii="Times New Roman" w:hAnsi="Times New Roman" w:cs="Times New Roman"/>
          <w:sz w:val="28"/>
          <w:szCs w:val="28"/>
        </w:rPr>
        <w:t>-файлы указанных документов;</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осуществления органом регистрации прав курьерской доставки выходных документов и размеры платы за ее осуществление;</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и способы уведомления заявителей о ходе оказания услуги по осуществлению государственного кадастрового учета и (или) государственной регистрации прав;</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и способы направления органом регистрации прав уведомления о прекращении осуществления государственного кадастрового учета и (или) государственной регистрации прав и представленных для осуществления государственного кадастрового учета и (или) государственной регистрации прав документов в случае подачи совместного заявления лиц, представивших заявление и (или) документы для осуществления государственного кадастрового учета и (или) государственной регистрации прав;</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форма заявления о внесении в ЕГРН сведений о земельных участках и о местоположении на них зданий, сооружений, объектов незавершенного строительства, полученных в результате выполнения комплексных кадастровых работ;</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форма и порядок уведомления об исправлении технической ошибки в записях и реестровой ошибки, направляемых органом регистрации прав правообладателям объектов недвижимости;</w:t>
      </w:r>
    </w:p>
    <w:p w:rsidR="00430FBB" w:rsidRPr="00883373"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порядок изменения в ЕГРН органом регистрации прав без согласия правообладателя земельного участка сведений о местоположении границ и площади земельного участка при исправлении реестровой ошибки с учетом сведений, содержащихся в правоустанавливающих документах, с использованием картографической основы, по истечении шести месяцев со дня направления правообладателю земельного участка решения о необходимости устранения реестровой ошибки. Принятие такого правового акта представляется весьма актуальным, принимая во внимание огромное количество пересечений границ земельных участков, уже учтенных в ГКН, а также постоянно выявляемых в процессе выполнения кадастровых работ. Однако перспективы своевременной разработки и утверждения указанного порядка остаются туманными с учетом того факта, что самостоятельное исправление в ГКН ошибок в местоположении границ земельных участков органом кадастрового учета предусматривалось еще в первой (ч</w:t>
      </w:r>
      <w:r>
        <w:rPr>
          <w:rFonts w:ascii="Times New Roman" w:hAnsi="Times New Roman" w:cs="Times New Roman"/>
          <w:sz w:val="28"/>
          <w:szCs w:val="28"/>
        </w:rPr>
        <w:t>.</w:t>
      </w:r>
      <w:r w:rsidRPr="00883373">
        <w:rPr>
          <w:rFonts w:ascii="Times New Roman" w:hAnsi="Times New Roman" w:cs="Times New Roman"/>
          <w:sz w:val="28"/>
          <w:szCs w:val="28"/>
        </w:rPr>
        <w:t xml:space="preserve"> 14 ст</w:t>
      </w:r>
      <w:r>
        <w:rPr>
          <w:rFonts w:ascii="Times New Roman" w:hAnsi="Times New Roman" w:cs="Times New Roman"/>
          <w:sz w:val="28"/>
          <w:szCs w:val="28"/>
        </w:rPr>
        <w:t>.</w:t>
      </w:r>
      <w:r w:rsidRPr="00883373">
        <w:rPr>
          <w:rFonts w:ascii="Times New Roman" w:hAnsi="Times New Roman" w:cs="Times New Roman"/>
          <w:sz w:val="28"/>
          <w:szCs w:val="28"/>
        </w:rPr>
        <w:t xml:space="preserve"> 45) и последующих (ч</w:t>
      </w:r>
      <w:r>
        <w:rPr>
          <w:rFonts w:ascii="Times New Roman" w:hAnsi="Times New Roman" w:cs="Times New Roman"/>
          <w:sz w:val="28"/>
          <w:szCs w:val="28"/>
        </w:rPr>
        <w:t>.</w:t>
      </w:r>
      <w:r w:rsidRPr="00883373">
        <w:rPr>
          <w:rFonts w:ascii="Times New Roman" w:hAnsi="Times New Roman" w:cs="Times New Roman"/>
          <w:sz w:val="28"/>
          <w:szCs w:val="28"/>
        </w:rPr>
        <w:t xml:space="preserve"> 7 ст</w:t>
      </w:r>
      <w:r>
        <w:rPr>
          <w:rFonts w:ascii="Times New Roman" w:hAnsi="Times New Roman" w:cs="Times New Roman"/>
          <w:sz w:val="28"/>
          <w:szCs w:val="28"/>
        </w:rPr>
        <w:t>.</w:t>
      </w:r>
      <w:r w:rsidRPr="00883373">
        <w:rPr>
          <w:rFonts w:ascii="Times New Roman" w:hAnsi="Times New Roman" w:cs="Times New Roman"/>
          <w:sz w:val="28"/>
          <w:szCs w:val="28"/>
        </w:rPr>
        <w:t xml:space="preserve"> 28) редакциях Закона о ГКН, но так и не было реализовано.</w:t>
      </w:r>
    </w:p>
    <w:p w:rsidR="00430FBB" w:rsidRDefault="00430FBB" w:rsidP="00F7458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Следует согласиться с мнением Е.В. Бадулиной, которая писала, что «отдельные положения Закона о государственной регистрации недвижимости представляются не совсем удачными и требуют дальнейшей работы над ними. Нельзя забывать, что основная цель государственной регистрации прав на имущество – обеспечение стабильности гражданского оборота, соблюдение интересов его добросовестных участников, что может достигаться посредством обеспечения достоверности публичного реестра, из которого можно получить информацию о тех или иных объектах, зарегистрированных правах на них, о правообладателях. Работа над совершенствованием правового регулирования государственной регистрации недвижимости должна вестись и в этом направлении» [</w:t>
      </w:r>
      <w:r>
        <w:rPr>
          <w:rFonts w:ascii="Times New Roman" w:hAnsi="Times New Roman" w:cs="Times New Roman"/>
          <w:sz w:val="28"/>
          <w:szCs w:val="28"/>
        </w:rPr>
        <w:t>1, с. 15</w:t>
      </w:r>
      <w:r w:rsidRPr="00883373">
        <w:rPr>
          <w:rFonts w:ascii="Times New Roman" w:hAnsi="Times New Roman" w:cs="Times New Roman"/>
          <w:sz w:val="28"/>
          <w:szCs w:val="28"/>
        </w:rPr>
        <w:t>].</w:t>
      </w:r>
    </w:p>
    <w:p w:rsidR="00430FBB" w:rsidRPr="00883373" w:rsidRDefault="00430FBB" w:rsidP="002A71DA">
      <w:pPr>
        <w:pStyle w:val="ConsPlusNormal"/>
        <w:spacing w:line="360" w:lineRule="auto"/>
        <w:ind w:firstLine="709"/>
        <w:jc w:val="both"/>
        <w:rPr>
          <w:rFonts w:ascii="Times New Roman" w:hAnsi="Times New Roman" w:cs="Times New Roman"/>
          <w:sz w:val="28"/>
          <w:szCs w:val="28"/>
        </w:rPr>
      </w:pPr>
      <w:r w:rsidRPr="00883373">
        <w:rPr>
          <w:rFonts w:ascii="Times New Roman" w:hAnsi="Times New Roman" w:cs="Times New Roman"/>
          <w:sz w:val="28"/>
          <w:szCs w:val="28"/>
        </w:rPr>
        <w:t xml:space="preserve">Подводя итог анализу отдельных положений Закона о регистрации недвижимости, отметим, что указанным документом закладываются определенные механизмы, для эффективного функционирования которых требуется внести значительные изменения в действующее законодательство, разработать немало подзаконных актов, в том числе в целях обеспечения функционирования электронного документооборота при осуществлении регистрационных действий, межведомственного взаимодействия органов государственной власти и местного самоуправления, а также их взаимодействия с кадастровыми инженерами, нотариусами посредством электронных сервисов. </w:t>
      </w:r>
    </w:p>
    <w:p w:rsidR="00430FBB" w:rsidRDefault="00430FBB" w:rsidP="0087735C">
      <w:pPr>
        <w:spacing w:after="0" w:line="240" w:lineRule="auto"/>
        <w:ind w:firstLine="709"/>
        <w:jc w:val="center"/>
        <w:rPr>
          <w:rFonts w:ascii="Times New Roman" w:hAnsi="Times New Roman"/>
          <w:sz w:val="24"/>
          <w:szCs w:val="24"/>
        </w:rPr>
      </w:pPr>
    </w:p>
    <w:p w:rsidR="00430FBB" w:rsidRDefault="00430FBB" w:rsidP="0087735C">
      <w:pPr>
        <w:spacing w:after="0" w:line="240" w:lineRule="auto"/>
        <w:ind w:firstLine="709"/>
        <w:jc w:val="center"/>
        <w:rPr>
          <w:rFonts w:ascii="Times New Roman" w:hAnsi="Times New Roman"/>
          <w:sz w:val="24"/>
          <w:szCs w:val="24"/>
        </w:rPr>
      </w:pPr>
    </w:p>
    <w:p w:rsidR="00430FBB" w:rsidRDefault="00430FBB" w:rsidP="0087735C">
      <w:pPr>
        <w:spacing w:after="0" w:line="240" w:lineRule="auto"/>
        <w:ind w:firstLine="709"/>
        <w:jc w:val="center"/>
        <w:rPr>
          <w:rFonts w:ascii="Times New Roman" w:hAnsi="Times New Roman"/>
          <w:sz w:val="24"/>
          <w:szCs w:val="24"/>
        </w:rPr>
      </w:pPr>
    </w:p>
    <w:p w:rsidR="00430FBB" w:rsidRDefault="00430FBB" w:rsidP="0087735C">
      <w:pPr>
        <w:spacing w:after="0" w:line="240" w:lineRule="auto"/>
        <w:ind w:firstLine="709"/>
        <w:jc w:val="center"/>
        <w:rPr>
          <w:rFonts w:ascii="Times New Roman" w:hAnsi="Times New Roman"/>
          <w:sz w:val="24"/>
          <w:szCs w:val="24"/>
        </w:rPr>
      </w:pPr>
    </w:p>
    <w:p w:rsidR="00430FBB" w:rsidRPr="0087735C" w:rsidRDefault="00430FBB" w:rsidP="0087735C">
      <w:pPr>
        <w:spacing w:after="0" w:line="240" w:lineRule="auto"/>
        <w:ind w:firstLine="709"/>
        <w:jc w:val="center"/>
        <w:rPr>
          <w:rFonts w:ascii="Times New Roman" w:hAnsi="Times New Roman"/>
          <w:sz w:val="24"/>
          <w:szCs w:val="24"/>
        </w:rPr>
      </w:pPr>
      <w:r w:rsidRPr="0087735C">
        <w:rPr>
          <w:rFonts w:ascii="Times New Roman" w:hAnsi="Times New Roman"/>
          <w:sz w:val="24"/>
          <w:szCs w:val="24"/>
        </w:rPr>
        <w:t>Список литературы:</w:t>
      </w:r>
    </w:p>
    <w:p w:rsidR="00430FBB" w:rsidRPr="0087735C" w:rsidRDefault="00430FBB" w:rsidP="0087735C">
      <w:pPr>
        <w:spacing w:after="0" w:line="240" w:lineRule="auto"/>
        <w:ind w:firstLine="709"/>
        <w:jc w:val="both"/>
        <w:rPr>
          <w:rFonts w:ascii="Times New Roman" w:hAnsi="Times New Roman"/>
          <w:sz w:val="24"/>
          <w:szCs w:val="24"/>
        </w:rPr>
      </w:pPr>
    </w:p>
    <w:p w:rsidR="00430FBB" w:rsidRPr="0087735C" w:rsidRDefault="00430FBB" w:rsidP="0087735C">
      <w:pPr>
        <w:pStyle w:val="Default"/>
        <w:ind w:firstLine="709"/>
        <w:jc w:val="both"/>
        <w:rPr>
          <w:rFonts w:ascii="Times New Roman" w:hAnsi="Times New Roman" w:cs="Times New Roman"/>
          <w:color w:val="auto"/>
        </w:rPr>
      </w:pPr>
      <w:r w:rsidRPr="0087735C">
        <w:rPr>
          <w:rFonts w:ascii="Times New Roman" w:hAnsi="Times New Roman" w:cs="Times New Roman"/>
          <w:color w:val="auto"/>
        </w:rPr>
        <w:t xml:space="preserve">1. Бадулина Е. В. Федеральный закон о государственной регистрации недвижимости: предпосылки принятия и некоторые новеллы / Е. В. Бадулина // Имущественные отношения в Российской Федерации. – М.: </w:t>
      </w:r>
      <w:r w:rsidRPr="0087735C">
        <w:rPr>
          <w:rFonts w:ascii="Times New Roman" w:hAnsi="Times New Roman" w:cs="Times New Roman"/>
          <w:bCs/>
          <w:iCs/>
          <w:color w:val="auto"/>
        </w:rPr>
        <w:t xml:space="preserve">Международная академия оценки и консалтинга, </w:t>
      </w:r>
      <w:r w:rsidRPr="0087735C">
        <w:rPr>
          <w:rFonts w:ascii="Times New Roman" w:hAnsi="Times New Roman" w:cs="Times New Roman"/>
          <w:color w:val="auto"/>
        </w:rPr>
        <w:t>2015. – № 10 (169). – С. 6-15.</w:t>
      </w:r>
    </w:p>
    <w:p w:rsidR="00430FBB" w:rsidRPr="0087735C" w:rsidRDefault="00430FBB" w:rsidP="0087735C">
      <w:pPr>
        <w:pStyle w:val="Default"/>
        <w:ind w:firstLine="709"/>
        <w:jc w:val="both"/>
        <w:rPr>
          <w:rFonts w:ascii="Times New Roman" w:hAnsi="Times New Roman" w:cs="Times New Roman"/>
          <w:color w:val="auto"/>
        </w:rPr>
      </w:pPr>
      <w:r w:rsidRPr="0087735C">
        <w:rPr>
          <w:rFonts w:ascii="Times New Roman" w:hAnsi="Times New Roman" w:cs="Times New Roman"/>
          <w:color w:val="auto"/>
        </w:rPr>
        <w:t>2. Землякова Г. Л. Перспективы развития законодательства о кадастровом учете земельных участков / Г. Л. Землякова // Современное право. – М.: Новый Индекс, 2014. – № 7. – С. 92-98.</w:t>
      </w:r>
    </w:p>
    <w:p w:rsidR="00430FBB" w:rsidRDefault="00430FBB" w:rsidP="0087735C">
      <w:pPr>
        <w:pStyle w:val="Default"/>
        <w:ind w:firstLine="709"/>
        <w:jc w:val="both"/>
        <w:rPr>
          <w:rFonts w:ascii="Times New Roman" w:hAnsi="Times New Roman" w:cs="Times New Roman"/>
          <w:color w:val="auto"/>
        </w:rPr>
      </w:pPr>
      <w:r w:rsidRPr="00717C73">
        <w:rPr>
          <w:rFonts w:ascii="Times New Roman" w:hAnsi="Times New Roman" w:cs="Times New Roman"/>
          <w:color w:val="auto"/>
        </w:rPr>
        <w:t>3. Никонов П. Н. Недвижимость, кадастр и мировые системы регистрации прав на недвижимое имущество (аналитический обзор) / П. Н. Никонов, Н. Н. Журавский. – СПб: Роза мира, 2006. – 180 с.</w:t>
      </w:r>
    </w:p>
    <w:p w:rsidR="00430FBB" w:rsidRPr="00717C73" w:rsidRDefault="00430FBB" w:rsidP="00DA1269">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717C73">
        <w:rPr>
          <w:rFonts w:ascii="Times New Roman" w:hAnsi="Times New Roman"/>
          <w:sz w:val="24"/>
          <w:szCs w:val="24"/>
        </w:rPr>
        <w:t xml:space="preserve">. О государственной регистрации недвижимости: фед. Закон от 13.07.2015 г. № 218-ФЗ // СПС </w:t>
      </w:r>
      <w:r w:rsidRPr="00717C73">
        <w:rPr>
          <w:rStyle w:val="Bodytext482"/>
          <w:b w:val="0"/>
          <w:bCs/>
          <w:sz w:val="24"/>
          <w:szCs w:val="24"/>
        </w:rPr>
        <w:t>КонсультантПлюс. – М., 2016</w:t>
      </w:r>
    </w:p>
    <w:p w:rsidR="00430FBB" w:rsidRPr="00717C73" w:rsidRDefault="00430FBB" w:rsidP="0087735C">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717C73">
        <w:rPr>
          <w:rFonts w:ascii="Times New Roman" w:hAnsi="Times New Roman"/>
          <w:sz w:val="24"/>
          <w:szCs w:val="24"/>
        </w:rPr>
        <w:t>. О сроках и порядке включения в государственный кадастр недвижимости сведений о ранее учтенных объектах недвижимости: Приказ Минэкономразвития России от 11.01.2011 г. № 1 // Российская газета. № 43. 02.03.2011.</w:t>
      </w:r>
    </w:p>
    <w:p w:rsidR="00430FBB" w:rsidRDefault="00430FBB" w:rsidP="00254D4E">
      <w:pPr>
        <w:spacing w:after="0" w:line="240" w:lineRule="auto"/>
        <w:ind w:firstLine="709"/>
        <w:jc w:val="both"/>
        <w:rPr>
          <w:rStyle w:val="Bodytext482"/>
          <w:b w:val="0"/>
          <w:bCs/>
          <w:sz w:val="24"/>
          <w:szCs w:val="24"/>
        </w:rPr>
      </w:pPr>
      <w:r>
        <w:rPr>
          <w:rStyle w:val="Bodytext482"/>
          <w:b w:val="0"/>
          <w:bCs/>
          <w:sz w:val="24"/>
          <w:szCs w:val="24"/>
        </w:rPr>
        <w:t>6</w:t>
      </w:r>
      <w:r w:rsidRPr="00717C73">
        <w:rPr>
          <w:rStyle w:val="Bodytext482"/>
          <w:b w:val="0"/>
          <w:bCs/>
          <w:sz w:val="24"/>
          <w:szCs w:val="24"/>
        </w:rPr>
        <w:t>.</w:t>
      </w:r>
      <w:r w:rsidRPr="00717C73">
        <w:rPr>
          <w:rFonts w:ascii="Times New Roman" w:hAnsi="Times New Roman"/>
          <w:sz w:val="24"/>
          <w:szCs w:val="24"/>
        </w:rPr>
        <w:t xml:space="preserve"> О рассмотрении обращения: Письмо Росреестра от 26.10.2015 г. № 09-исх/15309-ГЕ/15 // СПС </w:t>
      </w:r>
      <w:r w:rsidRPr="00717C73">
        <w:rPr>
          <w:rStyle w:val="Bodytext482"/>
          <w:b w:val="0"/>
          <w:bCs/>
          <w:sz w:val="24"/>
          <w:szCs w:val="24"/>
        </w:rPr>
        <w:t xml:space="preserve">КонсультантПлюс. – М., 2016. </w:t>
      </w:r>
    </w:p>
    <w:p w:rsidR="00430FBB" w:rsidRPr="00254D4E" w:rsidRDefault="00430FBB" w:rsidP="00254D4E">
      <w:pPr>
        <w:spacing w:after="0" w:line="240" w:lineRule="auto"/>
        <w:ind w:firstLine="709"/>
        <w:jc w:val="both"/>
        <w:rPr>
          <w:rFonts w:ascii="Times New Roman" w:hAnsi="Times New Roman"/>
          <w:bCs/>
          <w:sz w:val="24"/>
          <w:szCs w:val="24"/>
          <w:shd w:val="clear" w:color="auto" w:fill="FFFFFF"/>
        </w:rPr>
      </w:pPr>
      <w:r>
        <w:rPr>
          <w:rFonts w:ascii="Times New Roman" w:hAnsi="Times New Roman"/>
          <w:sz w:val="24"/>
          <w:szCs w:val="24"/>
        </w:rPr>
        <w:t xml:space="preserve">7. </w:t>
      </w:r>
      <w:r w:rsidRPr="00C450DD">
        <w:rPr>
          <w:rFonts w:ascii="Times New Roman" w:hAnsi="Times New Roman"/>
          <w:sz w:val="24"/>
          <w:szCs w:val="24"/>
        </w:rPr>
        <w:t>Рассказов Л.П. Теория государства и права.  Четвертое издание. М.:РИОР: ИНФРА-М.:  2013. – С. 76-79</w:t>
      </w:r>
      <w:r>
        <w:rPr>
          <w:rFonts w:ascii="Times New Roman" w:hAnsi="Times New Roman"/>
          <w:sz w:val="24"/>
          <w:szCs w:val="24"/>
        </w:rPr>
        <w:t>.</w:t>
      </w:r>
    </w:p>
    <w:p w:rsidR="00430FBB" w:rsidRDefault="00430FBB" w:rsidP="0087735C">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717C73">
        <w:rPr>
          <w:rFonts w:ascii="Times New Roman" w:hAnsi="Times New Roman"/>
          <w:sz w:val="24"/>
          <w:szCs w:val="24"/>
        </w:rPr>
        <w:t>. Сидоренко В. Н. Правовое регулирование ведения государственного земельного кадастра: автореф. дис. ... канд. юрид. наук. / В. Н. Сучкова. – М., 2003. – 25 с.</w:t>
      </w:r>
    </w:p>
    <w:p w:rsidR="00430FBB" w:rsidRDefault="00430FBB" w:rsidP="0087735C">
      <w:pPr>
        <w:spacing w:after="0" w:line="240" w:lineRule="auto"/>
        <w:ind w:firstLine="709"/>
        <w:jc w:val="both"/>
        <w:rPr>
          <w:rFonts w:ascii="Times New Roman" w:hAnsi="Times New Roman"/>
          <w:sz w:val="24"/>
          <w:szCs w:val="24"/>
        </w:rPr>
      </w:pPr>
    </w:p>
    <w:p w:rsidR="00430FBB" w:rsidRPr="00CC612D" w:rsidRDefault="00430FBB" w:rsidP="00CC612D">
      <w:pPr>
        <w:pStyle w:val="FootnoteText"/>
        <w:tabs>
          <w:tab w:val="left" w:pos="851"/>
        </w:tabs>
        <w:ind w:right="-284" w:firstLine="567"/>
        <w:jc w:val="center"/>
        <w:rPr>
          <w:rFonts w:ascii="Times New Roman" w:hAnsi="Times New Roman"/>
          <w:sz w:val="24"/>
          <w:szCs w:val="24"/>
        </w:rPr>
      </w:pPr>
      <w:r w:rsidRPr="00CC612D">
        <w:rPr>
          <w:rFonts w:ascii="Times New Roman" w:hAnsi="Times New Roman"/>
          <w:sz w:val="24"/>
          <w:szCs w:val="24"/>
          <w:lang w:val="en-US"/>
        </w:rPr>
        <w:t>References</w:t>
      </w:r>
      <w:r>
        <w:rPr>
          <w:rFonts w:ascii="Times New Roman" w:hAnsi="Times New Roman"/>
          <w:sz w:val="24"/>
          <w:szCs w:val="24"/>
        </w:rPr>
        <w:t>:</w:t>
      </w:r>
    </w:p>
    <w:p w:rsidR="00430FBB" w:rsidRDefault="00430FBB" w:rsidP="0087735C">
      <w:pPr>
        <w:spacing w:after="0" w:line="240" w:lineRule="auto"/>
        <w:ind w:firstLine="709"/>
        <w:jc w:val="both"/>
        <w:rPr>
          <w:rFonts w:ascii="Times New Roman" w:hAnsi="Times New Roman"/>
          <w:sz w:val="24"/>
          <w:szCs w:val="24"/>
        </w:rPr>
      </w:pPr>
    </w:p>
    <w:p w:rsidR="00430FBB" w:rsidRPr="00CC612D" w:rsidRDefault="00430FBB" w:rsidP="00CC612D">
      <w:pPr>
        <w:spacing w:after="0" w:line="240" w:lineRule="auto"/>
        <w:ind w:firstLine="709"/>
        <w:jc w:val="both"/>
        <w:rPr>
          <w:rFonts w:ascii="Times New Roman" w:hAnsi="Times New Roman"/>
          <w:sz w:val="24"/>
          <w:szCs w:val="24"/>
        </w:rPr>
      </w:pPr>
      <w:r w:rsidRPr="00CC612D">
        <w:rPr>
          <w:rFonts w:ascii="Times New Roman" w:hAnsi="Times New Roman"/>
          <w:sz w:val="24"/>
          <w:szCs w:val="24"/>
        </w:rPr>
        <w:t>1. Badulina E. V. Federal'nyj zakon o gosudarstvennoj registracii nedvizhimosti: predposylki prinjatija i nekotorye novelly / E. V. Badulina // Imushhestvennye otnoshenija v Rossijskoj Federacii. – M.: Mezhdunarodnaja akademija ocenki i konsaltinga, 2015. – № 10 (169). – S. 6-15.</w:t>
      </w:r>
    </w:p>
    <w:p w:rsidR="00430FBB" w:rsidRPr="00CC612D" w:rsidRDefault="00430FBB" w:rsidP="00CC612D">
      <w:pPr>
        <w:spacing w:after="0" w:line="240" w:lineRule="auto"/>
        <w:ind w:firstLine="709"/>
        <w:jc w:val="both"/>
        <w:rPr>
          <w:rFonts w:ascii="Times New Roman" w:hAnsi="Times New Roman"/>
          <w:sz w:val="24"/>
          <w:szCs w:val="24"/>
        </w:rPr>
      </w:pPr>
      <w:r w:rsidRPr="00CC612D">
        <w:rPr>
          <w:rFonts w:ascii="Times New Roman" w:hAnsi="Times New Roman"/>
          <w:sz w:val="24"/>
          <w:szCs w:val="24"/>
        </w:rPr>
        <w:t>2. Zemljakova G. L. Perspektivy razvitija zakonodatel'stva o kadastrovom uchete zemel'nyh uchastkov / G. L. Zemljakova // Sovremennoe pravo. – M.: Novyj Indeks, 2014. – № 7. – S. 92-98.</w:t>
      </w:r>
    </w:p>
    <w:p w:rsidR="00430FBB" w:rsidRPr="00CC612D" w:rsidRDefault="00430FBB" w:rsidP="00CC612D">
      <w:pPr>
        <w:spacing w:after="0" w:line="240" w:lineRule="auto"/>
        <w:ind w:firstLine="709"/>
        <w:jc w:val="both"/>
        <w:rPr>
          <w:rFonts w:ascii="Times New Roman" w:hAnsi="Times New Roman"/>
          <w:sz w:val="24"/>
          <w:szCs w:val="24"/>
        </w:rPr>
      </w:pPr>
      <w:r w:rsidRPr="00CC612D">
        <w:rPr>
          <w:rFonts w:ascii="Times New Roman" w:hAnsi="Times New Roman"/>
          <w:sz w:val="24"/>
          <w:szCs w:val="24"/>
        </w:rPr>
        <w:t>3. Nikonov P. N. Nedvizhimost', kadastr i mirovye sistemy registracii prav na nedvizhimoe imushhestvo (analiticheskij obzor) / P. N. Nikonov, N. N. Zhuravskij. – SPb: Roza mira, 2006. – 180 s.</w:t>
      </w:r>
    </w:p>
    <w:p w:rsidR="00430FBB" w:rsidRPr="00CC612D" w:rsidRDefault="00430FBB" w:rsidP="00CC612D">
      <w:pPr>
        <w:spacing w:after="0" w:line="240" w:lineRule="auto"/>
        <w:ind w:firstLine="709"/>
        <w:jc w:val="both"/>
        <w:rPr>
          <w:rFonts w:ascii="Times New Roman" w:hAnsi="Times New Roman"/>
          <w:sz w:val="24"/>
          <w:szCs w:val="24"/>
          <w:lang w:val="en-US"/>
        </w:rPr>
      </w:pPr>
      <w:r w:rsidRPr="00CC612D">
        <w:rPr>
          <w:rFonts w:ascii="Times New Roman" w:hAnsi="Times New Roman"/>
          <w:sz w:val="24"/>
          <w:szCs w:val="24"/>
          <w:lang w:val="en-US"/>
        </w:rPr>
        <w:t>4. O gosudarstvennoj registracii nedvizhimosti: fed. Zakon ot 13.07.2015 g. № 218-FZ // SPS Konsul'tantPljus. – M., 2016</w:t>
      </w:r>
    </w:p>
    <w:p w:rsidR="00430FBB" w:rsidRPr="00CC612D" w:rsidRDefault="00430FBB" w:rsidP="00CC612D">
      <w:pPr>
        <w:spacing w:after="0" w:line="240" w:lineRule="auto"/>
        <w:ind w:firstLine="709"/>
        <w:jc w:val="both"/>
        <w:rPr>
          <w:rFonts w:ascii="Times New Roman" w:hAnsi="Times New Roman"/>
          <w:sz w:val="24"/>
          <w:szCs w:val="24"/>
          <w:lang w:val="en-US"/>
        </w:rPr>
      </w:pPr>
      <w:r w:rsidRPr="00CC612D">
        <w:rPr>
          <w:rFonts w:ascii="Times New Roman" w:hAnsi="Times New Roman"/>
          <w:sz w:val="24"/>
          <w:szCs w:val="24"/>
          <w:lang w:val="en-US"/>
        </w:rPr>
        <w:t>5. O srokah i porjadke vkljuchenija v gosudarstvennyj kadastr nedvizhimosti svedenij o ranee uchtennyh ob#ektah nedvizhimosti: Prikaz Minjekonomrazvitija Rossii ot 11.01.2011 g. № 1 // Rossijskaja gazeta. № 43. 02.03.2011.</w:t>
      </w:r>
    </w:p>
    <w:p w:rsidR="00430FBB" w:rsidRPr="00CC612D" w:rsidRDefault="00430FBB" w:rsidP="00CC612D">
      <w:pPr>
        <w:spacing w:after="0" w:line="240" w:lineRule="auto"/>
        <w:ind w:firstLine="709"/>
        <w:jc w:val="both"/>
        <w:rPr>
          <w:rFonts w:ascii="Times New Roman" w:hAnsi="Times New Roman"/>
          <w:sz w:val="24"/>
          <w:szCs w:val="24"/>
          <w:lang w:val="en-US"/>
        </w:rPr>
      </w:pPr>
      <w:r w:rsidRPr="00CC612D">
        <w:rPr>
          <w:rFonts w:ascii="Times New Roman" w:hAnsi="Times New Roman"/>
          <w:sz w:val="24"/>
          <w:szCs w:val="24"/>
          <w:lang w:val="en-US"/>
        </w:rPr>
        <w:t xml:space="preserve">6. O rassmotrenii obrashhenija: Pis'mo Rosreestra ot 26.10.2015 g. № 09-ish/15309-GE/15 // SPS Konsul'tantPljus. – M., 2016. </w:t>
      </w:r>
    </w:p>
    <w:p w:rsidR="00430FBB" w:rsidRPr="00CC612D" w:rsidRDefault="00430FBB" w:rsidP="00CC612D">
      <w:pPr>
        <w:spacing w:after="0" w:line="240" w:lineRule="auto"/>
        <w:ind w:firstLine="709"/>
        <w:jc w:val="both"/>
        <w:rPr>
          <w:rFonts w:ascii="Times New Roman" w:hAnsi="Times New Roman"/>
          <w:sz w:val="24"/>
          <w:szCs w:val="24"/>
          <w:lang w:val="en-US"/>
        </w:rPr>
      </w:pPr>
      <w:r w:rsidRPr="00CC612D">
        <w:rPr>
          <w:rFonts w:ascii="Times New Roman" w:hAnsi="Times New Roman"/>
          <w:sz w:val="24"/>
          <w:szCs w:val="24"/>
          <w:lang w:val="en-US"/>
        </w:rPr>
        <w:t>7. Rasskazov L.P. Teorija gosudarstva i prava.  Chetvertoe izdanie. M.:RIOR: INFRA-M.:  2013. – S. 76-79.</w:t>
      </w:r>
    </w:p>
    <w:p w:rsidR="00430FBB" w:rsidRPr="00CC612D" w:rsidRDefault="00430FBB" w:rsidP="00CC612D">
      <w:pPr>
        <w:spacing w:after="0" w:line="240" w:lineRule="auto"/>
        <w:ind w:firstLine="709"/>
        <w:jc w:val="both"/>
        <w:rPr>
          <w:rFonts w:ascii="Times New Roman" w:hAnsi="Times New Roman"/>
          <w:sz w:val="24"/>
          <w:szCs w:val="24"/>
          <w:lang w:val="en-US"/>
        </w:rPr>
      </w:pPr>
      <w:r w:rsidRPr="00CC612D">
        <w:rPr>
          <w:rFonts w:ascii="Times New Roman" w:hAnsi="Times New Roman"/>
          <w:sz w:val="24"/>
          <w:szCs w:val="24"/>
          <w:lang w:val="en-US"/>
        </w:rPr>
        <w:t>8. Sidorenko V. N. Pravovoe regulirovanie vedenija gosudarstvennogo zemel'nogo kadastra: avtoref. dis. ... kand. jurid. nauk. / V. N. Suchkova. – M., 2003. – 25 s.</w:t>
      </w:r>
    </w:p>
    <w:sectPr w:rsidR="00430FBB" w:rsidRPr="00CC612D" w:rsidSect="009928AF">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FBB" w:rsidRDefault="00430FBB" w:rsidP="00624ADF">
      <w:pPr>
        <w:spacing w:after="0" w:line="240" w:lineRule="auto"/>
      </w:pPr>
      <w:r>
        <w:separator/>
      </w:r>
    </w:p>
  </w:endnote>
  <w:endnote w:type="continuationSeparator" w:id="0">
    <w:p w:rsidR="00430FBB" w:rsidRDefault="00430FBB" w:rsidP="00624A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FBB" w:rsidRPr="00131636" w:rsidRDefault="00430FBB">
    <w:pPr>
      <w:pStyle w:val="Footer"/>
      <w:rPr>
        <w:rFonts w:ascii="Times New Roman" w:hAnsi="Times New Roman"/>
      </w:rPr>
    </w:pPr>
    <w:r w:rsidRPr="00131636">
      <w:rPr>
        <w:rFonts w:ascii="Times New Roman" w:hAnsi="Times New Roman"/>
        <w:sz w:val="24"/>
        <w:szCs w:val="24"/>
      </w:rPr>
      <w:t>http://ej.kubagro.ru/201</w:t>
    </w:r>
    <w:r w:rsidRPr="00131636">
      <w:rPr>
        <w:rFonts w:ascii="Times New Roman" w:hAnsi="Times New Roman"/>
        <w:sz w:val="24"/>
        <w:szCs w:val="24"/>
        <w:lang w:val="en-US"/>
      </w:rPr>
      <w:t>6</w:t>
    </w:r>
    <w:r w:rsidRPr="00131636">
      <w:rPr>
        <w:rFonts w:ascii="Times New Roman" w:hAnsi="Times New Roman"/>
        <w:sz w:val="24"/>
        <w:szCs w:val="24"/>
      </w:rPr>
      <w:t>/0</w:t>
    </w:r>
    <w:r w:rsidRPr="00131636">
      <w:rPr>
        <w:rFonts w:ascii="Times New Roman" w:hAnsi="Times New Roman"/>
        <w:sz w:val="24"/>
        <w:szCs w:val="24"/>
        <w:lang w:val="en-US"/>
      </w:rPr>
      <w:t>3</w:t>
    </w:r>
    <w:r w:rsidRPr="00131636">
      <w:rPr>
        <w:rFonts w:ascii="Times New Roman" w:hAnsi="Times New Roman"/>
        <w:sz w:val="24"/>
        <w:szCs w:val="24"/>
      </w:rPr>
      <w:t>/pdf/</w:t>
    </w:r>
    <w:r w:rsidRPr="00131636">
      <w:rPr>
        <w:rFonts w:ascii="Times New Roman" w:hAnsi="Times New Roman"/>
        <w:sz w:val="24"/>
        <w:szCs w:val="24"/>
        <w:lang w:val="en-US"/>
      </w:rPr>
      <w:t>57</w:t>
    </w:r>
    <w:r w:rsidRPr="0013163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FBB" w:rsidRDefault="00430FBB" w:rsidP="00624ADF">
      <w:pPr>
        <w:spacing w:after="0" w:line="240" w:lineRule="auto"/>
      </w:pPr>
      <w:r>
        <w:separator/>
      </w:r>
    </w:p>
  </w:footnote>
  <w:footnote w:type="continuationSeparator" w:id="0">
    <w:p w:rsidR="00430FBB" w:rsidRDefault="00430FBB" w:rsidP="00624A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FBB" w:rsidRDefault="00430FBB" w:rsidP="00A956C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0FBB" w:rsidRDefault="00430FBB" w:rsidP="009928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FBB" w:rsidRPr="009928AF" w:rsidRDefault="00430FBB" w:rsidP="00A956C0">
    <w:pPr>
      <w:pStyle w:val="Header"/>
      <w:framePr w:wrap="around" w:vAnchor="text" w:hAnchor="margin" w:xAlign="right" w:y="1"/>
      <w:rPr>
        <w:rStyle w:val="PageNumber"/>
        <w:rFonts w:ascii="Times New Roman" w:hAnsi="Times New Roman"/>
        <w:sz w:val="28"/>
        <w:szCs w:val="28"/>
      </w:rPr>
    </w:pPr>
    <w:r w:rsidRPr="009928AF">
      <w:rPr>
        <w:rStyle w:val="PageNumber"/>
        <w:rFonts w:ascii="Times New Roman" w:hAnsi="Times New Roman"/>
        <w:sz w:val="28"/>
        <w:szCs w:val="28"/>
      </w:rPr>
      <w:fldChar w:fldCharType="begin"/>
    </w:r>
    <w:r w:rsidRPr="009928AF">
      <w:rPr>
        <w:rStyle w:val="PageNumber"/>
        <w:rFonts w:ascii="Times New Roman" w:hAnsi="Times New Roman"/>
        <w:sz w:val="28"/>
        <w:szCs w:val="28"/>
      </w:rPr>
      <w:instrText xml:space="preserve">PAGE  </w:instrText>
    </w:r>
    <w:r w:rsidRPr="009928AF">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9928AF">
      <w:rPr>
        <w:rStyle w:val="PageNumber"/>
        <w:rFonts w:ascii="Times New Roman" w:hAnsi="Times New Roman"/>
        <w:sz w:val="28"/>
        <w:szCs w:val="28"/>
      </w:rPr>
      <w:fldChar w:fldCharType="end"/>
    </w:r>
  </w:p>
  <w:p w:rsidR="00430FBB" w:rsidRPr="009928AF" w:rsidRDefault="00430FBB" w:rsidP="009928AF">
    <w:pPr>
      <w:pStyle w:val="Header"/>
      <w:ind w:right="360"/>
      <w:rPr>
        <w:rFonts w:ascii="Times New Roman" w:hAnsi="Times New Roman"/>
      </w:rPr>
    </w:pPr>
    <w:r w:rsidRPr="009928AF">
      <w:rPr>
        <w:rFonts w:ascii="Times New Roman" w:hAnsi="Times New Roman"/>
        <w:sz w:val="24"/>
        <w:szCs w:val="24"/>
      </w:rPr>
      <w:t>Научный журнал КубГАУ, №11</w:t>
    </w:r>
    <w:r w:rsidRPr="009928AF">
      <w:rPr>
        <w:rFonts w:ascii="Times New Roman" w:hAnsi="Times New Roman"/>
        <w:sz w:val="24"/>
        <w:szCs w:val="24"/>
        <w:lang w:val="en-US"/>
      </w:rPr>
      <w:t>7</w:t>
    </w:r>
    <w:r w:rsidRPr="009928AF">
      <w:rPr>
        <w:rFonts w:ascii="Times New Roman" w:hAnsi="Times New Roman"/>
        <w:sz w:val="24"/>
        <w:szCs w:val="24"/>
      </w:rPr>
      <w:t>(0</w:t>
    </w:r>
    <w:r w:rsidRPr="009928AF">
      <w:rPr>
        <w:rFonts w:ascii="Times New Roman" w:hAnsi="Times New Roman"/>
        <w:sz w:val="24"/>
        <w:szCs w:val="24"/>
        <w:lang w:val="en-US"/>
      </w:rPr>
      <w:t>3</w:t>
    </w:r>
    <w:r w:rsidRPr="009928AF">
      <w:rPr>
        <w:rFonts w:ascii="Times New Roman" w:hAnsi="Times New Roman"/>
        <w:sz w:val="24"/>
        <w:szCs w:val="24"/>
      </w:rPr>
      <w:t>), 201</w:t>
    </w:r>
    <w:r w:rsidRPr="009928AF">
      <w:rPr>
        <w:rFonts w:ascii="Times New Roman" w:hAnsi="Times New Roman"/>
        <w:sz w:val="24"/>
        <w:szCs w:val="24"/>
        <w:lang w:val="en-US"/>
      </w:rPr>
      <w:t>6</w:t>
    </w:r>
    <w:r w:rsidRPr="009928A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77CF5"/>
    <w:multiLevelType w:val="hybridMultilevel"/>
    <w:tmpl w:val="CCF69D42"/>
    <w:lvl w:ilvl="0" w:tplc="CBC4BD1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5F9E"/>
    <w:rsid w:val="000109FE"/>
    <w:rsid w:val="000228E1"/>
    <w:rsid w:val="000327FB"/>
    <w:rsid w:val="00040BA9"/>
    <w:rsid w:val="0004619D"/>
    <w:rsid w:val="00076017"/>
    <w:rsid w:val="00083D82"/>
    <w:rsid w:val="000C155F"/>
    <w:rsid w:val="000C31CD"/>
    <w:rsid w:val="000E2BD3"/>
    <w:rsid w:val="00101D30"/>
    <w:rsid w:val="00113EC8"/>
    <w:rsid w:val="00130E2B"/>
    <w:rsid w:val="00131636"/>
    <w:rsid w:val="00140679"/>
    <w:rsid w:val="00163CF6"/>
    <w:rsid w:val="00175178"/>
    <w:rsid w:val="00183E91"/>
    <w:rsid w:val="00193169"/>
    <w:rsid w:val="001A7A5B"/>
    <w:rsid w:val="001A7D46"/>
    <w:rsid w:val="001B01A2"/>
    <w:rsid w:val="001B0B46"/>
    <w:rsid w:val="001D42B0"/>
    <w:rsid w:val="001E1BAD"/>
    <w:rsid w:val="00205FDA"/>
    <w:rsid w:val="00207463"/>
    <w:rsid w:val="002106A9"/>
    <w:rsid w:val="0022352B"/>
    <w:rsid w:val="00253901"/>
    <w:rsid w:val="00254D4E"/>
    <w:rsid w:val="0028374D"/>
    <w:rsid w:val="00286434"/>
    <w:rsid w:val="00291856"/>
    <w:rsid w:val="002A71DA"/>
    <w:rsid w:val="002B5F9E"/>
    <w:rsid w:val="002C232E"/>
    <w:rsid w:val="002C4751"/>
    <w:rsid w:val="002D2AE3"/>
    <w:rsid w:val="002D4E72"/>
    <w:rsid w:val="00320227"/>
    <w:rsid w:val="00322797"/>
    <w:rsid w:val="00353CD0"/>
    <w:rsid w:val="00395339"/>
    <w:rsid w:val="003C5B54"/>
    <w:rsid w:val="003C6280"/>
    <w:rsid w:val="003E76B0"/>
    <w:rsid w:val="004043B2"/>
    <w:rsid w:val="00417C3E"/>
    <w:rsid w:val="00430FBB"/>
    <w:rsid w:val="004537CD"/>
    <w:rsid w:val="00462B7A"/>
    <w:rsid w:val="00481477"/>
    <w:rsid w:val="00483B45"/>
    <w:rsid w:val="004B11D4"/>
    <w:rsid w:val="004B1A98"/>
    <w:rsid w:val="004D0701"/>
    <w:rsid w:val="004D593E"/>
    <w:rsid w:val="00503C58"/>
    <w:rsid w:val="00505DF3"/>
    <w:rsid w:val="0050667D"/>
    <w:rsid w:val="00513AC1"/>
    <w:rsid w:val="00522EB5"/>
    <w:rsid w:val="0055257C"/>
    <w:rsid w:val="00565AB6"/>
    <w:rsid w:val="00570FC4"/>
    <w:rsid w:val="0059769D"/>
    <w:rsid w:val="005A54A9"/>
    <w:rsid w:val="005B0DCB"/>
    <w:rsid w:val="005B3C53"/>
    <w:rsid w:val="005B7257"/>
    <w:rsid w:val="005D4C96"/>
    <w:rsid w:val="005F0055"/>
    <w:rsid w:val="005F02D9"/>
    <w:rsid w:val="005F56E6"/>
    <w:rsid w:val="00602B76"/>
    <w:rsid w:val="00607A17"/>
    <w:rsid w:val="006102CC"/>
    <w:rsid w:val="00624ADF"/>
    <w:rsid w:val="00636C16"/>
    <w:rsid w:val="006465B8"/>
    <w:rsid w:val="00646D91"/>
    <w:rsid w:val="00656485"/>
    <w:rsid w:val="00687BB4"/>
    <w:rsid w:val="006915EA"/>
    <w:rsid w:val="006A184E"/>
    <w:rsid w:val="006A4E97"/>
    <w:rsid w:val="006B0641"/>
    <w:rsid w:val="006B3593"/>
    <w:rsid w:val="006B7214"/>
    <w:rsid w:val="006D2FEF"/>
    <w:rsid w:val="006E34A5"/>
    <w:rsid w:val="00711C6F"/>
    <w:rsid w:val="00717C73"/>
    <w:rsid w:val="007209DE"/>
    <w:rsid w:val="00756B90"/>
    <w:rsid w:val="0077417E"/>
    <w:rsid w:val="00777B30"/>
    <w:rsid w:val="0078057B"/>
    <w:rsid w:val="007C096C"/>
    <w:rsid w:val="007E10E6"/>
    <w:rsid w:val="0082138A"/>
    <w:rsid w:val="0083194E"/>
    <w:rsid w:val="00831C84"/>
    <w:rsid w:val="00837990"/>
    <w:rsid w:val="00863CA2"/>
    <w:rsid w:val="0087735C"/>
    <w:rsid w:val="00880DD4"/>
    <w:rsid w:val="00883373"/>
    <w:rsid w:val="00893702"/>
    <w:rsid w:val="00893AFD"/>
    <w:rsid w:val="008D1702"/>
    <w:rsid w:val="008D249F"/>
    <w:rsid w:val="008D24F0"/>
    <w:rsid w:val="008D4052"/>
    <w:rsid w:val="00914C82"/>
    <w:rsid w:val="00931AC6"/>
    <w:rsid w:val="00934C33"/>
    <w:rsid w:val="00946432"/>
    <w:rsid w:val="0095294B"/>
    <w:rsid w:val="009564CC"/>
    <w:rsid w:val="009928AF"/>
    <w:rsid w:val="009941A8"/>
    <w:rsid w:val="00995756"/>
    <w:rsid w:val="009A106A"/>
    <w:rsid w:val="009A5FB8"/>
    <w:rsid w:val="009B0614"/>
    <w:rsid w:val="009D13E5"/>
    <w:rsid w:val="00A25917"/>
    <w:rsid w:val="00A55179"/>
    <w:rsid w:val="00A956C0"/>
    <w:rsid w:val="00AB681D"/>
    <w:rsid w:val="00AC4DFA"/>
    <w:rsid w:val="00AC577F"/>
    <w:rsid w:val="00AE2DF2"/>
    <w:rsid w:val="00AF186D"/>
    <w:rsid w:val="00B34863"/>
    <w:rsid w:val="00B36F8E"/>
    <w:rsid w:val="00B52FC3"/>
    <w:rsid w:val="00B53DD8"/>
    <w:rsid w:val="00B57155"/>
    <w:rsid w:val="00B81A5E"/>
    <w:rsid w:val="00BA0235"/>
    <w:rsid w:val="00BA4BB2"/>
    <w:rsid w:val="00C028D1"/>
    <w:rsid w:val="00C26DDE"/>
    <w:rsid w:val="00C30867"/>
    <w:rsid w:val="00C450DD"/>
    <w:rsid w:val="00C54433"/>
    <w:rsid w:val="00CC5E19"/>
    <w:rsid w:val="00CC612D"/>
    <w:rsid w:val="00D00E3B"/>
    <w:rsid w:val="00D30F0C"/>
    <w:rsid w:val="00D41098"/>
    <w:rsid w:val="00D61414"/>
    <w:rsid w:val="00D76D3F"/>
    <w:rsid w:val="00D76F0B"/>
    <w:rsid w:val="00D8047A"/>
    <w:rsid w:val="00D80639"/>
    <w:rsid w:val="00D810B2"/>
    <w:rsid w:val="00D86BEA"/>
    <w:rsid w:val="00DA1269"/>
    <w:rsid w:val="00DA7B8C"/>
    <w:rsid w:val="00DC57FA"/>
    <w:rsid w:val="00DD2D88"/>
    <w:rsid w:val="00DE3A21"/>
    <w:rsid w:val="00DF2841"/>
    <w:rsid w:val="00E031CC"/>
    <w:rsid w:val="00E0611B"/>
    <w:rsid w:val="00E317A9"/>
    <w:rsid w:val="00E32EBE"/>
    <w:rsid w:val="00E54ECE"/>
    <w:rsid w:val="00E81A27"/>
    <w:rsid w:val="00E93A53"/>
    <w:rsid w:val="00E97601"/>
    <w:rsid w:val="00EA3AB9"/>
    <w:rsid w:val="00F44D42"/>
    <w:rsid w:val="00F7458A"/>
    <w:rsid w:val="00FA29F7"/>
    <w:rsid w:val="00FA60E4"/>
    <w:rsid w:val="00FB07A6"/>
    <w:rsid w:val="00FC4A41"/>
    <w:rsid w:val="00FC6BB1"/>
    <w:rsid w:val="00FE79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05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DD2D88"/>
    <w:pPr>
      <w:widowControl w:val="0"/>
      <w:autoSpaceDE w:val="0"/>
      <w:autoSpaceDN w:val="0"/>
      <w:adjustRightInd w:val="0"/>
    </w:pPr>
    <w:rPr>
      <w:rFonts w:ascii="Arial" w:eastAsia="Times New Roman" w:hAnsi="Arial" w:cs="Arial"/>
      <w:sz w:val="20"/>
      <w:szCs w:val="20"/>
    </w:rPr>
  </w:style>
  <w:style w:type="paragraph" w:styleId="ListParagraph">
    <w:name w:val="List Paragraph"/>
    <w:basedOn w:val="Normal"/>
    <w:uiPriority w:val="99"/>
    <w:qFormat/>
    <w:rsid w:val="00CC5E19"/>
    <w:pPr>
      <w:ind w:left="720"/>
      <w:contextualSpacing/>
    </w:pPr>
  </w:style>
  <w:style w:type="paragraph" w:customStyle="1" w:styleId="Default">
    <w:name w:val="Default"/>
    <w:uiPriority w:val="99"/>
    <w:rsid w:val="00646D91"/>
    <w:pPr>
      <w:autoSpaceDE w:val="0"/>
      <w:autoSpaceDN w:val="0"/>
      <w:adjustRightInd w:val="0"/>
    </w:pPr>
    <w:rPr>
      <w:rFonts w:ascii="Arial" w:hAnsi="Arial" w:cs="Arial"/>
      <w:color w:val="000000"/>
      <w:sz w:val="24"/>
      <w:szCs w:val="24"/>
      <w:lang w:eastAsia="en-US"/>
    </w:rPr>
  </w:style>
  <w:style w:type="character" w:styleId="Hyperlink">
    <w:name w:val="Hyperlink"/>
    <w:basedOn w:val="DefaultParagraphFont"/>
    <w:uiPriority w:val="99"/>
    <w:semiHidden/>
    <w:rsid w:val="00076017"/>
    <w:rPr>
      <w:rFonts w:cs="Times New Roman"/>
      <w:b/>
      <w:i/>
      <w:color w:val="000066"/>
      <w:u w:val="single"/>
    </w:rPr>
  </w:style>
  <w:style w:type="paragraph" w:styleId="Header">
    <w:name w:val="header"/>
    <w:basedOn w:val="Normal"/>
    <w:link w:val="HeaderChar"/>
    <w:uiPriority w:val="99"/>
    <w:rsid w:val="00624ADF"/>
    <w:pPr>
      <w:tabs>
        <w:tab w:val="center" w:pos="4677"/>
        <w:tab w:val="right" w:pos="9355"/>
      </w:tabs>
    </w:pPr>
  </w:style>
  <w:style w:type="character" w:customStyle="1" w:styleId="HeaderChar">
    <w:name w:val="Header Char"/>
    <w:basedOn w:val="DefaultParagraphFont"/>
    <w:link w:val="Header"/>
    <w:uiPriority w:val="99"/>
    <w:locked/>
    <w:rsid w:val="00624ADF"/>
    <w:rPr>
      <w:sz w:val="22"/>
      <w:lang w:eastAsia="en-US"/>
    </w:rPr>
  </w:style>
  <w:style w:type="paragraph" w:styleId="Footer">
    <w:name w:val="footer"/>
    <w:basedOn w:val="Normal"/>
    <w:link w:val="FooterChar"/>
    <w:uiPriority w:val="99"/>
    <w:semiHidden/>
    <w:rsid w:val="00624ADF"/>
    <w:pPr>
      <w:tabs>
        <w:tab w:val="center" w:pos="4677"/>
        <w:tab w:val="right" w:pos="9355"/>
      </w:tabs>
    </w:pPr>
  </w:style>
  <w:style w:type="character" w:customStyle="1" w:styleId="FooterChar">
    <w:name w:val="Footer Char"/>
    <w:basedOn w:val="DefaultParagraphFont"/>
    <w:link w:val="Footer"/>
    <w:uiPriority w:val="99"/>
    <w:semiHidden/>
    <w:locked/>
    <w:rsid w:val="00624ADF"/>
    <w:rPr>
      <w:sz w:val="22"/>
      <w:lang w:eastAsia="en-US"/>
    </w:rPr>
  </w:style>
  <w:style w:type="character" w:customStyle="1" w:styleId="translation-chunk">
    <w:name w:val="translation-chunk"/>
    <w:basedOn w:val="DefaultParagraphFont"/>
    <w:uiPriority w:val="99"/>
    <w:rsid w:val="00140679"/>
    <w:rPr>
      <w:rFonts w:cs="Times New Roman"/>
    </w:rPr>
  </w:style>
  <w:style w:type="character" w:customStyle="1" w:styleId="Bodytext482">
    <w:name w:val="Body text (4) + 82"/>
    <w:aliases w:val="5 pt2,Not Bold2"/>
    <w:uiPriority w:val="99"/>
    <w:rsid w:val="00193169"/>
    <w:rPr>
      <w:rFonts w:ascii="Times New Roman" w:hAnsi="Times New Roman"/>
      <w:b/>
      <w:spacing w:val="0"/>
      <w:sz w:val="17"/>
      <w:shd w:val="clear" w:color="auto" w:fill="FFFFFF"/>
    </w:rPr>
  </w:style>
  <w:style w:type="paragraph" w:styleId="FootnoteText">
    <w:name w:val="footnote text"/>
    <w:aliases w:val="single space"/>
    <w:basedOn w:val="Normal"/>
    <w:link w:val="FootnoteTextChar"/>
    <w:uiPriority w:val="99"/>
    <w:semiHidden/>
    <w:rsid w:val="00C450DD"/>
    <w:rPr>
      <w:sz w:val="20"/>
      <w:szCs w:val="20"/>
    </w:rPr>
  </w:style>
  <w:style w:type="character" w:customStyle="1" w:styleId="FootnoteTextChar">
    <w:name w:val="Footnote Text Char"/>
    <w:aliases w:val="single space Char"/>
    <w:basedOn w:val="DefaultParagraphFont"/>
    <w:link w:val="FootnoteText"/>
    <w:uiPriority w:val="99"/>
    <w:semiHidden/>
    <w:locked/>
    <w:rsid w:val="00CC612D"/>
    <w:rPr>
      <w:lang w:eastAsia="en-US"/>
    </w:rPr>
  </w:style>
  <w:style w:type="character" w:styleId="FootnoteReference">
    <w:name w:val="footnote reference"/>
    <w:basedOn w:val="DefaultParagraphFont"/>
    <w:uiPriority w:val="99"/>
    <w:semiHidden/>
    <w:rsid w:val="00C450DD"/>
    <w:rPr>
      <w:rFonts w:cs="Times New Roman"/>
      <w:vertAlign w:val="superscript"/>
    </w:rPr>
  </w:style>
  <w:style w:type="paragraph" w:styleId="BalloonText">
    <w:name w:val="Balloon Text"/>
    <w:basedOn w:val="Normal"/>
    <w:link w:val="BalloonTextChar"/>
    <w:uiPriority w:val="99"/>
    <w:semiHidden/>
    <w:rsid w:val="00B52F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2FC3"/>
    <w:rPr>
      <w:rFonts w:ascii="Tahoma" w:hAnsi="Tahoma" w:cs="Tahoma"/>
      <w:sz w:val="16"/>
      <w:szCs w:val="16"/>
      <w:lang w:eastAsia="en-US"/>
    </w:rPr>
  </w:style>
  <w:style w:type="character" w:styleId="PageNumber">
    <w:name w:val="page number"/>
    <w:basedOn w:val="DefaultParagraphFont"/>
    <w:uiPriority w:val="99"/>
    <w:rsid w:val="009928A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13</Pages>
  <Words>3861</Words>
  <Characters>22013</Characters>
  <Application>Microsoft Office Outlook</Application>
  <DocSecurity>0</DocSecurity>
  <Lines>0</Lines>
  <Paragraphs>0</Paragraphs>
  <ScaleCrop>false</ScaleCrop>
  <Company>МУП"ГОРКАДАСТРПРОЕКТ"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Гагай</dc:creator>
  <cp:keywords/>
  <dc:description/>
  <cp:lastModifiedBy>Sergey</cp:lastModifiedBy>
  <cp:revision>11</cp:revision>
  <cp:lastPrinted>2016-03-15T08:35:00Z</cp:lastPrinted>
  <dcterms:created xsi:type="dcterms:W3CDTF">2016-03-15T08:08:00Z</dcterms:created>
  <dcterms:modified xsi:type="dcterms:W3CDTF">2016-03-22T08:05:00Z</dcterms:modified>
</cp:coreProperties>
</file>