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0" w:type="dxa"/>
        <w:tblInd w:w="-3" w:type="dxa"/>
        <w:tblCellMar>
          <w:top w:w="57" w:type="dxa"/>
          <w:left w:w="49" w:type="dxa"/>
          <w:bottom w:w="57" w:type="dxa"/>
          <w:right w:w="0" w:type="dxa"/>
        </w:tblCellMar>
        <w:tblLook w:val="00A0"/>
      </w:tblPr>
      <w:tblGrid>
        <w:gridCol w:w="4534"/>
        <w:gridCol w:w="4536"/>
      </w:tblGrid>
      <w:tr w:rsidR="00887F16" w:rsidRPr="00F528E3" w:rsidTr="009B3B4A">
        <w:tc>
          <w:tcPr>
            <w:tcW w:w="4534" w:type="dxa"/>
            <w:tcMar>
              <w:left w:w="49" w:type="dxa"/>
            </w:tcMar>
          </w:tcPr>
          <w:p w:rsidR="00887F16" w:rsidRDefault="00887F16" w:rsidP="00F528E3">
            <w:pPr>
              <w:spacing w:after="0" w:line="240" w:lineRule="auto"/>
              <w:rPr>
                <w:rFonts w:ascii="Times New Roman" w:hAnsi="Times New Roman" w:cs="Times New Roman"/>
                <w:color w:val="000000"/>
                <w:sz w:val="20"/>
                <w:szCs w:val="20"/>
                <w:lang w:val="en-US" w:eastAsia="ru-RU"/>
              </w:rPr>
            </w:pPr>
            <w:bookmarkStart w:id="0" w:name="OLE_LINK168"/>
            <w:bookmarkStart w:id="1" w:name="OLE_LINK169"/>
            <w:bookmarkStart w:id="2" w:name="OLE_LINK170"/>
            <w:r w:rsidRPr="00F528E3">
              <w:rPr>
                <w:rFonts w:ascii="Times New Roman" w:hAnsi="Times New Roman" w:cs="Times New Roman"/>
                <w:color w:val="000000"/>
                <w:sz w:val="20"/>
                <w:szCs w:val="20"/>
                <w:lang w:eastAsia="ru-RU"/>
              </w:rPr>
              <w:t xml:space="preserve">УДК 94 (470.6) </w:t>
            </w:r>
            <w:bookmarkEnd w:id="0"/>
            <w:bookmarkEnd w:id="1"/>
            <w:bookmarkEnd w:id="2"/>
          </w:p>
          <w:p w:rsidR="00887F16" w:rsidRPr="00361CC3" w:rsidRDefault="00887F16" w:rsidP="00F528E3">
            <w:pPr>
              <w:spacing w:after="0" w:line="240" w:lineRule="auto"/>
              <w:rPr>
                <w:rFonts w:ascii="Times New Roman" w:hAnsi="Times New Roman" w:cs="Times New Roman"/>
                <w:color w:val="000000"/>
                <w:sz w:val="20"/>
                <w:szCs w:val="20"/>
                <w:lang w:val="en-US" w:eastAsia="ru-RU"/>
              </w:rPr>
            </w:pPr>
          </w:p>
        </w:tc>
        <w:tc>
          <w:tcPr>
            <w:tcW w:w="4535" w:type="dxa"/>
            <w:tcMar>
              <w:left w:w="49" w:type="dxa"/>
              <w:right w:w="57" w:type="dxa"/>
            </w:tcMar>
          </w:tcPr>
          <w:p w:rsidR="00887F16" w:rsidRPr="00F528E3" w:rsidRDefault="00887F16" w:rsidP="00F528E3">
            <w:pPr>
              <w:spacing w:after="0" w:line="240" w:lineRule="auto"/>
              <w:rPr>
                <w:rFonts w:ascii="Times New Roman" w:hAnsi="Times New Roman" w:cs="Times New Roman"/>
                <w:color w:val="000000"/>
                <w:sz w:val="20"/>
                <w:szCs w:val="20"/>
                <w:lang w:eastAsia="ru-RU"/>
              </w:rPr>
            </w:pPr>
            <w:r w:rsidRPr="00F528E3">
              <w:rPr>
                <w:rFonts w:ascii="Times New Roman" w:hAnsi="Times New Roman" w:cs="Times New Roman"/>
                <w:color w:val="000000"/>
                <w:sz w:val="20"/>
                <w:szCs w:val="20"/>
                <w:lang w:eastAsia="ru-RU"/>
              </w:rPr>
              <w:t xml:space="preserve">UDC 94 (470.6) </w:t>
            </w:r>
          </w:p>
        </w:tc>
      </w:tr>
      <w:tr w:rsidR="00887F16" w:rsidRPr="00F528E3" w:rsidTr="009B3B4A">
        <w:tc>
          <w:tcPr>
            <w:tcW w:w="4534" w:type="dxa"/>
            <w:tcMar>
              <w:top w:w="0" w:type="dxa"/>
              <w:left w:w="49" w:type="dxa"/>
            </w:tcMar>
          </w:tcPr>
          <w:p w:rsidR="00887F16" w:rsidRPr="00F528E3" w:rsidRDefault="00887F16" w:rsidP="00F528E3">
            <w:pPr>
              <w:spacing w:after="0" w:line="240" w:lineRule="auto"/>
              <w:rPr>
                <w:rFonts w:ascii="Times New Roman" w:hAnsi="Times New Roman" w:cs="Times New Roman"/>
                <w:color w:val="000000"/>
                <w:sz w:val="20"/>
                <w:szCs w:val="20"/>
                <w:lang w:eastAsia="ru-RU"/>
              </w:rPr>
            </w:pPr>
            <w:r w:rsidRPr="00F528E3">
              <w:rPr>
                <w:rFonts w:ascii="Times New Roman" w:hAnsi="Times New Roman" w:cs="Times New Roman"/>
                <w:color w:val="000000"/>
                <w:sz w:val="20"/>
                <w:szCs w:val="20"/>
                <w:lang w:eastAsia="ru-RU"/>
              </w:rPr>
              <w:t xml:space="preserve">07.00.00 Исторические науки </w:t>
            </w:r>
          </w:p>
          <w:p w:rsidR="00887F16" w:rsidRPr="00F528E3" w:rsidRDefault="00887F16" w:rsidP="00F528E3">
            <w:pPr>
              <w:spacing w:after="0" w:line="240" w:lineRule="auto"/>
              <w:rPr>
                <w:rFonts w:ascii="Times New Roman" w:hAnsi="Times New Roman" w:cs="Times New Roman"/>
                <w:color w:val="000000"/>
                <w:sz w:val="20"/>
                <w:szCs w:val="20"/>
                <w:lang w:eastAsia="ru-RU"/>
              </w:rPr>
            </w:pPr>
          </w:p>
        </w:tc>
        <w:tc>
          <w:tcPr>
            <w:tcW w:w="4535" w:type="dxa"/>
            <w:tcMar>
              <w:top w:w="0" w:type="dxa"/>
              <w:left w:w="49" w:type="dxa"/>
              <w:right w:w="57" w:type="dxa"/>
            </w:tcMar>
          </w:tcPr>
          <w:p w:rsidR="00887F16" w:rsidRPr="00F528E3" w:rsidRDefault="00887F16" w:rsidP="00F528E3">
            <w:pPr>
              <w:spacing w:after="0" w:line="240" w:lineRule="auto"/>
              <w:rPr>
                <w:rFonts w:ascii="Times New Roman" w:hAnsi="Times New Roman" w:cs="Times New Roman"/>
                <w:color w:val="000000"/>
                <w:sz w:val="20"/>
                <w:szCs w:val="20"/>
                <w:lang w:eastAsia="ru-RU"/>
              </w:rPr>
            </w:pPr>
            <w:r w:rsidRPr="00F528E3">
              <w:rPr>
                <w:rFonts w:ascii="Times New Roman" w:hAnsi="Times New Roman" w:cs="Times New Roman"/>
                <w:color w:val="000000"/>
                <w:sz w:val="20"/>
                <w:szCs w:val="20"/>
                <w:lang w:eastAsia="ru-RU"/>
              </w:rPr>
              <w:t xml:space="preserve">Historical sciences </w:t>
            </w:r>
          </w:p>
        </w:tc>
      </w:tr>
      <w:tr w:rsidR="00887F16" w:rsidRPr="00F528E3" w:rsidTr="009B3B4A">
        <w:tc>
          <w:tcPr>
            <w:tcW w:w="4534" w:type="dxa"/>
            <w:tcMar>
              <w:top w:w="0" w:type="dxa"/>
              <w:left w:w="49" w:type="dxa"/>
            </w:tcMar>
          </w:tcPr>
          <w:p w:rsidR="00887F16" w:rsidRPr="00F528E3" w:rsidRDefault="00887F16" w:rsidP="00F528E3">
            <w:pPr>
              <w:spacing w:after="0" w:line="240" w:lineRule="auto"/>
              <w:rPr>
                <w:rFonts w:ascii="Times New Roman" w:hAnsi="Times New Roman" w:cs="Times New Roman"/>
                <w:b/>
                <w:bCs/>
                <w:caps/>
                <w:color w:val="000000"/>
                <w:sz w:val="20"/>
                <w:szCs w:val="20"/>
                <w:lang w:eastAsia="ru-RU"/>
              </w:rPr>
            </w:pPr>
            <w:r w:rsidRPr="00F528E3">
              <w:rPr>
                <w:rFonts w:ascii="Times New Roman" w:hAnsi="Times New Roman" w:cs="Times New Roman"/>
                <w:b/>
                <w:bCs/>
                <w:caps/>
                <w:color w:val="000000"/>
                <w:sz w:val="20"/>
                <w:szCs w:val="20"/>
                <w:lang w:eastAsia="ru-RU"/>
              </w:rPr>
              <w:t>Военно-административная</w:t>
            </w:r>
            <w:r w:rsidRPr="00F528E3">
              <w:rPr>
                <w:rFonts w:ascii="Times New Roman" w:hAnsi="Times New Roman" w:cs="Times New Roman"/>
                <w:caps/>
                <w:color w:val="000000"/>
                <w:sz w:val="20"/>
                <w:szCs w:val="20"/>
                <w:lang w:eastAsia="ru-RU"/>
              </w:rPr>
              <w:t xml:space="preserve"> </w:t>
            </w:r>
            <w:r w:rsidRPr="00F528E3">
              <w:rPr>
                <w:rFonts w:ascii="Times New Roman" w:hAnsi="Times New Roman" w:cs="Times New Roman"/>
                <w:b/>
                <w:bCs/>
                <w:caps/>
                <w:color w:val="000000"/>
                <w:sz w:val="20"/>
                <w:szCs w:val="20"/>
                <w:lang w:eastAsia="ru-RU"/>
              </w:rPr>
              <w:t>и политическая деятельность Е.А. Головина в Закавказье</w:t>
            </w:r>
          </w:p>
          <w:p w:rsidR="00887F16" w:rsidRPr="00F528E3" w:rsidRDefault="00887F16" w:rsidP="00F528E3">
            <w:pPr>
              <w:spacing w:after="0" w:line="240" w:lineRule="auto"/>
              <w:rPr>
                <w:rFonts w:ascii="Times New Roman" w:hAnsi="Times New Roman" w:cs="Times New Roman"/>
                <w:b/>
                <w:bCs/>
                <w:caps/>
                <w:color w:val="000000"/>
                <w:sz w:val="20"/>
                <w:szCs w:val="20"/>
                <w:lang w:eastAsia="ru-RU"/>
              </w:rPr>
            </w:pPr>
          </w:p>
        </w:tc>
        <w:tc>
          <w:tcPr>
            <w:tcW w:w="4535" w:type="dxa"/>
            <w:tcMar>
              <w:top w:w="0" w:type="dxa"/>
              <w:left w:w="49" w:type="dxa"/>
              <w:right w:w="57" w:type="dxa"/>
            </w:tcMar>
          </w:tcPr>
          <w:p w:rsidR="00887F16" w:rsidRPr="00F528E3" w:rsidRDefault="00887F16" w:rsidP="00F528E3">
            <w:pPr>
              <w:spacing w:after="0" w:line="240" w:lineRule="auto"/>
              <w:rPr>
                <w:rFonts w:ascii="Times New Roman" w:hAnsi="Times New Roman" w:cs="Times New Roman"/>
                <w:b/>
                <w:bCs/>
                <w:caps/>
                <w:color w:val="000000"/>
                <w:sz w:val="20"/>
                <w:szCs w:val="20"/>
                <w:lang w:val="en-US" w:eastAsia="ru-RU"/>
              </w:rPr>
            </w:pPr>
            <w:r w:rsidRPr="00F528E3">
              <w:rPr>
                <w:rFonts w:ascii="Times New Roman" w:hAnsi="Times New Roman" w:cs="Times New Roman"/>
                <w:b/>
                <w:bCs/>
                <w:caps/>
                <w:color w:val="000000"/>
                <w:sz w:val="20"/>
                <w:szCs w:val="20"/>
                <w:lang w:val="en-US" w:eastAsia="ru-RU"/>
              </w:rPr>
              <w:t xml:space="preserve">Military-administrative and political activities of E.a. Golovin in </w:t>
            </w:r>
            <w:smartTag w:uri="urn:schemas-microsoft-com:office:smarttags" w:element="place">
              <w:r w:rsidRPr="00F528E3">
                <w:rPr>
                  <w:rFonts w:ascii="Times New Roman" w:hAnsi="Times New Roman" w:cs="Times New Roman"/>
                  <w:b/>
                  <w:bCs/>
                  <w:caps/>
                  <w:color w:val="000000"/>
                  <w:sz w:val="20"/>
                  <w:szCs w:val="20"/>
                  <w:lang w:val="en-US" w:eastAsia="ru-RU"/>
                </w:rPr>
                <w:t>Transcaucasia</w:t>
              </w:r>
            </w:smartTag>
          </w:p>
        </w:tc>
      </w:tr>
      <w:tr w:rsidR="00887F16" w:rsidRPr="00F528E3" w:rsidTr="009B3B4A">
        <w:tc>
          <w:tcPr>
            <w:tcW w:w="4534" w:type="dxa"/>
            <w:tcMar>
              <w:top w:w="0" w:type="dxa"/>
              <w:left w:w="49" w:type="dxa"/>
            </w:tcMar>
          </w:tcPr>
          <w:p w:rsidR="00887F16" w:rsidRPr="00F528E3" w:rsidRDefault="00887F16" w:rsidP="00F528E3">
            <w:pPr>
              <w:spacing w:after="0" w:line="240" w:lineRule="auto"/>
              <w:rPr>
                <w:rFonts w:ascii="Times New Roman" w:hAnsi="Times New Roman" w:cs="Times New Roman"/>
                <w:color w:val="000000"/>
                <w:sz w:val="20"/>
                <w:szCs w:val="20"/>
                <w:lang w:eastAsia="ru-RU"/>
              </w:rPr>
            </w:pPr>
            <w:r w:rsidRPr="00F528E3">
              <w:rPr>
                <w:rFonts w:ascii="Times New Roman" w:hAnsi="Times New Roman" w:cs="Times New Roman"/>
                <w:color w:val="000000"/>
                <w:sz w:val="20"/>
                <w:szCs w:val="20"/>
                <w:lang w:eastAsia="ru-RU"/>
              </w:rPr>
              <w:t>Кондусов Владимир Сергеевич</w:t>
            </w:r>
          </w:p>
          <w:p w:rsidR="00887F16" w:rsidRDefault="00887F16" w:rsidP="00F528E3">
            <w:pPr>
              <w:spacing w:after="0" w:line="240" w:lineRule="auto"/>
              <w:rPr>
                <w:rFonts w:ascii="Times New Roman" w:hAnsi="Times New Roman" w:cs="Times New Roman"/>
                <w:color w:val="000000"/>
                <w:sz w:val="20"/>
                <w:szCs w:val="20"/>
                <w:lang w:val="en-US" w:eastAsia="ru-RU"/>
              </w:rPr>
            </w:pPr>
            <w:r w:rsidRPr="00F528E3">
              <w:rPr>
                <w:rFonts w:ascii="Times New Roman" w:hAnsi="Times New Roman" w:cs="Times New Roman"/>
                <w:color w:val="000000"/>
                <w:sz w:val="20"/>
                <w:szCs w:val="20"/>
                <w:lang w:eastAsia="ru-RU"/>
              </w:rPr>
              <w:t>аспирант</w:t>
            </w:r>
          </w:p>
          <w:p w:rsidR="00887F16" w:rsidRPr="00F528E3" w:rsidRDefault="00887F16" w:rsidP="00F528E3">
            <w:pPr>
              <w:spacing w:after="0" w:line="240" w:lineRule="auto"/>
              <w:rPr>
                <w:rFonts w:ascii="Times New Roman" w:hAnsi="Times New Roman" w:cs="Times New Roman"/>
                <w:color w:val="000000"/>
                <w:sz w:val="20"/>
                <w:szCs w:val="20"/>
                <w:lang w:eastAsia="ru-RU"/>
              </w:rPr>
            </w:pPr>
            <w:hyperlink r:id="rId6" w:history="1">
              <w:r w:rsidRPr="00F528E3">
                <w:rPr>
                  <w:rStyle w:val="Hyperlink"/>
                  <w:rFonts w:ascii="Times New Roman" w:hAnsi="Times New Roman"/>
                  <w:sz w:val="20"/>
                  <w:szCs w:val="20"/>
                  <w:lang w:eastAsia="ru-RU"/>
                </w:rPr>
                <w:t>vladimir.kondusov@mail.ru</w:t>
              </w:r>
            </w:hyperlink>
          </w:p>
          <w:p w:rsidR="00887F16" w:rsidRPr="00F528E3" w:rsidRDefault="00887F16" w:rsidP="00F528E3">
            <w:pPr>
              <w:spacing w:after="0" w:line="240" w:lineRule="auto"/>
              <w:rPr>
                <w:rFonts w:ascii="Times New Roman" w:hAnsi="Times New Roman" w:cs="Times New Roman"/>
                <w:i/>
                <w:color w:val="000000"/>
                <w:sz w:val="20"/>
                <w:szCs w:val="20"/>
                <w:lang w:eastAsia="ru-RU"/>
              </w:rPr>
            </w:pPr>
            <w:r w:rsidRPr="00F528E3">
              <w:rPr>
                <w:rFonts w:ascii="Times New Roman" w:hAnsi="Times New Roman" w:cs="Times New Roman"/>
                <w:i/>
                <w:color w:val="000000"/>
                <w:sz w:val="20"/>
                <w:szCs w:val="20"/>
                <w:lang w:eastAsia="ru-RU"/>
              </w:rPr>
              <w:t xml:space="preserve">ЧОУ ВПО «Институт международного права, экономики, гуманитарных наук и управления имени К.В. Россинского», Краснодар, Россия </w:t>
            </w:r>
          </w:p>
          <w:p w:rsidR="00887F16" w:rsidRPr="00F528E3" w:rsidRDefault="00887F16" w:rsidP="00F528E3">
            <w:pPr>
              <w:spacing w:after="0" w:line="240" w:lineRule="auto"/>
              <w:rPr>
                <w:rFonts w:ascii="Times New Roman" w:hAnsi="Times New Roman" w:cs="Times New Roman"/>
                <w:color w:val="000000"/>
                <w:sz w:val="20"/>
                <w:szCs w:val="20"/>
                <w:lang w:eastAsia="ru-RU"/>
              </w:rPr>
            </w:pPr>
          </w:p>
        </w:tc>
        <w:tc>
          <w:tcPr>
            <w:tcW w:w="4535" w:type="dxa"/>
            <w:tcMar>
              <w:top w:w="0" w:type="dxa"/>
              <w:left w:w="49" w:type="dxa"/>
              <w:right w:w="57" w:type="dxa"/>
            </w:tcMar>
          </w:tcPr>
          <w:p w:rsidR="00887F16" w:rsidRPr="00F528E3" w:rsidRDefault="00887F16" w:rsidP="00F528E3">
            <w:pPr>
              <w:spacing w:after="0" w:line="240" w:lineRule="auto"/>
              <w:rPr>
                <w:rFonts w:ascii="Times New Roman" w:hAnsi="Times New Roman" w:cs="Times New Roman"/>
                <w:color w:val="000000"/>
                <w:sz w:val="20"/>
                <w:szCs w:val="20"/>
                <w:lang w:val="en-US" w:eastAsia="ru-RU"/>
              </w:rPr>
            </w:pPr>
            <w:r w:rsidRPr="00F528E3">
              <w:rPr>
                <w:rFonts w:ascii="Times New Roman" w:hAnsi="Times New Roman" w:cs="Times New Roman"/>
                <w:color w:val="000000"/>
                <w:sz w:val="20"/>
                <w:szCs w:val="20"/>
                <w:lang w:val="en-US" w:eastAsia="ru-RU"/>
              </w:rPr>
              <w:t xml:space="preserve">Kondusov Vladimir Sergeyevich </w:t>
            </w:r>
          </w:p>
          <w:p w:rsidR="00887F16" w:rsidRDefault="00887F16" w:rsidP="00F528E3">
            <w:pPr>
              <w:spacing w:after="0" w:line="240" w:lineRule="auto"/>
              <w:rPr>
                <w:rFonts w:ascii="Times New Roman" w:hAnsi="Times New Roman" w:cs="Times New Roman"/>
                <w:color w:val="000000"/>
                <w:sz w:val="20"/>
                <w:szCs w:val="20"/>
                <w:lang w:val="en-US" w:eastAsia="ru-RU"/>
              </w:rPr>
            </w:pPr>
            <w:bookmarkStart w:id="3" w:name="_GoBack"/>
            <w:bookmarkEnd w:id="3"/>
            <w:r w:rsidRPr="00F528E3">
              <w:rPr>
                <w:rFonts w:ascii="Times New Roman" w:hAnsi="Times New Roman" w:cs="Times New Roman"/>
                <w:color w:val="000000"/>
                <w:sz w:val="20"/>
                <w:szCs w:val="20"/>
                <w:lang w:val="en-US" w:eastAsia="ru-RU"/>
              </w:rPr>
              <w:t>postgraduate student</w:t>
            </w:r>
          </w:p>
          <w:p w:rsidR="00887F16" w:rsidRPr="00F528E3" w:rsidRDefault="00887F16" w:rsidP="00F528E3">
            <w:pPr>
              <w:spacing w:after="0" w:line="240" w:lineRule="auto"/>
              <w:rPr>
                <w:rFonts w:ascii="Times New Roman" w:hAnsi="Times New Roman" w:cs="Times New Roman"/>
                <w:color w:val="000000"/>
                <w:sz w:val="20"/>
                <w:szCs w:val="20"/>
                <w:lang w:val="en-US" w:eastAsia="ru-RU"/>
              </w:rPr>
            </w:pPr>
            <w:hyperlink r:id="rId7" w:history="1">
              <w:r w:rsidRPr="00F528E3">
                <w:rPr>
                  <w:rStyle w:val="Hyperlink"/>
                  <w:rFonts w:ascii="Times New Roman" w:hAnsi="Times New Roman"/>
                  <w:sz w:val="20"/>
                  <w:szCs w:val="20"/>
                  <w:lang w:val="en-US" w:eastAsia="ru-RU"/>
                </w:rPr>
                <w:t>vladimir.kondusov@mail.ru</w:t>
              </w:r>
            </w:hyperlink>
            <w:r w:rsidRPr="00F528E3">
              <w:rPr>
                <w:rFonts w:ascii="Times New Roman" w:hAnsi="Times New Roman" w:cs="Times New Roman"/>
                <w:color w:val="000000"/>
                <w:sz w:val="20"/>
                <w:szCs w:val="20"/>
                <w:lang w:val="en-US" w:eastAsia="ru-RU"/>
              </w:rPr>
              <w:t xml:space="preserve"> </w:t>
            </w:r>
          </w:p>
          <w:p w:rsidR="00887F16" w:rsidRPr="00F528E3" w:rsidRDefault="00887F16" w:rsidP="00F528E3">
            <w:pPr>
              <w:spacing w:after="0" w:line="240" w:lineRule="auto"/>
              <w:rPr>
                <w:rFonts w:ascii="Times New Roman" w:hAnsi="Times New Roman" w:cs="Times New Roman"/>
                <w:i/>
                <w:color w:val="000000"/>
                <w:sz w:val="20"/>
                <w:szCs w:val="20"/>
                <w:lang w:val="en-US" w:eastAsia="ru-RU"/>
              </w:rPr>
            </w:pPr>
            <w:r w:rsidRPr="00F528E3">
              <w:rPr>
                <w:rFonts w:ascii="Times New Roman" w:hAnsi="Times New Roman" w:cs="Times New Roman"/>
                <w:i/>
                <w:color w:val="000000"/>
                <w:sz w:val="20"/>
                <w:szCs w:val="20"/>
                <w:lang w:val="en-US" w:eastAsia="ru-RU"/>
              </w:rPr>
              <w:t>«</w:t>
            </w:r>
            <w:smartTag w:uri="urn:schemas-microsoft-com:office:smarttags" w:element="PlaceType">
              <w:r w:rsidRPr="00F528E3">
                <w:rPr>
                  <w:rFonts w:ascii="Times New Roman" w:hAnsi="Times New Roman" w:cs="Times New Roman"/>
                  <w:i/>
                  <w:color w:val="000000"/>
                  <w:sz w:val="20"/>
                  <w:szCs w:val="20"/>
                  <w:lang w:val="en-US" w:eastAsia="ru-RU"/>
                </w:rPr>
                <w:t>Institute</w:t>
              </w:r>
            </w:smartTag>
            <w:r w:rsidRPr="00F528E3">
              <w:rPr>
                <w:rFonts w:ascii="Times New Roman" w:hAnsi="Times New Roman" w:cs="Times New Roman"/>
                <w:i/>
                <w:color w:val="000000"/>
                <w:sz w:val="20"/>
                <w:szCs w:val="20"/>
                <w:lang w:val="en-US" w:eastAsia="ru-RU"/>
              </w:rPr>
              <w:t xml:space="preserve"> of </w:t>
            </w:r>
            <w:smartTag w:uri="urn:schemas-microsoft-com:office:smarttags" w:element="PlaceName">
              <w:r w:rsidRPr="00F528E3">
                <w:rPr>
                  <w:rFonts w:ascii="Times New Roman" w:hAnsi="Times New Roman" w:cs="Times New Roman"/>
                  <w:i/>
                  <w:color w:val="000000"/>
                  <w:sz w:val="20"/>
                  <w:szCs w:val="20"/>
                  <w:lang w:val="en-US" w:eastAsia="ru-RU"/>
                </w:rPr>
                <w:t>International Law</w:t>
              </w:r>
            </w:smartTag>
            <w:r w:rsidRPr="00F528E3">
              <w:rPr>
                <w:rFonts w:ascii="Times New Roman" w:hAnsi="Times New Roman" w:cs="Times New Roman"/>
                <w:i/>
                <w:color w:val="000000"/>
                <w:sz w:val="20"/>
                <w:szCs w:val="20"/>
                <w:lang w:val="en-US" w:eastAsia="ru-RU"/>
              </w:rPr>
              <w:t xml:space="preserve">, Economics, Management and Humanities named after K.V.Rossinsky», </w:t>
            </w:r>
            <w:smartTag w:uri="urn:schemas-microsoft-com:office:smarttags" w:element="place">
              <w:smartTag w:uri="urn:schemas-microsoft-com:office:smarttags" w:element="City">
                <w:r w:rsidRPr="00F528E3">
                  <w:rPr>
                    <w:rFonts w:ascii="Times New Roman" w:hAnsi="Times New Roman" w:cs="Times New Roman"/>
                    <w:i/>
                    <w:color w:val="000000"/>
                    <w:sz w:val="20"/>
                    <w:szCs w:val="20"/>
                    <w:lang w:val="en-US" w:eastAsia="ru-RU"/>
                  </w:rPr>
                  <w:t>Krasnodar</w:t>
                </w:r>
              </w:smartTag>
              <w:r w:rsidRPr="00F528E3">
                <w:rPr>
                  <w:rFonts w:ascii="Times New Roman" w:hAnsi="Times New Roman" w:cs="Times New Roman"/>
                  <w:i/>
                  <w:color w:val="000000"/>
                  <w:sz w:val="20"/>
                  <w:szCs w:val="20"/>
                  <w:lang w:val="en-US" w:eastAsia="ru-RU"/>
                </w:rPr>
                <w:t xml:space="preserve">, </w:t>
              </w:r>
              <w:smartTag w:uri="urn:schemas-microsoft-com:office:smarttags" w:element="country-region">
                <w:r w:rsidRPr="00F528E3">
                  <w:rPr>
                    <w:rFonts w:ascii="Times New Roman" w:hAnsi="Times New Roman" w:cs="Times New Roman"/>
                    <w:i/>
                    <w:color w:val="000000"/>
                    <w:sz w:val="20"/>
                    <w:szCs w:val="20"/>
                    <w:lang w:val="en-US" w:eastAsia="ru-RU"/>
                  </w:rPr>
                  <w:t>Russia</w:t>
                </w:r>
              </w:smartTag>
            </w:smartTag>
            <w:r w:rsidRPr="00F528E3">
              <w:rPr>
                <w:rFonts w:ascii="Times New Roman" w:hAnsi="Times New Roman" w:cs="Times New Roman"/>
                <w:i/>
                <w:color w:val="000000"/>
                <w:sz w:val="20"/>
                <w:szCs w:val="20"/>
                <w:lang w:val="en-US" w:eastAsia="ru-RU"/>
              </w:rPr>
              <w:t xml:space="preserve"> </w:t>
            </w:r>
          </w:p>
        </w:tc>
      </w:tr>
      <w:tr w:rsidR="00887F16" w:rsidRPr="00F528E3" w:rsidTr="009B3B4A">
        <w:tc>
          <w:tcPr>
            <w:tcW w:w="4534" w:type="dxa"/>
            <w:tcMar>
              <w:top w:w="0" w:type="dxa"/>
              <w:left w:w="49" w:type="dxa"/>
            </w:tcMar>
          </w:tcPr>
          <w:p w:rsidR="00887F16" w:rsidRPr="00846DCD" w:rsidRDefault="00887F16" w:rsidP="00F528E3">
            <w:pPr>
              <w:spacing w:after="0" w:line="240" w:lineRule="auto"/>
              <w:rPr>
                <w:rFonts w:ascii="Times New Roman" w:hAnsi="Times New Roman" w:cs="Times New Roman"/>
                <w:color w:val="000000"/>
                <w:sz w:val="20"/>
                <w:szCs w:val="20"/>
              </w:rPr>
            </w:pPr>
            <w:bookmarkStart w:id="4" w:name="OLE_LINK171"/>
            <w:bookmarkStart w:id="5" w:name="OLE_LINK172"/>
            <w:bookmarkStart w:id="6" w:name="OLE_LINK173"/>
            <w:r w:rsidRPr="00F528E3">
              <w:rPr>
                <w:rFonts w:ascii="Times New Roman" w:hAnsi="Times New Roman" w:cs="Times New Roman"/>
                <w:color w:val="000000"/>
                <w:sz w:val="20"/>
                <w:szCs w:val="20"/>
                <w:lang w:eastAsia="ru-RU"/>
              </w:rPr>
              <w:t xml:space="preserve">Статья посвящена военно-административной деятельности в Закавказье в 1838–1842 гг. одного из царских наместников – Евгения Александровича Головина. Автор приходит к выводу, что будучи русским патриотом и стремясь поначалу сделать Кавказ российским по духу и правовым институтом, Головин постепенно познавал местные особенности, и в конце своего управления регионом старался совместить метропольные традиции с окраинными. </w:t>
            </w:r>
            <w:r w:rsidRPr="00F528E3">
              <w:rPr>
                <w:rFonts w:ascii="Times New Roman" w:hAnsi="Times New Roman" w:cs="Times New Roman"/>
                <w:color w:val="000000"/>
                <w:sz w:val="20"/>
                <w:szCs w:val="20"/>
              </w:rPr>
              <w:t>Его преобразования были оценены после того, как Евгений Александрович покинул Закавказье. В Тифлисе, например, на пустырях стали строиться большие на Европейский лад постройки, соорудили мостовые, тротуары, бассейны с чистой горной водой. Тифлис с оригинальною смесью Востока и Запада, стал одним из любопытнейших и обширнейших городов России. Генерал Головин, как истинно Русский сановник, любил жить по-барски, открыто, хлебосольно, в его доме собиралось всё лучшее здешнее общество и все принимались с тем радушием и приветливостью, которые невольно возбуждали во всех признательность и оставили по себе благодарное воспоминание» </w:t>
            </w:r>
            <w:r w:rsidRPr="00F528E3">
              <w:rPr>
                <w:rFonts w:ascii="Times New Roman" w:hAnsi="Times New Roman" w:cs="Times New Roman"/>
                <w:color w:val="000000"/>
                <w:sz w:val="20"/>
                <w:szCs w:val="20"/>
              </w:rPr>
              <w:br/>
              <w:t>Предварительный анализ деятельности Е.А. Головина в Закавказье не даёт повода для крайних негативных или идеализирующих Главноуправляющего оценок. Но, Е.А. Головину удалось оставить о себе память в Закавказье как о реформаторе, устроителе края, многие начиная которого были продолжены его наследниками – М.С. Воронцовым, А.И. Барятинским, Великим кн</w:t>
            </w:r>
            <w:r>
              <w:rPr>
                <w:rFonts w:ascii="Times New Roman" w:hAnsi="Times New Roman" w:cs="Times New Roman"/>
                <w:color w:val="000000"/>
                <w:sz w:val="20"/>
                <w:szCs w:val="20"/>
              </w:rPr>
              <w:t>язем Михаилом Николаевичем и др</w:t>
            </w:r>
            <w:r w:rsidRPr="00846DCD">
              <w:rPr>
                <w:rFonts w:ascii="Times New Roman" w:hAnsi="Times New Roman" w:cs="Times New Roman"/>
                <w:color w:val="000000"/>
                <w:sz w:val="20"/>
                <w:szCs w:val="20"/>
              </w:rPr>
              <w:t>.</w:t>
            </w:r>
          </w:p>
          <w:bookmarkEnd w:id="4"/>
          <w:bookmarkEnd w:id="5"/>
          <w:bookmarkEnd w:id="6"/>
          <w:p w:rsidR="00887F16" w:rsidRPr="00F528E3" w:rsidRDefault="00887F16" w:rsidP="00F528E3">
            <w:pPr>
              <w:pStyle w:val="BodyText"/>
              <w:spacing w:after="0" w:line="240" w:lineRule="auto"/>
              <w:rPr>
                <w:rFonts w:ascii="Times New Roman" w:hAnsi="Times New Roman" w:cs="Times New Roman"/>
                <w:sz w:val="20"/>
                <w:szCs w:val="20"/>
              </w:rPr>
            </w:pPr>
            <w:r w:rsidRPr="00F528E3">
              <w:rPr>
                <w:rFonts w:ascii="Times New Roman" w:hAnsi="Times New Roman" w:cs="Times New Roman"/>
                <w:color w:val="000000"/>
                <w:sz w:val="20"/>
                <w:szCs w:val="20"/>
              </w:rPr>
              <w:t> </w:t>
            </w:r>
          </w:p>
        </w:tc>
        <w:tc>
          <w:tcPr>
            <w:tcW w:w="4535" w:type="dxa"/>
            <w:tcMar>
              <w:top w:w="0" w:type="dxa"/>
              <w:left w:w="49" w:type="dxa"/>
              <w:right w:w="57" w:type="dxa"/>
            </w:tcMar>
          </w:tcPr>
          <w:p w:rsidR="00887F16" w:rsidRPr="00F528E3" w:rsidRDefault="00887F16" w:rsidP="00F528E3">
            <w:pPr>
              <w:pStyle w:val="NormalWeb"/>
              <w:spacing w:before="0" w:beforeAutospacing="0" w:after="0" w:line="240" w:lineRule="auto"/>
              <w:rPr>
                <w:sz w:val="20"/>
                <w:szCs w:val="20"/>
                <w:lang w:val="en-US"/>
              </w:rPr>
            </w:pPr>
            <w:r w:rsidRPr="00F528E3">
              <w:rPr>
                <w:color w:val="000000"/>
                <w:sz w:val="20"/>
                <w:szCs w:val="20"/>
                <w:lang w:val="en-US"/>
              </w:rPr>
              <w:t xml:space="preserve">The article is devoted to the military and administrative activities in the </w:t>
            </w:r>
            <w:smartTag w:uri="urn:schemas-microsoft-com:office:smarttags" w:element="place">
              <w:r w:rsidRPr="00F528E3">
                <w:rPr>
                  <w:color w:val="000000"/>
                  <w:sz w:val="20"/>
                  <w:szCs w:val="20"/>
                  <w:lang w:val="en-US"/>
                </w:rPr>
                <w:t>Caucasus</w:t>
              </w:r>
            </w:smartTag>
            <w:r w:rsidRPr="00F528E3">
              <w:rPr>
                <w:color w:val="000000"/>
                <w:sz w:val="20"/>
                <w:szCs w:val="20"/>
                <w:lang w:val="en-US"/>
              </w:rPr>
              <w:t xml:space="preserve"> in 1838–1842 y. one of the Royal Governors-Evgeny Aleksandrovich Golovin. The author concludes that as a Russian Patriot and aiming initially to make the </w:t>
            </w:r>
            <w:smartTag w:uri="urn:schemas-microsoft-com:office:smarttags" w:element="place">
              <w:r w:rsidRPr="00F528E3">
                <w:rPr>
                  <w:color w:val="000000"/>
                  <w:sz w:val="20"/>
                  <w:szCs w:val="20"/>
                  <w:lang w:val="en-US"/>
                </w:rPr>
                <w:t>Caucasus</w:t>
              </w:r>
            </w:smartTag>
            <w:r w:rsidRPr="00F528E3">
              <w:rPr>
                <w:color w:val="000000"/>
                <w:sz w:val="20"/>
                <w:szCs w:val="20"/>
                <w:lang w:val="en-US"/>
              </w:rPr>
              <w:t xml:space="preserve"> the Russian spirit and legal institutions, Golovin began gradually local features, and at the end of his Administration Region tried to combine </w:t>
            </w:r>
            <w:r>
              <w:rPr>
                <w:color w:val="000000"/>
                <w:sz w:val="20"/>
                <w:szCs w:val="20"/>
                <w:lang w:val="en-US"/>
              </w:rPr>
              <w:t xml:space="preserve">central </w:t>
            </w:r>
            <w:r w:rsidRPr="00F528E3">
              <w:rPr>
                <w:color w:val="000000"/>
                <w:sz w:val="20"/>
                <w:szCs w:val="20"/>
                <w:lang w:val="en-US"/>
              </w:rPr>
              <w:t>tradition</w:t>
            </w:r>
            <w:r>
              <w:rPr>
                <w:color w:val="000000"/>
                <w:sz w:val="20"/>
                <w:szCs w:val="20"/>
                <w:lang w:val="en-US"/>
              </w:rPr>
              <w:t>s</w:t>
            </w:r>
            <w:r w:rsidRPr="00F528E3">
              <w:rPr>
                <w:color w:val="000000"/>
                <w:sz w:val="20"/>
                <w:szCs w:val="20"/>
                <w:lang w:val="en-US"/>
              </w:rPr>
              <w:t xml:space="preserve"> with peripheral. </w:t>
            </w:r>
            <w:r w:rsidRPr="00F528E3">
              <w:rPr>
                <w:color w:val="222222"/>
                <w:sz w:val="20"/>
                <w:szCs w:val="20"/>
                <w:shd w:val="clear" w:color="auto" w:fill="FFFFFF"/>
                <w:lang w:val="en-GB"/>
              </w:rPr>
              <w:t xml:space="preserve">His transformations were appraised only after </w:t>
            </w:r>
            <w:r>
              <w:rPr>
                <w:color w:val="222222"/>
                <w:sz w:val="20"/>
                <w:szCs w:val="20"/>
                <w:shd w:val="clear" w:color="auto" w:fill="FFFFFF"/>
                <w:lang w:val="en-GB"/>
              </w:rPr>
              <w:t>E</w:t>
            </w:r>
            <w:r w:rsidRPr="00F528E3">
              <w:rPr>
                <w:color w:val="222222"/>
                <w:sz w:val="20"/>
                <w:szCs w:val="20"/>
                <w:shd w:val="clear" w:color="auto" w:fill="FFFFFF"/>
                <w:lang w:val="en-GB"/>
              </w:rPr>
              <w:t xml:space="preserve">vgeniy Aleksandrovich had left </w:t>
            </w:r>
            <w:smartTag w:uri="urn:schemas-microsoft-com:office:smarttags" w:element="place">
              <w:r w:rsidRPr="00F528E3">
                <w:rPr>
                  <w:color w:val="222222"/>
                  <w:sz w:val="20"/>
                  <w:szCs w:val="20"/>
                  <w:shd w:val="clear" w:color="auto" w:fill="FFFFFF"/>
                  <w:lang w:val="en-GB"/>
                </w:rPr>
                <w:t>Transcaucasia</w:t>
              </w:r>
            </w:smartTag>
            <w:r w:rsidRPr="00F528E3">
              <w:rPr>
                <w:color w:val="222222"/>
                <w:sz w:val="20"/>
                <w:szCs w:val="20"/>
                <w:shd w:val="clear" w:color="auto" w:fill="FFFFFF"/>
                <w:lang w:val="en-GB"/>
              </w:rPr>
              <w:t xml:space="preserve">. For instance, in </w:t>
            </w:r>
            <w:smartTag w:uri="urn:schemas-microsoft-com:office:smarttags" w:element="place">
              <w:r w:rsidRPr="00F528E3">
                <w:rPr>
                  <w:color w:val="222222"/>
                  <w:sz w:val="20"/>
                  <w:szCs w:val="20"/>
                  <w:shd w:val="clear" w:color="auto" w:fill="FFFFFF"/>
                  <w:lang w:val="en-GB"/>
                </w:rPr>
                <w:t>Tiflis</w:t>
              </w:r>
            </w:smartTag>
            <w:r w:rsidRPr="00F528E3">
              <w:rPr>
                <w:color w:val="222222"/>
                <w:sz w:val="20"/>
                <w:szCs w:val="20"/>
                <w:shd w:val="clear" w:color="auto" w:fill="FFFFFF"/>
                <w:lang w:val="en-GB"/>
              </w:rPr>
              <w:t xml:space="preserve"> they started building more European-style constructions on wastelands, erected causeways, pavements and pools with clean mountain water. With its extraordinary combination of the East and the West Tiflis turned into one of the most interesting and largest cities of </w:t>
            </w:r>
            <w:smartTag w:uri="urn:schemas-microsoft-com:office:smarttags" w:element="place">
              <w:smartTag w:uri="urn:schemas-microsoft-com:office:smarttags" w:element="country-region">
                <w:r w:rsidRPr="00F528E3">
                  <w:rPr>
                    <w:color w:val="222222"/>
                    <w:sz w:val="20"/>
                    <w:szCs w:val="20"/>
                    <w:shd w:val="clear" w:color="auto" w:fill="FFFFFF"/>
                    <w:lang w:val="en-GB"/>
                  </w:rPr>
                  <w:t>Russia</w:t>
                </w:r>
              </w:smartTag>
            </w:smartTag>
            <w:r w:rsidRPr="00F528E3">
              <w:rPr>
                <w:color w:val="222222"/>
                <w:sz w:val="20"/>
                <w:szCs w:val="20"/>
                <w:shd w:val="clear" w:color="auto" w:fill="FFFFFF"/>
                <w:lang w:val="en-GB"/>
              </w:rPr>
              <w:t>. As a truly Russian nobleman, General Golovin liked living luxuriously, openly and hospitably. The best representatives of the local society were welcomed in his house in a warm-hearted and friendly manner</w:t>
            </w:r>
            <w:r>
              <w:rPr>
                <w:color w:val="222222"/>
                <w:sz w:val="20"/>
                <w:szCs w:val="20"/>
                <w:shd w:val="clear" w:color="auto" w:fill="FFFFFF"/>
                <w:lang w:val="en-GB"/>
              </w:rPr>
              <w:t xml:space="preserve">, </w:t>
            </w:r>
            <w:r w:rsidRPr="00F528E3">
              <w:rPr>
                <w:color w:val="222222"/>
                <w:sz w:val="20"/>
                <w:szCs w:val="20"/>
                <w:shd w:val="clear" w:color="auto" w:fill="FFFFFF"/>
                <w:lang w:val="en-GB"/>
              </w:rPr>
              <w:t>which caused an unconscious sensation of gratitude and left a favourable impression.</w:t>
            </w:r>
            <w:r>
              <w:rPr>
                <w:color w:val="222222"/>
                <w:sz w:val="20"/>
                <w:szCs w:val="20"/>
                <w:shd w:val="clear" w:color="auto" w:fill="FFFFFF"/>
                <w:lang w:val="en-GB"/>
              </w:rPr>
              <w:t xml:space="preserve"> </w:t>
            </w:r>
            <w:r w:rsidRPr="00F528E3">
              <w:rPr>
                <w:color w:val="222222"/>
                <w:sz w:val="20"/>
                <w:szCs w:val="20"/>
                <w:shd w:val="clear" w:color="auto" w:fill="FFFFFF"/>
                <w:lang w:val="en-GB"/>
              </w:rPr>
              <w:t xml:space="preserve">Preliminary analysis of activity of </w:t>
            </w:r>
            <w:r>
              <w:rPr>
                <w:color w:val="222222"/>
                <w:sz w:val="20"/>
                <w:szCs w:val="20"/>
                <w:shd w:val="clear" w:color="auto" w:fill="FFFFFF"/>
                <w:lang w:val="en-GB"/>
              </w:rPr>
              <w:t xml:space="preserve"> E</w:t>
            </w:r>
            <w:r w:rsidRPr="00F528E3">
              <w:rPr>
                <w:color w:val="222222"/>
                <w:sz w:val="20"/>
                <w:szCs w:val="20"/>
                <w:shd w:val="clear" w:color="auto" w:fill="FFFFFF"/>
                <w:lang w:val="en-GB"/>
              </w:rPr>
              <w:t xml:space="preserve">.A. Golovin in </w:t>
            </w:r>
            <w:smartTag w:uri="urn:schemas-microsoft-com:office:smarttags" w:element="place">
              <w:r w:rsidRPr="00F528E3">
                <w:rPr>
                  <w:color w:val="222222"/>
                  <w:sz w:val="20"/>
                  <w:szCs w:val="20"/>
                  <w:shd w:val="clear" w:color="auto" w:fill="FFFFFF"/>
                  <w:lang w:val="en-GB"/>
                </w:rPr>
                <w:t>Transcaucasia</w:t>
              </w:r>
            </w:smartTag>
            <w:r w:rsidRPr="00F528E3">
              <w:rPr>
                <w:color w:val="222222"/>
                <w:sz w:val="20"/>
                <w:szCs w:val="20"/>
                <w:shd w:val="clear" w:color="auto" w:fill="FFFFFF"/>
                <w:lang w:val="en-GB"/>
              </w:rPr>
              <w:t xml:space="preserve"> gives no grounds for assessments which are extremely negative or idealise the Chief Executive. Yet </w:t>
            </w:r>
            <w:r>
              <w:rPr>
                <w:color w:val="222222"/>
                <w:sz w:val="20"/>
                <w:szCs w:val="20"/>
                <w:shd w:val="clear" w:color="auto" w:fill="FFFFFF"/>
                <w:lang w:val="en-GB"/>
              </w:rPr>
              <w:t>E</w:t>
            </w:r>
            <w:r w:rsidRPr="00F528E3">
              <w:rPr>
                <w:color w:val="222222"/>
                <w:sz w:val="20"/>
                <w:szCs w:val="20"/>
                <w:shd w:val="clear" w:color="auto" w:fill="FFFFFF"/>
                <w:lang w:val="en-GB"/>
              </w:rPr>
              <w:t xml:space="preserve">.A. Golovin managed to be remembered as a reformer and facilitator of </w:t>
            </w:r>
            <w:smartTag w:uri="urn:schemas-microsoft-com:office:smarttags" w:element="place">
              <w:r w:rsidRPr="00F528E3">
                <w:rPr>
                  <w:color w:val="222222"/>
                  <w:sz w:val="20"/>
                  <w:szCs w:val="20"/>
                  <w:shd w:val="clear" w:color="auto" w:fill="FFFFFF"/>
                  <w:lang w:val="en-GB"/>
                </w:rPr>
                <w:t>Transcaucasia</w:t>
              </w:r>
            </w:smartTag>
            <w:r w:rsidRPr="00F528E3">
              <w:rPr>
                <w:color w:val="222222"/>
                <w:sz w:val="20"/>
                <w:szCs w:val="20"/>
                <w:shd w:val="clear" w:color="auto" w:fill="FFFFFF"/>
                <w:lang w:val="en-GB"/>
              </w:rPr>
              <w:t xml:space="preserve"> whose numerous initiatives were developed by his successors: M. S. Vorontsov, A. I. Baryatinskiy, Grand Duke Mikhail Nikolaevich and others</w:t>
            </w:r>
          </w:p>
          <w:p w:rsidR="00887F16" w:rsidRPr="00F528E3" w:rsidRDefault="00887F16" w:rsidP="00F528E3">
            <w:pPr>
              <w:spacing w:after="0" w:line="240" w:lineRule="auto"/>
              <w:rPr>
                <w:rFonts w:ascii="Times New Roman" w:hAnsi="Times New Roman" w:cs="Times New Roman"/>
                <w:color w:val="000000"/>
                <w:sz w:val="20"/>
                <w:szCs w:val="20"/>
                <w:lang w:val="en-US" w:eastAsia="ru-RU"/>
              </w:rPr>
            </w:pPr>
          </w:p>
        </w:tc>
      </w:tr>
      <w:tr w:rsidR="00887F16" w:rsidRPr="00361CC3" w:rsidTr="009B3B4A">
        <w:tc>
          <w:tcPr>
            <w:tcW w:w="4534" w:type="dxa"/>
            <w:tcMar>
              <w:top w:w="0" w:type="dxa"/>
              <w:left w:w="49" w:type="dxa"/>
            </w:tcMar>
          </w:tcPr>
          <w:p w:rsidR="00887F16" w:rsidRPr="00361CC3" w:rsidRDefault="00887F16" w:rsidP="00F528E3">
            <w:pPr>
              <w:spacing w:after="0" w:line="240" w:lineRule="auto"/>
              <w:rPr>
                <w:rFonts w:ascii="Times New Roman" w:hAnsi="Times New Roman" w:cs="Times New Roman"/>
                <w:color w:val="000000"/>
                <w:sz w:val="20"/>
                <w:szCs w:val="20"/>
                <w:lang w:eastAsia="ru-RU"/>
              </w:rPr>
            </w:pPr>
            <w:r w:rsidRPr="00361CC3">
              <w:rPr>
                <w:rFonts w:ascii="Times New Roman" w:hAnsi="Times New Roman" w:cs="Times New Roman"/>
                <w:iCs/>
                <w:color w:val="000000"/>
                <w:sz w:val="20"/>
                <w:szCs w:val="20"/>
                <w:lang w:eastAsia="ru-RU"/>
              </w:rPr>
              <w:t>Ключевые слова:</w:t>
            </w:r>
            <w:r w:rsidRPr="00361CC3">
              <w:rPr>
                <w:rFonts w:ascii="Times New Roman" w:hAnsi="Times New Roman" w:cs="Times New Roman"/>
                <w:color w:val="000000"/>
                <w:sz w:val="20"/>
                <w:szCs w:val="20"/>
                <w:lang w:eastAsia="ru-RU"/>
              </w:rPr>
              <w:t xml:space="preserve"> ЗАКАВКАЗСКИЙ КРАЙ, Е.А. ГОЛОВИН, ВОЕННО-АДМИНИСТРАТИВНАЯ СИСТЕМА, РЕФОРМЫ, СУДЕБНЫЕ УЧРЕЖДЕНИЯ, ИНТЕГРАЦИЯ</w:t>
            </w:r>
          </w:p>
        </w:tc>
        <w:tc>
          <w:tcPr>
            <w:tcW w:w="4535" w:type="dxa"/>
            <w:tcMar>
              <w:top w:w="0" w:type="dxa"/>
              <w:left w:w="49" w:type="dxa"/>
              <w:right w:w="57" w:type="dxa"/>
            </w:tcMar>
          </w:tcPr>
          <w:p w:rsidR="00887F16" w:rsidRPr="00361CC3" w:rsidRDefault="00887F16" w:rsidP="00F528E3">
            <w:pPr>
              <w:spacing w:after="0" w:line="240" w:lineRule="auto"/>
              <w:rPr>
                <w:rFonts w:ascii="Times New Roman" w:hAnsi="Times New Roman" w:cs="Times New Roman"/>
                <w:color w:val="000000"/>
                <w:sz w:val="20"/>
                <w:szCs w:val="20"/>
                <w:lang w:val="en-US" w:eastAsia="ru-RU"/>
              </w:rPr>
            </w:pPr>
            <w:r w:rsidRPr="00361CC3">
              <w:rPr>
                <w:rFonts w:ascii="Times New Roman" w:hAnsi="Times New Roman" w:cs="Times New Roman"/>
                <w:iCs/>
                <w:color w:val="000000"/>
                <w:sz w:val="20"/>
                <w:szCs w:val="20"/>
                <w:lang w:val="en-US" w:eastAsia="ru-RU"/>
              </w:rPr>
              <w:t>Keywords</w:t>
            </w:r>
            <w:r>
              <w:rPr>
                <w:rFonts w:ascii="Times New Roman" w:hAnsi="Times New Roman" w:cs="Times New Roman"/>
                <w:iCs/>
                <w:color w:val="000000"/>
                <w:sz w:val="20"/>
                <w:szCs w:val="20"/>
                <w:lang w:val="en-US" w:eastAsia="ru-RU"/>
              </w:rPr>
              <w:t>:</w:t>
            </w:r>
            <w:r w:rsidRPr="00361CC3">
              <w:rPr>
                <w:rFonts w:ascii="Times New Roman" w:hAnsi="Times New Roman" w:cs="Times New Roman"/>
                <w:color w:val="000000"/>
                <w:sz w:val="20"/>
                <w:szCs w:val="20"/>
                <w:lang w:val="en-US" w:eastAsia="ru-RU"/>
              </w:rPr>
              <w:t xml:space="preserve"> ZAKAVKAZKIJ KRAY, E.A. GOLOVIN, MILITARY ADMINISTRATIVE SYSTEM REFORM, JUDICIAL INSTITUTIONS, INTEGRATION</w:t>
            </w:r>
          </w:p>
        </w:tc>
      </w:tr>
    </w:tbl>
    <w:p w:rsidR="00887F16" w:rsidRDefault="00887F16">
      <w:pPr>
        <w:pStyle w:val="western"/>
        <w:spacing w:after="0" w:line="360" w:lineRule="auto"/>
        <w:jc w:val="both"/>
        <w:rPr>
          <w:rFonts w:ascii="Times New Roman" w:hAnsi="Times New Roman"/>
          <w:sz w:val="28"/>
          <w:szCs w:val="28"/>
          <w:lang w:val="en-US"/>
        </w:rPr>
      </w:pPr>
      <w:r w:rsidRPr="00530EE3">
        <w:rPr>
          <w:rFonts w:ascii="Times New Roman" w:hAnsi="Times New Roman"/>
          <w:sz w:val="28"/>
          <w:szCs w:val="28"/>
          <w:lang w:val="en-US"/>
        </w:rPr>
        <w:t xml:space="preserve">         </w:t>
      </w:r>
    </w:p>
    <w:p w:rsidR="00887F16" w:rsidRDefault="00887F16">
      <w:pPr>
        <w:pStyle w:val="western"/>
        <w:spacing w:after="0" w:line="360" w:lineRule="auto"/>
        <w:jc w:val="both"/>
        <w:rPr>
          <w:rFonts w:ascii="Times New Roman" w:hAnsi="Times New Roman"/>
          <w:sz w:val="28"/>
          <w:szCs w:val="28"/>
        </w:rPr>
      </w:pPr>
      <w:r>
        <w:rPr>
          <w:rFonts w:ascii="Times New Roman" w:hAnsi="Times New Roman"/>
          <w:sz w:val="28"/>
          <w:szCs w:val="28"/>
        </w:rPr>
        <w:t>Процесс интеграции Кавказа с Россией носил мирные и силовые формы, результатом которых было включение полиэтничной и поликонфессиональной окраины в общую систему российской государственности. Исторический опыт адаптации новых подданных к условиям жизни в пределах единого государственного пространства важно учитывать при осуществлении современной этнокультурной и социальной политики в регионах. В данной работе предпринята попытка характеристики опыта, связанного с российским управлением в Закавказье в годы управления краем генерала Е.А. Головина в 1838–1842 гг.</w:t>
      </w:r>
    </w:p>
    <w:p w:rsidR="00887F16" w:rsidRDefault="00887F16">
      <w:pPr>
        <w:pStyle w:val="western"/>
        <w:spacing w:after="0" w:line="360" w:lineRule="auto"/>
        <w:ind w:firstLine="601"/>
        <w:jc w:val="both"/>
        <w:rPr>
          <w:rFonts w:ascii="Times New Roman" w:hAnsi="Times New Roman"/>
          <w:sz w:val="28"/>
          <w:szCs w:val="28"/>
        </w:rPr>
      </w:pPr>
      <w:r>
        <w:rPr>
          <w:rFonts w:ascii="Times New Roman" w:hAnsi="Times New Roman"/>
          <w:sz w:val="28"/>
          <w:szCs w:val="28"/>
        </w:rPr>
        <w:t xml:space="preserve">Генерал Е.А. Головин прибыл в Тифлис, когда происходил поворот в политике русского правительства в Закавказье. После вхождения закавказских провинций в результате русско-иранских и русско-турецких войн первой трети </w:t>
      </w:r>
      <w:r>
        <w:rPr>
          <w:rFonts w:ascii="Times New Roman" w:hAnsi="Times New Roman"/>
          <w:sz w:val="28"/>
          <w:szCs w:val="28"/>
          <w:lang w:val="en-US"/>
        </w:rPr>
        <w:t>XIX</w:t>
      </w:r>
      <w:r>
        <w:rPr>
          <w:rFonts w:ascii="Times New Roman" w:hAnsi="Times New Roman"/>
          <w:sz w:val="28"/>
          <w:szCs w:val="28"/>
        </w:rPr>
        <w:t xml:space="preserve"> в. в состав империи становилось очевидным несоответствие введенного в крае разнообразия систем управления новым политическим и экономическим установкам [1]. В </w:t>
      </w:r>
      <w:smartTag w:uri="urn:schemas-microsoft-com:office:smarttags" w:element="place">
        <w:r>
          <w:rPr>
            <w:rFonts w:ascii="Times New Roman" w:hAnsi="Times New Roman"/>
            <w:sz w:val="28"/>
            <w:szCs w:val="28"/>
          </w:rPr>
          <w:t>1837 г</w:t>
        </w:r>
      </w:smartTag>
      <w:r>
        <w:rPr>
          <w:rFonts w:ascii="Times New Roman" w:hAnsi="Times New Roman"/>
          <w:sz w:val="28"/>
          <w:szCs w:val="28"/>
        </w:rPr>
        <w:t xml:space="preserve">. обсуждался проект об устройстве Закавказского края, разработанный членом Государственного совета сенатором П.В. Ганом. Проект предусматривал полную унификацию системы управления в Закавказье с внутрироссийской, русификацию края без учёта этнографических, культурных и социально-экономических особенностей Закавказья, своеобразия в управлении и законодательно-правовой сфере. Вмешательство предшественника Е.А. Головина на посту главы кавказской администрации барона Г.В. Розена сильно затянуло окончательное оформление этого проекта. Успевший познакомиться с местными особенностями, Г.В. Розен выступал против поспешной и радикальной ломки сложившейся системы управления. На все предложения комиссии П.В. Гана о скорейшей унификации с имперской системой управления, барон предлагал «сообразоваться с местными обстоятельствами и понятиями жителей» [2]. </w:t>
      </w:r>
    </w:p>
    <w:p w:rsidR="00887F16" w:rsidRDefault="00887F16">
      <w:pPr>
        <w:pStyle w:val="western"/>
        <w:spacing w:after="0" w:line="360" w:lineRule="auto"/>
        <w:ind w:firstLine="601"/>
        <w:jc w:val="both"/>
        <w:rPr>
          <w:rFonts w:ascii="Times New Roman" w:hAnsi="Times New Roman"/>
          <w:sz w:val="28"/>
          <w:szCs w:val="28"/>
        </w:rPr>
      </w:pPr>
      <w:r>
        <w:rPr>
          <w:rFonts w:ascii="Times New Roman" w:hAnsi="Times New Roman"/>
          <w:sz w:val="28"/>
          <w:szCs w:val="28"/>
        </w:rPr>
        <w:t>Г.В. Розен, в частности, настаивал на сохранении местных судов, основанных на обычном праве [3]. Однако П.В. Ган, доложивший императору о беспорядках и злоупотреблениях на Кавказе, по сути, способствовал увольнению Г.В. Розена с должности. Препятствие к реализации проекта было устранено, а вновь назначенного Главноуправляющего Кавказским краем П.В. Ган в расчёт не брал. Е.А. Головина амбициозный сенатор считал малоопытным и не уверенным в себе администратором, не представлявшим угрозы проекту об устройстве Закавказского края. Когда проект был передан на заключение Е.А. Головину, новый Главноуправляющий Кавказским краем не представил никаких возражений [4].</w:t>
      </w:r>
    </w:p>
    <w:p w:rsidR="00887F16" w:rsidRDefault="00887F16">
      <w:pPr>
        <w:pStyle w:val="western"/>
        <w:spacing w:after="0" w:line="360" w:lineRule="auto"/>
        <w:ind w:firstLine="601"/>
        <w:jc w:val="both"/>
        <w:rPr>
          <w:rFonts w:ascii="Times New Roman" w:hAnsi="Times New Roman"/>
          <w:sz w:val="28"/>
          <w:szCs w:val="28"/>
        </w:rPr>
      </w:pPr>
      <w:r>
        <w:rPr>
          <w:rFonts w:ascii="Times New Roman" w:hAnsi="Times New Roman"/>
          <w:sz w:val="28"/>
          <w:szCs w:val="28"/>
        </w:rPr>
        <w:t xml:space="preserve">Осыпанный наградами П.В. Ган торжествовал победу, но Комитет по устройству Закавказского края не торопился с реализацией его проекта. Только в конце </w:t>
      </w:r>
      <w:smartTag w:uri="urn:schemas-microsoft-com:office:smarttags" w:element="place">
        <w:r>
          <w:rPr>
            <w:rFonts w:ascii="Times New Roman" w:hAnsi="Times New Roman"/>
            <w:sz w:val="28"/>
            <w:szCs w:val="28"/>
          </w:rPr>
          <w:t>1839 г</w:t>
        </w:r>
      </w:smartTag>
      <w:r>
        <w:rPr>
          <w:rFonts w:ascii="Times New Roman" w:hAnsi="Times New Roman"/>
          <w:sz w:val="28"/>
          <w:szCs w:val="28"/>
        </w:rPr>
        <w:t>., воспользовавшись приездом Е.А. Головина в столицу, Комитет возвратил проект П.В. Гану, предложив переделать его совместно с Главноуправляющим Кавказским краем. При этом, с подачи графа П.Д. Кисилёва, Е.Д. Головину и П.В. Гану предлагалось учесть следующие пожелания:</w:t>
      </w:r>
    </w:p>
    <w:p w:rsidR="00887F16" w:rsidRDefault="00887F16">
      <w:pPr>
        <w:pStyle w:val="western"/>
        <w:spacing w:after="0" w:line="360" w:lineRule="auto"/>
        <w:ind w:firstLine="601"/>
        <w:jc w:val="both"/>
        <w:rPr>
          <w:rFonts w:ascii="Times New Roman" w:hAnsi="Times New Roman"/>
          <w:sz w:val="28"/>
          <w:szCs w:val="28"/>
        </w:rPr>
      </w:pPr>
      <w:r>
        <w:rPr>
          <w:rFonts w:ascii="Times New Roman" w:hAnsi="Times New Roman"/>
          <w:sz w:val="28"/>
          <w:szCs w:val="28"/>
        </w:rPr>
        <w:t>1. Дать территориям с мусульманским населением управление, «сходное с существующим» и «применяясь к действительным нуждам и понятиям жителей».</w:t>
      </w:r>
    </w:p>
    <w:p w:rsidR="00887F16" w:rsidRDefault="00887F16">
      <w:pPr>
        <w:pStyle w:val="western"/>
        <w:spacing w:after="0" w:line="360" w:lineRule="auto"/>
        <w:ind w:firstLine="601"/>
        <w:jc w:val="both"/>
        <w:rPr>
          <w:rFonts w:ascii="Times New Roman" w:hAnsi="Times New Roman"/>
          <w:sz w:val="28"/>
          <w:szCs w:val="28"/>
        </w:rPr>
      </w:pPr>
      <w:r>
        <w:rPr>
          <w:rFonts w:ascii="Times New Roman" w:hAnsi="Times New Roman"/>
          <w:sz w:val="28"/>
          <w:szCs w:val="28"/>
        </w:rPr>
        <w:t xml:space="preserve">2. Не торопиться распространять на эти провинции действия имперского законодательства, «предоставив жителям в делах тяжебных разбираться у полицейских властей или в словесных народных судах по своим законам и обычаям». </w:t>
      </w:r>
    </w:p>
    <w:p w:rsidR="00887F16" w:rsidRDefault="00887F16">
      <w:pPr>
        <w:pStyle w:val="western"/>
        <w:spacing w:after="0" w:line="360" w:lineRule="auto"/>
        <w:ind w:firstLine="601"/>
        <w:jc w:val="both"/>
        <w:rPr>
          <w:rFonts w:ascii="Times New Roman" w:hAnsi="Times New Roman"/>
          <w:sz w:val="28"/>
          <w:szCs w:val="28"/>
        </w:rPr>
      </w:pPr>
      <w:r>
        <w:rPr>
          <w:rFonts w:ascii="Times New Roman" w:hAnsi="Times New Roman"/>
          <w:sz w:val="28"/>
          <w:szCs w:val="28"/>
        </w:rPr>
        <w:t>3. В местностях с христианским населением «допустить в делах тяжебных применение грузинских законов и обычаев в пределах крайне необходимых и точно очерченных» [5].</w:t>
      </w:r>
    </w:p>
    <w:p w:rsidR="00887F16" w:rsidRDefault="00887F16">
      <w:pPr>
        <w:pStyle w:val="western"/>
        <w:spacing w:after="0" w:line="360" w:lineRule="auto"/>
        <w:ind w:firstLine="601"/>
        <w:jc w:val="both"/>
        <w:rPr>
          <w:rFonts w:ascii="Times New Roman" w:hAnsi="Times New Roman"/>
          <w:sz w:val="28"/>
          <w:szCs w:val="28"/>
        </w:rPr>
      </w:pPr>
      <w:r>
        <w:rPr>
          <w:rFonts w:ascii="Times New Roman" w:hAnsi="Times New Roman"/>
          <w:sz w:val="28"/>
          <w:szCs w:val="28"/>
        </w:rPr>
        <w:t xml:space="preserve">Однако П.В. Ган и Е.А. Головин настаивали на том, что «неудовольствие вызывают не русские законы, а смешение их с грузинским правом и местными обычаями» [6]. В итоге проект 10 апреля </w:t>
      </w:r>
      <w:smartTag w:uri="urn:schemas-microsoft-com:office:smarttags" w:element="place">
        <w:r>
          <w:rPr>
            <w:rFonts w:ascii="Times New Roman" w:hAnsi="Times New Roman"/>
            <w:sz w:val="28"/>
            <w:szCs w:val="28"/>
          </w:rPr>
          <w:t>1840 г</w:t>
        </w:r>
      </w:smartTag>
      <w:r>
        <w:rPr>
          <w:rFonts w:ascii="Times New Roman" w:hAnsi="Times New Roman"/>
          <w:sz w:val="28"/>
          <w:szCs w:val="28"/>
        </w:rPr>
        <w:t xml:space="preserve">. стал законом. </w:t>
      </w:r>
    </w:p>
    <w:p w:rsidR="00887F16" w:rsidRDefault="00887F16">
      <w:pPr>
        <w:pStyle w:val="western"/>
        <w:spacing w:after="0" w:line="360" w:lineRule="auto"/>
        <w:ind w:firstLine="601"/>
        <w:jc w:val="both"/>
        <w:rPr>
          <w:rFonts w:ascii="Times New Roman" w:hAnsi="Times New Roman"/>
          <w:sz w:val="28"/>
          <w:szCs w:val="28"/>
        </w:rPr>
      </w:pPr>
      <w:r>
        <w:rPr>
          <w:rFonts w:ascii="Times New Roman" w:hAnsi="Times New Roman"/>
          <w:sz w:val="28"/>
          <w:szCs w:val="28"/>
        </w:rPr>
        <w:t xml:space="preserve">Реформа </w:t>
      </w:r>
      <w:smartTag w:uri="urn:schemas-microsoft-com:office:smarttags" w:element="place">
        <w:r>
          <w:rPr>
            <w:rFonts w:ascii="Times New Roman" w:hAnsi="Times New Roman"/>
            <w:sz w:val="28"/>
            <w:szCs w:val="28"/>
          </w:rPr>
          <w:t>1840 г</w:t>
        </w:r>
      </w:smartTag>
      <w:r>
        <w:rPr>
          <w:rFonts w:ascii="Times New Roman" w:hAnsi="Times New Roman"/>
          <w:sz w:val="28"/>
          <w:szCs w:val="28"/>
        </w:rPr>
        <w:t>. существенным образом меняла далёкую от совершенства административно-политическую систему Закавказья. Закавказский край был разделен на две части: «одну губернию, под наименованием Грузино-Имеретинской, и одну область, под наименованием Каспийской» [7]. Грузино-Имеретинская губерния, в которую помимо территорий Восточной Грузии была включена часть азербайджанских и армянских земель с центром в Тифлисе, состояла из 8 уездов и 3 округов. Каспийская область, куда вошла большая часть территории Северного Азербайджана, с центром в г. Шемахе, включала 7 уездов. За Главноуправляющим, назначаемым и увольняемым императором, сохранялось верховное управление Закавкасзким краем с правами генерал-губернатора внутренних губерний. «Главный Начальник всего Закавказского края, – говорилось в Учреждении, – есть Главноуправляющий, заведывающий всеми гражданскими и пограничными делами. Вместе с тем, он есть Председатель Совета Главного Управления и Командир Отдельного Кавказского корпуса» [8]. «По отдаленности и особым обстоятельствам Закавказского края» Главноуправляющий мог отменять «постановления губернских правительствующих мест, на основании общих законов состоявшиеся, и распоряжения свои приводить в исполнение, под личною за все последствия отвественностию, с тем, чтобы о каждом таковом по распорядительной части отступления от общих постановлений или законов, он, Главноуправляющий, непременно доносил Правительствующему Сенату и уведомлял Министров по принадлежности, с изложением причин, побудивших его прибегнуть к таковой мере» [9].</w:t>
      </w:r>
    </w:p>
    <w:p w:rsidR="00887F16" w:rsidRDefault="00887F16">
      <w:pPr>
        <w:pStyle w:val="western"/>
        <w:spacing w:after="0" w:line="360" w:lineRule="auto"/>
        <w:ind w:firstLine="601"/>
        <w:jc w:val="both"/>
        <w:rPr>
          <w:rFonts w:ascii="Times New Roman" w:hAnsi="Times New Roman"/>
          <w:sz w:val="28"/>
          <w:szCs w:val="28"/>
        </w:rPr>
      </w:pPr>
      <w:r>
        <w:rPr>
          <w:rFonts w:ascii="Times New Roman" w:hAnsi="Times New Roman"/>
          <w:sz w:val="28"/>
          <w:szCs w:val="28"/>
        </w:rPr>
        <w:t>Е.А. Головин и П.В. Ган покончили с прежними стремлениями русских властей увязывать российское законодательство с местными правовыми институтами. Никаких грузинских и мусульманских законов Учреждение не признавало. Лишь для бракоразводных и семейных дел оставались шариатские суды. В § 251 Учреждения отмечалось: «Жителям, исповедывающим Магометанскую религию, предоставляется право во всех между ними спорах и тяжбах и в делах семейных по разделу имений, по несогласию родителей с детьми и между супругами, искать удовлетворения и разбираться в духовном суде Шаро или Шариат» [10]. Порядок судопроизводства в Закавказском крае определялся «общими правилами, для судебных дел установленными, с некоторыми лишь изъятиями для сокращения форм и обрядов» [11]. Магальные наибы, диванные беки и другие представители местных привилегированных сословий, которых ранее привлекали в качестве экспертов и помощников, были заменены русскими чиновниками. Вместо магальных наибов вводилась должность участкового заседателя, вместо провинциального комменданта – уездные начальники.</w:t>
      </w:r>
    </w:p>
    <w:p w:rsidR="00887F16" w:rsidRDefault="00887F16">
      <w:pPr>
        <w:pStyle w:val="western"/>
        <w:spacing w:after="0" w:line="360" w:lineRule="auto"/>
        <w:ind w:firstLine="601"/>
        <w:jc w:val="both"/>
        <w:rPr>
          <w:rFonts w:ascii="Times New Roman" w:hAnsi="Times New Roman"/>
          <w:sz w:val="28"/>
          <w:szCs w:val="28"/>
        </w:rPr>
      </w:pPr>
      <w:r>
        <w:rPr>
          <w:rFonts w:ascii="Times New Roman" w:hAnsi="Times New Roman"/>
          <w:sz w:val="28"/>
          <w:szCs w:val="28"/>
        </w:rPr>
        <w:t xml:space="preserve">Во всеподданейшем отчёте от 2 апреля 1841 г. генерала Е.А. Головина и сенатора П.В. Гана о преобразовании Закавказского края говорилось, что до 1 июля 1840 г. «все части, вошедшие в состав Грузино-Имеретинской губернии и Каспийской области» в плане земских повинностей» руководствовались своими частными правилами». Такое разнообразие «естественно порождало беспорядки». В Тифлисе и в Шемахе были открыты Комитеты земских повинностей, которые после тщательного изучения системы налогообложения унифицировали сборы: «Объявления о количестве земского сбора, следующаго с каждого жителя, Комитетом во все селения разосланы и прибиты на стенах церквей, мечетей или домов почётных жителей. Эта мера есть лучшее средство против злоупотреблений, ибо каждый обыватель узнает следующую с него плату и потому может судить о незаконности излишнего требования» [12]. </w:t>
      </w:r>
    </w:p>
    <w:p w:rsidR="00887F16" w:rsidRDefault="00887F16">
      <w:pPr>
        <w:pStyle w:val="western"/>
        <w:spacing w:after="0" w:line="360" w:lineRule="auto"/>
        <w:ind w:firstLine="567"/>
        <w:jc w:val="both"/>
        <w:rPr>
          <w:rFonts w:ascii="Times New Roman" w:hAnsi="Times New Roman"/>
          <w:sz w:val="28"/>
          <w:szCs w:val="28"/>
        </w:rPr>
      </w:pPr>
      <w:r>
        <w:rPr>
          <w:rFonts w:ascii="Times New Roman" w:hAnsi="Times New Roman"/>
          <w:sz w:val="28"/>
          <w:szCs w:val="28"/>
        </w:rPr>
        <w:t xml:space="preserve">В 1840 г. Е.А. Головину «в воздаяние долговременной, ревностной и полезной службы, ознаменованной неусыпными трудами по званию главноуправляющего за-Кавказским краем и непосредственным участием в составлении проекта нового учреждения для управления за-Кавказских наших владений» были пожалованы алмазные знаки Александра Невского. В 1841 г. он за введение этого учреждения был награждён орденом Владимира 1-й ст. [13]. Однако местное население поначалу бойкотировало новые порядки, и прежде всего в области судопроизводства. Выдающийся государственный деятель николаевской эпохи барон М.А. Корф, на глазах которого разворачивалась история с оформлением нового Учреждения об управлении Закавказьем, отметил в своих записках: «Многое на деле оказалось несоответствующим местным нуждам, даже невозможным в исполнении, другое, противное нравам и навыкам жителей возбудило ропот, недоразумения, вящие неустройства; партия приверженцев старого порядка полагала всемерные преграды введению нового, частью из личных видов; определённые после преобразования чиновники выказались, по большей мере, или неспособными, или безнравственными; народу, лишенному прежней азиатской расправы, окутанному неизвестными ему формами, подверженному новым притеснениям, стало ещё хуже и тяжелее, чем когда-либо; наконец, Головин, нерешительный, слабый, игралище партий, вместо решительного рассекателя Гордиевых узлов являлся везде или орудием чужих страстей, или бездейственным зрителем» [14]. </w:t>
      </w:r>
    </w:p>
    <w:p w:rsidR="00887F16" w:rsidRDefault="00887F16">
      <w:pPr>
        <w:pStyle w:val="western"/>
        <w:spacing w:after="0" w:line="360" w:lineRule="auto"/>
        <w:ind w:firstLine="567"/>
        <w:jc w:val="both"/>
        <w:rPr>
          <w:rFonts w:ascii="Times New Roman" w:hAnsi="Times New Roman"/>
          <w:sz w:val="28"/>
          <w:szCs w:val="28"/>
        </w:rPr>
      </w:pPr>
      <w:r>
        <w:rPr>
          <w:rFonts w:ascii="Times New Roman" w:hAnsi="Times New Roman"/>
          <w:sz w:val="28"/>
          <w:szCs w:val="28"/>
        </w:rPr>
        <w:t xml:space="preserve">В этой характеристике обращает на себя внимание явная несправедливость автора воспоминаний. Известно, что М.А. Корф был далеко не бесприсрастен в описании государственных деятелей эпохи Николая </w:t>
      </w:r>
      <w:r>
        <w:rPr>
          <w:rFonts w:ascii="Times New Roman" w:hAnsi="Times New Roman"/>
          <w:sz w:val="28"/>
          <w:szCs w:val="28"/>
          <w:lang w:val="en-US"/>
        </w:rPr>
        <w:t>I</w:t>
      </w:r>
      <w:r>
        <w:rPr>
          <w:rFonts w:ascii="Times New Roman" w:hAnsi="Times New Roman"/>
          <w:sz w:val="28"/>
          <w:szCs w:val="28"/>
        </w:rPr>
        <w:t xml:space="preserve"> [15]. Чувствуется личная неприязнь, когда М.А. Корф перечисляет Е.А. Головина в ряде корпусных командиров как людей посредственных, «или ещё ниже посредственности как в мирное так и в военное время» [16]: здесь он явно несправедлив. Если бы Головин был посредственностью, слабым и нерешительным военачальником и администратором, его бы не назначили на знаковую должность командира Отдельного Кавказского корпуса, он не мог бы усмирить восстание в Самурзаканском округе, не выдержал бы ожесточённого сражения при Аджиахуре, не разгромил Шамиля на Хубарских высотах. По поводу подобных же обвинений в «посредственности» Е.А. Головина на должности генерал-губернатора в Прибалтике граф Д.Н. Толстой писал в 1872 г.: «Не могу также согласиться с тем, чтобы Головин не обладал качествами государственного деятеля; вся Рижская его служба обличает в нём человека с верными широкими воззрениями, а план задуманных им реформ отличается самою здравою внутреннюю политикою» [17].</w:t>
      </w:r>
    </w:p>
    <w:p w:rsidR="00887F16" w:rsidRDefault="00887F16">
      <w:pPr>
        <w:pStyle w:val="western"/>
        <w:spacing w:after="0" w:line="360" w:lineRule="auto"/>
        <w:ind w:firstLine="567"/>
        <w:jc w:val="both"/>
        <w:rPr>
          <w:rFonts w:ascii="Times New Roman" w:hAnsi="Times New Roman"/>
          <w:sz w:val="28"/>
          <w:szCs w:val="28"/>
        </w:rPr>
      </w:pPr>
      <w:r>
        <w:rPr>
          <w:rFonts w:ascii="Times New Roman" w:hAnsi="Times New Roman"/>
          <w:sz w:val="28"/>
          <w:szCs w:val="28"/>
        </w:rPr>
        <w:t xml:space="preserve">Тем не менее, во многом на основании свидетельств М.А. Корфа в дореволюционной историографии сложилось мнение, что реформа административно-политической системы в Закавказье 1840 г. полностью провалилась. Кавказовед Е.Г. Вейденбаум называл её «печальной памяти реформа» [18], а В.Н. Иваненко отметил: «Не прошло и четырех лет, как архитектурное здание гражданского управления, воздвигнутое Ганом без всякого внимания к местным условиям, превратилась в груду развалин» [19]. Нам представляется, что реформу Гана и Головина следует рассматривать в свете концепции догоняющей модернизации: болезненная, как и многие подобные преобразования для современников, она была нацелена на перспективу, на ликвидацию правовых границ между имперским центром и окраинами. С этой реформы началось введение общероссийской системы управления в Закавказье. Мы солидарны здесь с позицией, высказанной в отношении реформы современными историками-кавказоведами Л.С. Гатаговой и Д.И. Исмаил-Заде: «Неизбежность этого вполне очевидна, ведь «слияние» окраин с метрополией было невозможно без единой административно-политической системы в контексте имперской модели управления» [20]. </w:t>
      </w:r>
    </w:p>
    <w:p w:rsidR="00887F16" w:rsidRDefault="00887F16">
      <w:pPr>
        <w:pStyle w:val="western"/>
        <w:spacing w:after="0" w:line="360" w:lineRule="auto"/>
        <w:ind w:firstLine="567"/>
        <w:jc w:val="both"/>
        <w:rPr>
          <w:rFonts w:ascii="Times New Roman" w:hAnsi="Times New Roman"/>
          <w:sz w:val="28"/>
          <w:szCs w:val="28"/>
        </w:rPr>
      </w:pPr>
      <w:r>
        <w:rPr>
          <w:rFonts w:ascii="Times New Roman" w:hAnsi="Times New Roman"/>
          <w:sz w:val="28"/>
          <w:szCs w:val="28"/>
        </w:rPr>
        <w:t>Одним из главных аргументов сторонников версии о провале реформы 1840 г. являются факты широкого протеста против её реализации в начале 1840-х гг. В.Н. Иваненко отмечал: «Новое учреждение вызвало всеобщий ропот: жаловался народ, жаловались чиновники, жаловался и приходил в отчаяние сам Головин. Страшный формализм опутал всю правительственную систему – никто не смел подать просьбу даже уездному начальнику, минуя участкового заседателя. В Гурии вспыхнул бунт; в Осетии и Белоканах произошли волнения; повсюду появились разбойничьи шайки. Явный разбойник выходил из суда оправданным, по неимению формальных, предустановленных законом, доказательств. Народ как будто сговорился не выдавать  своих преступников, прибегая к лжесвидетельству и к подкупу судей. Оправданных было приказано держать в тюрьмах, в явную насмешку над затейливой и тонко-придуманной судебной реформой» [21].</w:t>
      </w:r>
    </w:p>
    <w:p w:rsidR="00887F16" w:rsidRDefault="00887F16">
      <w:pPr>
        <w:pStyle w:val="western"/>
        <w:spacing w:after="0" w:line="360" w:lineRule="auto"/>
        <w:ind w:firstLine="567"/>
        <w:jc w:val="both"/>
        <w:rPr>
          <w:rFonts w:ascii="Times New Roman" w:hAnsi="Times New Roman"/>
          <w:sz w:val="28"/>
          <w:szCs w:val="28"/>
        </w:rPr>
      </w:pPr>
      <w:r>
        <w:rPr>
          <w:rFonts w:ascii="Times New Roman" w:hAnsi="Times New Roman"/>
          <w:sz w:val="28"/>
          <w:szCs w:val="28"/>
        </w:rPr>
        <w:t>Наиболее показательной реакцией на новое Учреждение считается Гурийское восстание 1841 г.</w:t>
      </w:r>
      <w:r>
        <w:rPr>
          <w:sz w:val="28"/>
          <w:szCs w:val="28"/>
        </w:rPr>
        <w:t xml:space="preserve"> </w:t>
      </w:r>
      <w:r>
        <w:rPr>
          <w:rFonts w:ascii="Times New Roman" w:hAnsi="Times New Roman"/>
          <w:sz w:val="28"/>
          <w:szCs w:val="28"/>
        </w:rPr>
        <w:t>Поводом послужило введение в Гурии денежной системы обложения. Восстание, начавшееся 22 мая, скоро охватило всю Гурию. Крестьяне отказывались платить казённые подати. Повстанцы (более 7 тыс чел.) захватили все</w:t>
      </w:r>
      <w:r>
        <w:rPr>
          <w:rFonts w:ascii="Times New Roman" w:hAnsi="Times New Roman"/>
          <w:b/>
          <w:bCs/>
          <w:sz w:val="28"/>
          <w:szCs w:val="28"/>
        </w:rPr>
        <w:t xml:space="preserve"> </w:t>
      </w:r>
      <w:r>
        <w:rPr>
          <w:rFonts w:ascii="Times New Roman" w:hAnsi="Times New Roman"/>
          <w:sz w:val="28"/>
          <w:szCs w:val="28"/>
        </w:rPr>
        <w:t xml:space="preserve">укреплённые места Гурии. 9 августа 1841 г. при деревне Гогорети они заставили отступить отряд полковника Брусилова [22]. В крае за исключением Озургети власть помещиков и чиновников фактически была ликвидирована и правление сосредоточилось в руках «Главного штаба» руководившего восстанием. Несмотря на эти успехи в конце сентября Гурийское восстание было подавлено силами кавказских войск и местных ополчений. </w:t>
      </w:r>
    </w:p>
    <w:p w:rsidR="00887F16" w:rsidRDefault="00887F16">
      <w:pPr>
        <w:pStyle w:val="western"/>
        <w:spacing w:after="0" w:line="360" w:lineRule="auto"/>
        <w:ind w:firstLine="567"/>
        <w:jc w:val="both"/>
        <w:rPr>
          <w:rFonts w:ascii="Times New Roman" w:hAnsi="Times New Roman"/>
          <w:sz w:val="28"/>
          <w:szCs w:val="28"/>
        </w:rPr>
      </w:pPr>
      <w:r>
        <w:rPr>
          <w:rFonts w:ascii="Times New Roman" w:hAnsi="Times New Roman"/>
          <w:sz w:val="28"/>
          <w:szCs w:val="28"/>
        </w:rPr>
        <w:t>Исследователи, занимавшиеся изучением Гурийского восстания традиционно обличали колониальную политику царизма, национальный и помещичий гнёт гурийцев, однако мало кто обращал внимание на результаты расследования, проведённого Е.А. Головиным после мятежа. В рапорте военному министру А.И. Чернышеву 26 октября 1841 г. Е.А. Головин сообщал, что «по окончании военных действий в Дагестане» он отправился «в Кутаис для личного обозрения дел по возникшим там беспорядкам» [23]. Командир Отдельного Кавказского корпуса установил, «что все крестьяне Саабекского участка Кутаисского уезда, раскаявшись в безрассудстве своём, не только внесли всю следующую с них в земскую повинность денежную сумму; но даже большая часть из виновных и самые подстрекатели к неповиновению, по призыву правительства, находятся ныне в составе Имеретинской милиции, собранной для наказания бунтующих Гурийцев» [24].</w:t>
      </w:r>
    </w:p>
    <w:p w:rsidR="00887F16" w:rsidRDefault="00887F16">
      <w:pPr>
        <w:pStyle w:val="western"/>
        <w:spacing w:after="0" w:line="360" w:lineRule="auto"/>
        <w:ind w:firstLine="567"/>
        <w:jc w:val="both"/>
        <w:rPr>
          <w:rFonts w:ascii="Times New Roman" w:hAnsi="Times New Roman"/>
          <w:sz w:val="28"/>
          <w:szCs w:val="28"/>
        </w:rPr>
      </w:pPr>
      <w:r>
        <w:rPr>
          <w:rFonts w:ascii="Times New Roman" w:hAnsi="Times New Roman"/>
          <w:sz w:val="28"/>
          <w:szCs w:val="28"/>
        </w:rPr>
        <w:t>Е.А. Головин «вполне убедился, что возложенная на них денежная земская повинность нисколько не обременительна». Командующий приказал генерал-майору Каханову «не приступать уже к следствию, ибо производство следствия в настоящее время может возродить новые неудовольствия, а возвратиться в Тифлис» [25]. Наказание участников выступления было относительно мягким. Жителей Саабекского участка, пишет Е.А. Головин, заслуживших некоторым образом снисхождение к своему невежеству и неведению законов, я отставил от суда и следствия свободными, поручив Кутаисскому уездному начальнику внушить им, чтобы они впредь не осмеливались уклоняться от исполнения требования начальства и чтобы теперешний свой поступок загладили усердием» [26]. Лишь «главнейших виновников и подстрекателей Саабекского участка, крестьян Рамаза и Сехниа Двалишвили, дерзнувших явиться вооружёнными к своему начальству, оказать земской власти ослушание и участвовать в преступной богопротивной присяге, приказал я наказать в своём селении каждого по сто ударов розгами и, водворив на прежнем месте жительства, внушить им и их односельцам, что подобных беспорядков я не буду прощать, если они опять впадут в пагубное для них преступление. Собственно-же в Гурии жители ещё до моего прибытия в Кутаис, при движении наших войск к Озургетам, разошлись по своим селениям» [27].</w:t>
      </w:r>
    </w:p>
    <w:p w:rsidR="00887F16" w:rsidRDefault="00887F16">
      <w:pPr>
        <w:pStyle w:val="western"/>
        <w:spacing w:after="0" w:line="360" w:lineRule="auto"/>
        <w:ind w:firstLine="567"/>
        <w:jc w:val="both"/>
        <w:rPr>
          <w:rFonts w:ascii="Times New Roman" w:hAnsi="Times New Roman"/>
          <w:sz w:val="28"/>
          <w:szCs w:val="28"/>
        </w:rPr>
      </w:pPr>
      <w:r>
        <w:rPr>
          <w:rFonts w:ascii="Times New Roman" w:hAnsi="Times New Roman"/>
          <w:sz w:val="28"/>
          <w:szCs w:val="28"/>
        </w:rPr>
        <w:t xml:space="preserve">Движение отряда князя Аргутинского в Гурии, сообщал Е.А. Головин военному министру 7 октября 1841 г., было «совершено благополучно, и не только без сопротивления жителей, но даже с некоторою помощью при разработке дорог, что было исполнено ими по первому приказанию» [28]. 17 октября 1841 г. графу Строганову Е.А. Головин писал: «Спокойствие между жителями водворилось; они обратились к своим занятиям и обязанностям, и земская власть возъимела своё действие в надлежащей силе» [29]. Впоследствие Е.А. Головин утвердил приговор суда над участниками восстания, согласно которому 34 человека были приговорены, в зависимости от степени вины, к наказанию шпирутенами, направлению в арестантские роты и на каторжные работы в Сибирь, прочие были «освобождены от всякого наказания и отданы на поручительство» [30]. Если принять во внимание, что в мятеже принимали участие до 7 тыс. человек, а в результате нападений на русские укрепления и в стычках с войсками были жертвы со стороны солдат и казаков, мера наказания была сравнительно мягкой. </w:t>
      </w:r>
    </w:p>
    <w:p w:rsidR="00887F16" w:rsidRDefault="00887F16">
      <w:pPr>
        <w:pStyle w:val="western"/>
        <w:spacing w:after="0" w:line="360" w:lineRule="auto"/>
        <w:ind w:firstLine="567"/>
        <w:jc w:val="both"/>
        <w:rPr>
          <w:rFonts w:ascii="Times New Roman" w:hAnsi="Times New Roman"/>
          <w:sz w:val="28"/>
          <w:szCs w:val="28"/>
        </w:rPr>
      </w:pPr>
      <w:r>
        <w:rPr>
          <w:rFonts w:ascii="Times New Roman" w:hAnsi="Times New Roman"/>
          <w:sz w:val="28"/>
          <w:szCs w:val="28"/>
        </w:rPr>
        <w:t>Не последнюю роль в восстании сыграл внешний фактор. Е.А. Головин сообщал военному министру 19 сентября 1841 г. на основании донесений генерала Коцебу: «О действительных  причинах к восстанию расспространились различные мнения. Не подлежит, однако-же, никакому сомнению, что к первоначальному непослушанию и рассеянию нелепых слухов дало повод введение нового порядка управления и сбора податей, коим воспользовались злонамеренные люди к ложному распространению видов правительства и к вредным внушениям о наборе рекрутском, о постепенном ежегодном увеличении подати и т.д. Партия этих людей увеличилась освобождением по всемилостивейшему манифесту некоторых преступников. Нет сомнения также, что в подстрекательствах подобных участвовали и заграничные турки, а может статься, и другие иностранцы, ищущие возбудить беспокойства в Закавказских наших провинциях и тем более и более затруднить правительство» [31]. Под «другими» неназванными иностранцами подразумевались англичане. В Батуме сидел английский вице-консул Фридрих Гаррачино. Он помог получить повстанцам военное снаряжение и боеприпасы из Трапезунта. Грузинский советский историк Г. Хачапуридзе справедливо отмечал: «Благодаря именно этой помощи гурийские повстанцы оказались достаточно снабжены оружием, порохом, свинцом; поэтому они могли повести решительное наступление против регулярных русских войск, мегрельской и имеретинской милиции. Надежда на внешнюю иностранную помощь и наличие среди повстанцев турецких вооружённых лиц безусловно способствовали подъему настроения среди восставших и давали им веру в возможность выйти из борьбы победителями» [32].</w:t>
      </w:r>
    </w:p>
    <w:p w:rsidR="00887F16" w:rsidRDefault="00887F16">
      <w:pPr>
        <w:pStyle w:val="western"/>
        <w:spacing w:after="0" w:line="360" w:lineRule="auto"/>
        <w:ind w:firstLine="567"/>
        <w:jc w:val="both"/>
        <w:rPr>
          <w:rFonts w:ascii="Times New Roman" w:hAnsi="Times New Roman"/>
          <w:sz w:val="28"/>
          <w:szCs w:val="28"/>
        </w:rPr>
      </w:pPr>
      <w:r>
        <w:rPr>
          <w:rFonts w:ascii="Times New Roman" w:hAnsi="Times New Roman"/>
          <w:sz w:val="28"/>
          <w:szCs w:val="28"/>
        </w:rPr>
        <w:t>Таким образом, протестное движение начала 1840-х нельзя связывать лишь с реформой Гана-Головина, здесь были задействованы многие внутренние и внешние факторы, осложнявшие интеграцию Закавказья в пространство Российской империи, процессы трансформации традиционных обществ в условиях неизбежной модернизации этой национальной окраины.</w:t>
      </w:r>
    </w:p>
    <w:p w:rsidR="00887F16" w:rsidRDefault="00887F16">
      <w:pPr>
        <w:pStyle w:val="western"/>
        <w:spacing w:after="0" w:line="360" w:lineRule="auto"/>
        <w:ind w:firstLine="601"/>
        <w:jc w:val="both"/>
        <w:rPr>
          <w:rFonts w:ascii="Times New Roman" w:hAnsi="Times New Roman"/>
          <w:sz w:val="28"/>
          <w:szCs w:val="28"/>
        </w:rPr>
      </w:pPr>
      <w:r>
        <w:rPr>
          <w:rFonts w:ascii="Times New Roman" w:hAnsi="Times New Roman"/>
          <w:sz w:val="28"/>
          <w:szCs w:val="28"/>
        </w:rPr>
        <w:t xml:space="preserve">В 1842 г. император Николай </w:t>
      </w:r>
      <w:r>
        <w:rPr>
          <w:rFonts w:ascii="Times New Roman" w:hAnsi="Times New Roman"/>
          <w:sz w:val="28"/>
          <w:szCs w:val="28"/>
          <w:lang w:val="en-US"/>
        </w:rPr>
        <w:t>I</w:t>
      </w:r>
      <w:r>
        <w:rPr>
          <w:rFonts w:ascii="Times New Roman" w:hAnsi="Times New Roman"/>
          <w:sz w:val="28"/>
          <w:szCs w:val="28"/>
        </w:rPr>
        <w:t xml:space="preserve"> послал в Закавказье комиссию военного министра князя А.И. Чернышева и статс-секретаря М.П. Позена. В это время Е.А. Головин, М.П. Позен и А.И. Чернышев были завалены просьбами о расширении судебной власти полицейских начальников и об учреждении постоянных судов для решения споров и тяжб не по российским законам, а по местным обычаям. Уступая этим просьбам, А.И. Чернышев приказал уездным судам решать все тяжебные дела на сумму до 200 руб. «без переноса на высшую инстанцию», а Е.А. Головину предложил заняться вопросом об учреждении словесных расправ по выбору жителей «для разбора по местным обычаям» [33] Комиссия после завершения поездки рекомендовала усовершенствовать систему управления краем. М.П. Позен в докладе императору пришёл к выводу, что народы, населяющие Закавказье, столь различны, что к ним не следовало применять однообразный порядок управления и суда. «Единство, – заключал М.П. Позен, – должно заключаться в единстве власти и в единстве цели, но отнюдь не в единстве средств, приводящих к той цели» [34]. В итоге Николай </w:t>
      </w:r>
      <w:r>
        <w:rPr>
          <w:rFonts w:ascii="Times New Roman" w:hAnsi="Times New Roman"/>
          <w:sz w:val="28"/>
          <w:szCs w:val="28"/>
          <w:lang w:val="en-US"/>
        </w:rPr>
        <w:t>I</w:t>
      </w:r>
      <w:r>
        <w:rPr>
          <w:rFonts w:ascii="Times New Roman" w:hAnsi="Times New Roman"/>
          <w:sz w:val="28"/>
          <w:szCs w:val="28"/>
        </w:rPr>
        <w:t xml:space="preserve"> обвинил П.В. Гана в обмане правительства: «Кроме Гана никто не видел и не знал местности. Одних, кто их знал, – Ермолова и Паскевича – тут не было. Ещё виню я и себя; но мне умели представить это в таком виде, что я вдался в обман» [35]. Косвенным образом это сказалось и на отозвании с Кавказа Е.А Головина, хотя император принял во внимание значительный вклад Главноуправляющего в укреплении российского влияния в крае. В рескрипте 10 октября 1842 г. об увольнении Е.А. Головина «по расстроенному здоровью» Николай </w:t>
      </w:r>
      <w:r>
        <w:rPr>
          <w:rFonts w:ascii="Times New Roman" w:hAnsi="Times New Roman"/>
          <w:sz w:val="28"/>
          <w:szCs w:val="28"/>
          <w:lang w:val="en-US"/>
        </w:rPr>
        <w:t>I</w:t>
      </w:r>
      <w:r>
        <w:rPr>
          <w:rFonts w:ascii="Times New Roman" w:hAnsi="Times New Roman"/>
          <w:sz w:val="28"/>
          <w:szCs w:val="28"/>
        </w:rPr>
        <w:t xml:space="preserve"> отмечал: «Отдавая всегда справедливость </w:t>
      </w:r>
      <w:r w:rsidRPr="00530EE3">
        <w:rPr>
          <w:rFonts w:ascii="Times New Roman" w:hAnsi="Times New Roman"/>
          <w:sz w:val="28"/>
          <w:szCs w:val="28"/>
        </w:rPr>
        <w:t>вашим</w:t>
      </w:r>
      <w:r>
        <w:rPr>
          <w:rFonts w:ascii="Times New Roman" w:hAnsi="Times New Roman"/>
          <w:sz w:val="28"/>
          <w:szCs w:val="28"/>
        </w:rPr>
        <w:t xml:space="preserve"> личным трудам и благонамеренности, Я с удовольствием слышал отзыв военного министра о том отличном усердии, с коим вы содействовали всеми зависевшими от вас средствами к успешному выполнению возложенного на него поручения в Закавказском крае. Мне приятно было также удостовериться, что во время вашего управления, войска Отдельного Кавказского Корпуса оказали значительные успехи в отношении внутреннего устройства и воинского образования; и что распоряжения, в последнее время по военной части сделанныя, оправдали вполне основательность предпринятых мер и должны послужить к прочному утверждению спокойствия и порядка в тамошнем крае. Относя исполнение сего к попечительности вашей и постоянному стремлению довести все части оного сложного управления, которое было вам вверено, до лучшего устройства, изъявляю вам особенное Моё благоволение» [36].</w:t>
      </w:r>
    </w:p>
    <w:p w:rsidR="00887F16" w:rsidRDefault="00887F16">
      <w:pPr>
        <w:pStyle w:val="western"/>
        <w:spacing w:after="0" w:line="360" w:lineRule="auto"/>
        <w:ind w:firstLine="601"/>
        <w:jc w:val="both"/>
        <w:rPr>
          <w:rFonts w:ascii="Times New Roman" w:hAnsi="Times New Roman"/>
          <w:sz w:val="28"/>
          <w:szCs w:val="28"/>
        </w:rPr>
      </w:pPr>
      <w:r>
        <w:rPr>
          <w:rFonts w:ascii="Times New Roman" w:hAnsi="Times New Roman"/>
          <w:sz w:val="28"/>
          <w:szCs w:val="28"/>
        </w:rPr>
        <w:t xml:space="preserve">Сам Е.А. Головин поначалу почитал реформу 1840 г. «даром небес, ниспосланным для счастья Грузии» [37]. Однако, натолкнувшись на многочисленные жалобы и прямое сопротивление преобразованиям, он, в отличие от П.В. Гана, честно доносил в Петербург «о неудобствах нового устройства» [38]. При этом Е.А. Головин полагал, что эти «неудобства» «суть более общие для всего края, нежели местные для некоторых его частей; что неудобства сии не обнаруживались, однако, дотоле такими явлениями, которые бы требовали мер чрезвычайных, и что сущность их заключается в умножении числа чиновников, в ограничении власти полицейского разбора и в многосложности и неопределенности форм» [39]. </w:t>
      </w:r>
    </w:p>
    <w:p w:rsidR="00887F16" w:rsidRDefault="00887F16">
      <w:pPr>
        <w:pStyle w:val="western"/>
        <w:spacing w:after="0" w:line="360" w:lineRule="auto"/>
        <w:ind w:firstLine="601"/>
        <w:jc w:val="both"/>
        <w:rPr>
          <w:rFonts w:ascii="Times New Roman" w:hAnsi="Times New Roman"/>
          <w:sz w:val="28"/>
          <w:szCs w:val="28"/>
        </w:rPr>
      </w:pPr>
      <w:r>
        <w:rPr>
          <w:rFonts w:ascii="Times New Roman" w:hAnsi="Times New Roman"/>
          <w:sz w:val="28"/>
          <w:szCs w:val="28"/>
        </w:rPr>
        <w:t>После своего удаления с Кавказа Е.А. Головин позволял себе критические высказывания о реформе 1840 г. А.П. Ермолов писал в феврале 1846 г., что Е.А. Головин «был в знаменитую эпоху законодательства Гана, вспомоществовал ему и после разрушал его сотворение. Он резко доказывает нелепость их» [40]. Возможно, в перемену оценок реформы вмешались личные отношения. П.В. Ган, по свидетельству М.А. Корфа, стремился «сделаться не блюстителем над Головиным, а, с переменою фрака на военный мундир, полным его преемником &lt;…&gt; Прежнее пребывание его за Кавказом не обошлось и без разных неприятных личностей с Головиным: они при расставании окончились, правда, наружной мировой, но Головин никогда не мог забыть, что Ган отправлен был при нем в качестве пестуна, и вскоре после его отъезда, подстрекаемый еще и другими, явно поднял забрало» [41].</w:t>
      </w:r>
    </w:p>
    <w:p w:rsidR="00887F16" w:rsidRDefault="00887F16">
      <w:pPr>
        <w:pStyle w:val="western"/>
        <w:spacing w:after="0" w:line="360" w:lineRule="auto"/>
        <w:ind w:firstLine="601"/>
        <w:jc w:val="both"/>
        <w:rPr>
          <w:rFonts w:ascii="Times New Roman" w:hAnsi="Times New Roman"/>
          <w:sz w:val="28"/>
          <w:szCs w:val="28"/>
        </w:rPr>
      </w:pPr>
      <w:r>
        <w:rPr>
          <w:rFonts w:ascii="Times New Roman" w:hAnsi="Times New Roman"/>
          <w:sz w:val="28"/>
          <w:szCs w:val="28"/>
        </w:rPr>
        <w:t>А.П. Ермолов считал, что своей постоянной опекой Петербург связывал руки Е.А. Головину. «Жаль бы мне было, – писал А.П. Ермолов М.С. Воронцову, – если бы ты думал, что о Головине позволяю я себе быть невыгодного мнения. Я признаю в нём большим преимуществом то, что ему известны цели и намерения правительства, которое до твоего назначения полномочным представителем, руководило каждым действием бессильных твоих предместников» [42].</w:t>
      </w:r>
    </w:p>
    <w:p w:rsidR="00887F16" w:rsidRDefault="00887F16">
      <w:pPr>
        <w:pStyle w:val="western"/>
        <w:spacing w:after="0" w:line="360" w:lineRule="auto"/>
        <w:ind w:firstLine="601"/>
        <w:jc w:val="both"/>
        <w:rPr>
          <w:rFonts w:ascii="Times New Roman" w:hAnsi="Times New Roman"/>
          <w:sz w:val="28"/>
          <w:szCs w:val="28"/>
        </w:rPr>
      </w:pPr>
      <w:r>
        <w:rPr>
          <w:rFonts w:ascii="Times New Roman" w:hAnsi="Times New Roman"/>
          <w:sz w:val="28"/>
          <w:szCs w:val="28"/>
        </w:rPr>
        <w:t>Многие его преобразования в Закавказье оценили по достоинству уже после того, как Евгений Александрович покинул край. В местной газете в 1846 г. отмечалось: «Тифлис шёл быстро вперёд &lt;…&gt; в управление Генерала Головина, он образовался совершенно Европейским городом. На пустырях везде стали строиться большие на Европейский лад дома, многие улицы покрылись мостовыми, тротуары спасли тысячи пешеходов от неудовольствия тонуть в грязи, бассейны с чистой горной водой появились во многих местах, магазины и лавки улучшились, и этот город с 52 тысячами жителей, с красивыми зданиями, с живописным местоположением, и наконец с оригинальною смесью Востока и Запада, стал одним из любопытнейших и обширнейших городов России. Генерал Головин, как истинно Русский сановник, любил жить по-барски, открыто, хлебосольно, в его доме собиралось всё лучшее здешнее общество и все принимались с тем радушием и приветливостью, которые невольно возбуждали во всех признательность и оставили по себе благодарное воспоминание» [43].</w:t>
      </w:r>
    </w:p>
    <w:p w:rsidR="00887F16" w:rsidRDefault="00887F16">
      <w:pPr>
        <w:pStyle w:val="western"/>
        <w:spacing w:after="0" w:line="360" w:lineRule="auto"/>
        <w:ind w:firstLine="601"/>
        <w:jc w:val="both"/>
        <w:rPr>
          <w:rFonts w:ascii="Times New Roman" w:hAnsi="Times New Roman"/>
          <w:sz w:val="28"/>
          <w:szCs w:val="28"/>
        </w:rPr>
      </w:pPr>
      <w:r>
        <w:rPr>
          <w:rFonts w:ascii="Times New Roman" w:hAnsi="Times New Roman"/>
          <w:sz w:val="28"/>
          <w:szCs w:val="28"/>
        </w:rPr>
        <w:t>Таким образом, предварительный анализ деятельности Е.А. Головина в Закавказье не даёт повода для крайних негативных или идеализирующих Главноуправляющего оценок. Будучи русским патриотом и стремясь поначалу сделать Кавказ российским по духу и правовым институтам, Головин постепенно познавал местные особенности, и в конце своего управления регионом старался совместить метропольные традиции с окраинными. Вместе с модернизацией края менялся и сам командующий Отдельным Кавказским корпусом. Имперская бюрократическая система, в которой приходилось работать этому незаурядному государственному деятелю и военачальнику, диктовала определённые нормы управления, которые оставляли мало места для творческого подхода к местной политике. Тем не менее, Е.А. Головину удалось оставить о себе память в Закавказье как о преобразователе, созидателе и устроителе края, многие начинания которого были продолжены его наследниками – М.С. Воронцовым, А.И. Барятинским, Великим князем Михаилом Николаевичем и др.</w:t>
      </w:r>
    </w:p>
    <w:p w:rsidR="00887F16" w:rsidRDefault="00887F16">
      <w:pPr>
        <w:pStyle w:val="western"/>
        <w:spacing w:after="0" w:line="360" w:lineRule="auto"/>
        <w:ind w:firstLine="601"/>
        <w:jc w:val="both"/>
        <w:rPr>
          <w:rFonts w:ascii="Times New Roman" w:hAnsi="Times New Roman"/>
          <w:sz w:val="28"/>
          <w:szCs w:val="28"/>
        </w:rPr>
      </w:pPr>
    </w:p>
    <w:p w:rsidR="00887F16" w:rsidRDefault="00887F16" w:rsidP="00D95EBA">
      <w:pPr>
        <w:pStyle w:val="western"/>
        <w:spacing w:after="0" w:line="360" w:lineRule="auto"/>
        <w:ind w:firstLine="567"/>
        <w:jc w:val="both"/>
        <w:rPr>
          <w:rFonts w:ascii="Times New Roman" w:hAnsi="Times New Roman"/>
          <w:b/>
          <w:bCs/>
          <w:sz w:val="24"/>
          <w:szCs w:val="24"/>
        </w:rPr>
      </w:pPr>
      <w:r>
        <w:rPr>
          <w:rFonts w:ascii="Times New Roman" w:hAnsi="Times New Roman"/>
          <w:b/>
          <w:bCs/>
          <w:sz w:val="24"/>
          <w:szCs w:val="24"/>
        </w:rPr>
        <w:t>Литература</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1. Национальные окраины Российской империи: становление и развитие системы управления / </w:t>
      </w:r>
      <w:r>
        <w:rPr>
          <w:rFonts w:ascii="Times New Roman" w:hAnsi="Times New Roman"/>
          <w:i/>
          <w:iCs/>
          <w:sz w:val="24"/>
          <w:szCs w:val="24"/>
        </w:rPr>
        <w:t>Отв. ред. С.Г. Агаджанов, В.В. Трепавлов.</w:t>
      </w:r>
      <w:r>
        <w:rPr>
          <w:rFonts w:ascii="Times New Roman" w:hAnsi="Times New Roman"/>
          <w:sz w:val="24"/>
          <w:szCs w:val="24"/>
        </w:rPr>
        <w:t xml:space="preserve"> М., 1998. С. 261.</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2. Акты, собранные Кавказскою археографическою комиссией (АКАК): В 12 т. Тифлис, 1881. Т. </w:t>
      </w:r>
      <w:r>
        <w:rPr>
          <w:rFonts w:ascii="Times New Roman" w:hAnsi="Times New Roman"/>
          <w:sz w:val="24"/>
          <w:szCs w:val="24"/>
          <w:lang w:val="en-US"/>
        </w:rPr>
        <w:t>VIII</w:t>
      </w:r>
      <w:r>
        <w:rPr>
          <w:rFonts w:ascii="Times New Roman" w:hAnsi="Times New Roman"/>
          <w:sz w:val="24"/>
          <w:szCs w:val="24"/>
        </w:rPr>
        <w:t>. № 58. С. 79.</w:t>
      </w:r>
    </w:p>
    <w:p w:rsidR="00887F16" w:rsidRDefault="00887F16">
      <w:pPr>
        <w:pStyle w:val="sdfootnote-western"/>
        <w:ind w:firstLine="567"/>
        <w:jc w:val="both"/>
        <w:rPr>
          <w:rFonts w:ascii="Times New Roman" w:hAnsi="Times New Roman"/>
          <w:sz w:val="24"/>
          <w:szCs w:val="24"/>
        </w:rPr>
      </w:pPr>
      <w:r>
        <w:rPr>
          <w:sz w:val="24"/>
          <w:szCs w:val="24"/>
        </w:rPr>
        <w:t xml:space="preserve">3. </w:t>
      </w:r>
      <w:r>
        <w:rPr>
          <w:rFonts w:ascii="Times New Roman" w:hAnsi="Times New Roman"/>
          <w:sz w:val="24"/>
          <w:szCs w:val="24"/>
        </w:rPr>
        <w:t>Национальные окраины Российской империи. С. 262.</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4.</w:t>
      </w:r>
      <w:r>
        <w:rPr>
          <w:rFonts w:ascii="Times New Roman" w:hAnsi="Times New Roman"/>
          <w:i/>
          <w:iCs/>
          <w:sz w:val="24"/>
          <w:szCs w:val="24"/>
        </w:rPr>
        <w:t xml:space="preserve"> Иваненко В.Н.</w:t>
      </w:r>
      <w:r>
        <w:rPr>
          <w:rFonts w:ascii="Times New Roman" w:hAnsi="Times New Roman"/>
          <w:sz w:val="24"/>
          <w:szCs w:val="24"/>
        </w:rPr>
        <w:t xml:space="preserve"> Гражданское управление Закавказьем от присоединения Грузии до наместничества Великого князя Михаила Николаевича. Исторический очерк. </w:t>
      </w:r>
      <w:r>
        <w:rPr>
          <w:rFonts w:ascii="Times New Roman" w:hAnsi="Times New Roman"/>
          <w:i/>
          <w:iCs/>
          <w:sz w:val="24"/>
          <w:szCs w:val="24"/>
        </w:rPr>
        <w:t>Составил по поручению Военно-исторического отдела В.Н. Иваненко</w:t>
      </w:r>
      <w:r>
        <w:rPr>
          <w:rFonts w:ascii="Times New Roman" w:hAnsi="Times New Roman"/>
          <w:sz w:val="24"/>
          <w:szCs w:val="24"/>
        </w:rPr>
        <w:t xml:space="preserve"> // Утверждение русского владычества на Кавказе / </w:t>
      </w:r>
      <w:r>
        <w:rPr>
          <w:rFonts w:ascii="Times New Roman" w:hAnsi="Times New Roman"/>
          <w:i/>
          <w:iCs/>
          <w:sz w:val="24"/>
          <w:szCs w:val="24"/>
        </w:rPr>
        <w:t>Под ред. В.А. Потто</w:t>
      </w:r>
      <w:r>
        <w:rPr>
          <w:rFonts w:ascii="Times New Roman" w:hAnsi="Times New Roman"/>
          <w:sz w:val="24"/>
          <w:szCs w:val="24"/>
        </w:rPr>
        <w:t xml:space="preserve">. Тифлис, 1901. Т. </w:t>
      </w:r>
      <w:r>
        <w:rPr>
          <w:rFonts w:ascii="Times New Roman" w:hAnsi="Times New Roman"/>
          <w:sz w:val="24"/>
          <w:szCs w:val="24"/>
          <w:lang w:val="en-US"/>
        </w:rPr>
        <w:t>XII</w:t>
      </w:r>
      <w:r>
        <w:rPr>
          <w:rFonts w:ascii="Times New Roman" w:hAnsi="Times New Roman"/>
          <w:sz w:val="24"/>
          <w:szCs w:val="24"/>
        </w:rPr>
        <w:t>. С. 292.</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5. Там же. С. 293.</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6. Там же. С. 296.</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7. Полное собрание законов Российской империи (ПСЗРИ). Собр. 2. Т. </w:t>
      </w:r>
      <w:r>
        <w:rPr>
          <w:rFonts w:ascii="Times New Roman" w:hAnsi="Times New Roman"/>
          <w:sz w:val="24"/>
          <w:szCs w:val="24"/>
          <w:lang w:val="en-US"/>
        </w:rPr>
        <w:t>XV</w:t>
      </w:r>
      <w:r>
        <w:rPr>
          <w:rFonts w:ascii="Times New Roman" w:hAnsi="Times New Roman"/>
          <w:sz w:val="24"/>
          <w:szCs w:val="24"/>
        </w:rPr>
        <w:t>. Отд. 1. 1840. СПб, 1841. Ст. 13368. С. 237.</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8. Там же. С. 239.</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9. Там же.</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10. Там же. С. 258.</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11. Там же. С. 259.</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12. АКАК. Т. </w:t>
      </w:r>
      <w:r>
        <w:rPr>
          <w:rFonts w:ascii="Times New Roman" w:hAnsi="Times New Roman"/>
          <w:sz w:val="24"/>
          <w:szCs w:val="24"/>
          <w:lang w:val="en-US"/>
        </w:rPr>
        <w:t>IX</w:t>
      </w:r>
      <w:r>
        <w:rPr>
          <w:rFonts w:ascii="Times New Roman" w:hAnsi="Times New Roman"/>
          <w:sz w:val="24"/>
          <w:szCs w:val="24"/>
        </w:rPr>
        <w:t>. Тифлис, 1885. № 33. С. 30–31.</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13. </w:t>
      </w:r>
      <w:r>
        <w:rPr>
          <w:rFonts w:ascii="Times New Roman" w:hAnsi="Times New Roman"/>
          <w:i/>
          <w:iCs/>
          <w:sz w:val="24"/>
          <w:szCs w:val="24"/>
        </w:rPr>
        <w:t>Толстой Ю.В.</w:t>
      </w:r>
      <w:r>
        <w:rPr>
          <w:rFonts w:ascii="Times New Roman" w:hAnsi="Times New Roman"/>
          <w:sz w:val="24"/>
          <w:szCs w:val="24"/>
        </w:rPr>
        <w:t xml:space="preserve"> Очерк жизни и службы Е.А. Головина // Девятнадцатый век. Исторический сборник, издаваемый Петром Бартеневым (издателем «Русского архива»). М., 1872. Кн. 1. С. 58.</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14. </w:t>
      </w:r>
      <w:r>
        <w:rPr>
          <w:rFonts w:ascii="Times New Roman" w:hAnsi="Times New Roman"/>
          <w:i/>
          <w:iCs/>
          <w:sz w:val="24"/>
          <w:szCs w:val="24"/>
        </w:rPr>
        <w:t>Корф М.А.</w:t>
      </w:r>
      <w:r>
        <w:rPr>
          <w:rFonts w:ascii="Times New Roman" w:hAnsi="Times New Roman"/>
          <w:sz w:val="24"/>
          <w:szCs w:val="24"/>
        </w:rPr>
        <w:t xml:space="preserve"> Записки / </w:t>
      </w:r>
      <w:r>
        <w:rPr>
          <w:rFonts w:ascii="Times New Roman" w:hAnsi="Times New Roman"/>
          <w:i/>
          <w:iCs/>
          <w:sz w:val="24"/>
          <w:szCs w:val="24"/>
        </w:rPr>
        <w:t>Под ред. И. Захарова</w:t>
      </w:r>
      <w:r>
        <w:rPr>
          <w:rFonts w:ascii="Times New Roman" w:hAnsi="Times New Roman"/>
          <w:sz w:val="24"/>
          <w:szCs w:val="24"/>
        </w:rPr>
        <w:t>. М., 2003. С. 330.</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15. </w:t>
      </w:r>
      <w:r>
        <w:rPr>
          <w:rFonts w:ascii="Times New Roman" w:hAnsi="Times New Roman"/>
          <w:i/>
          <w:iCs/>
          <w:sz w:val="24"/>
          <w:szCs w:val="24"/>
        </w:rPr>
        <w:t>Ружицкая И.В.</w:t>
      </w:r>
      <w:r>
        <w:rPr>
          <w:rFonts w:ascii="Times New Roman" w:hAnsi="Times New Roman"/>
          <w:sz w:val="24"/>
          <w:szCs w:val="24"/>
        </w:rPr>
        <w:t xml:space="preserve"> М.А. Корф и его дневник // </w:t>
      </w:r>
      <w:r>
        <w:rPr>
          <w:rFonts w:ascii="Times New Roman" w:hAnsi="Times New Roman"/>
          <w:i/>
          <w:iCs/>
          <w:sz w:val="24"/>
          <w:szCs w:val="24"/>
        </w:rPr>
        <w:t>Корф М.А.</w:t>
      </w:r>
      <w:r>
        <w:rPr>
          <w:rFonts w:ascii="Times New Roman" w:hAnsi="Times New Roman"/>
          <w:sz w:val="24"/>
          <w:szCs w:val="24"/>
        </w:rPr>
        <w:t xml:space="preserve"> Дневник 1838 и 1839 гг. / </w:t>
      </w:r>
      <w:r>
        <w:rPr>
          <w:rFonts w:ascii="Times New Roman" w:hAnsi="Times New Roman"/>
          <w:i/>
          <w:iCs/>
          <w:sz w:val="24"/>
          <w:szCs w:val="24"/>
        </w:rPr>
        <w:t>Под ред. И.В. Ружицкой</w:t>
      </w:r>
      <w:r>
        <w:rPr>
          <w:rFonts w:ascii="Times New Roman" w:hAnsi="Times New Roman"/>
          <w:sz w:val="24"/>
          <w:szCs w:val="24"/>
        </w:rPr>
        <w:t>. М., 2010. С. 11.</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16. </w:t>
      </w:r>
      <w:r>
        <w:rPr>
          <w:rFonts w:ascii="Times New Roman" w:hAnsi="Times New Roman"/>
          <w:i/>
          <w:iCs/>
          <w:sz w:val="24"/>
          <w:szCs w:val="24"/>
        </w:rPr>
        <w:t>Корф М.А.</w:t>
      </w:r>
      <w:r>
        <w:rPr>
          <w:rFonts w:ascii="Times New Roman" w:hAnsi="Times New Roman"/>
          <w:sz w:val="24"/>
          <w:szCs w:val="24"/>
        </w:rPr>
        <w:t xml:space="preserve"> Дневник 1838 и 1839 гг. С. 446.</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17. </w:t>
      </w:r>
      <w:r>
        <w:rPr>
          <w:rFonts w:ascii="Times New Roman" w:hAnsi="Times New Roman"/>
          <w:i/>
          <w:iCs/>
          <w:sz w:val="24"/>
          <w:szCs w:val="24"/>
        </w:rPr>
        <w:t>Толстой Д.Н.</w:t>
      </w:r>
      <w:r>
        <w:rPr>
          <w:rFonts w:ascii="Times New Roman" w:hAnsi="Times New Roman"/>
          <w:sz w:val="24"/>
          <w:szCs w:val="24"/>
        </w:rPr>
        <w:t xml:space="preserve"> К биографии Е.А. Головина // Русский архив. М., 1872. № 10. С. 1956.</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18. </w:t>
      </w:r>
      <w:r>
        <w:rPr>
          <w:rFonts w:ascii="Times New Roman" w:hAnsi="Times New Roman"/>
          <w:i/>
          <w:iCs/>
          <w:sz w:val="24"/>
          <w:szCs w:val="24"/>
        </w:rPr>
        <w:t>Вейденбаум Е.Г.</w:t>
      </w:r>
      <w:r>
        <w:rPr>
          <w:rFonts w:ascii="Times New Roman" w:hAnsi="Times New Roman"/>
          <w:sz w:val="24"/>
          <w:szCs w:val="24"/>
        </w:rPr>
        <w:t xml:space="preserve"> Кавказские этюды / </w:t>
      </w:r>
      <w:r>
        <w:rPr>
          <w:rFonts w:ascii="Times New Roman" w:hAnsi="Times New Roman"/>
          <w:i/>
          <w:iCs/>
          <w:sz w:val="24"/>
          <w:szCs w:val="24"/>
        </w:rPr>
        <w:t>Сост. и вст. ст. С.В. Болгачева</w:t>
      </w:r>
      <w:r>
        <w:rPr>
          <w:rFonts w:ascii="Times New Roman" w:hAnsi="Times New Roman"/>
          <w:sz w:val="24"/>
          <w:szCs w:val="24"/>
        </w:rPr>
        <w:t>. Пятигорск, 2013. С. 337.</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19. </w:t>
      </w:r>
      <w:r>
        <w:rPr>
          <w:rFonts w:ascii="Times New Roman" w:hAnsi="Times New Roman"/>
          <w:i/>
          <w:iCs/>
          <w:sz w:val="24"/>
          <w:szCs w:val="24"/>
        </w:rPr>
        <w:t>Иваненко В.Н.</w:t>
      </w:r>
      <w:r>
        <w:rPr>
          <w:rFonts w:ascii="Times New Roman" w:hAnsi="Times New Roman"/>
          <w:sz w:val="24"/>
          <w:szCs w:val="24"/>
        </w:rPr>
        <w:t xml:space="preserve"> Указ. соч. С. 307.</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20. Национальные окраины Российской империи. С. 264.</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21. </w:t>
      </w:r>
      <w:r>
        <w:rPr>
          <w:rFonts w:ascii="Times New Roman" w:hAnsi="Times New Roman"/>
          <w:i/>
          <w:iCs/>
          <w:sz w:val="24"/>
          <w:szCs w:val="24"/>
        </w:rPr>
        <w:t>Иваненко В.Н.</w:t>
      </w:r>
      <w:r>
        <w:rPr>
          <w:rFonts w:ascii="Times New Roman" w:hAnsi="Times New Roman"/>
          <w:sz w:val="24"/>
          <w:szCs w:val="24"/>
        </w:rPr>
        <w:t xml:space="preserve"> Указ. соч. С. 298.</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22. </w:t>
      </w:r>
      <w:r>
        <w:rPr>
          <w:rFonts w:ascii="Times New Roman" w:hAnsi="Times New Roman"/>
          <w:i/>
          <w:iCs/>
          <w:sz w:val="24"/>
          <w:szCs w:val="24"/>
        </w:rPr>
        <w:t>Хачапуридзе Г.</w:t>
      </w:r>
      <w:r>
        <w:rPr>
          <w:rFonts w:ascii="Times New Roman" w:hAnsi="Times New Roman"/>
          <w:sz w:val="24"/>
          <w:szCs w:val="24"/>
        </w:rPr>
        <w:t xml:space="preserve"> Гурийское восстание в 1841 году.Тбилиси, 1931. С. 57–58.</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23. АКАК. Т. </w:t>
      </w:r>
      <w:r>
        <w:rPr>
          <w:rFonts w:ascii="Times New Roman" w:hAnsi="Times New Roman"/>
          <w:sz w:val="24"/>
          <w:szCs w:val="24"/>
          <w:lang w:val="en-US"/>
        </w:rPr>
        <w:t>IX</w:t>
      </w:r>
      <w:r>
        <w:rPr>
          <w:rFonts w:ascii="Times New Roman" w:hAnsi="Times New Roman"/>
          <w:sz w:val="24"/>
          <w:szCs w:val="24"/>
        </w:rPr>
        <w:t>. Тифлис, 1885. № 204. С. 176.</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24. Там же.</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25. Там же.</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26. Там же.</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27. Там же.</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28. Там же. № 205. С. 176.</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29. Там же. № 206. С. 177.</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30. </w:t>
      </w:r>
      <w:r>
        <w:rPr>
          <w:rFonts w:ascii="Times New Roman" w:hAnsi="Times New Roman"/>
          <w:i/>
          <w:iCs/>
          <w:sz w:val="24"/>
          <w:szCs w:val="24"/>
        </w:rPr>
        <w:t>Хачапуридзе Г.</w:t>
      </w:r>
      <w:r>
        <w:rPr>
          <w:rFonts w:ascii="Times New Roman" w:hAnsi="Times New Roman"/>
          <w:sz w:val="24"/>
          <w:szCs w:val="24"/>
        </w:rPr>
        <w:t xml:space="preserve"> Указ. соч. С. 77.</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31. Там же. № 202. С. 174.</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32. </w:t>
      </w:r>
      <w:r>
        <w:rPr>
          <w:rFonts w:ascii="Times New Roman" w:hAnsi="Times New Roman"/>
          <w:i/>
          <w:iCs/>
          <w:sz w:val="24"/>
          <w:szCs w:val="24"/>
        </w:rPr>
        <w:t xml:space="preserve">Хачапуридзе Г. </w:t>
      </w:r>
      <w:r>
        <w:rPr>
          <w:rFonts w:ascii="Times New Roman" w:hAnsi="Times New Roman"/>
          <w:sz w:val="24"/>
          <w:szCs w:val="24"/>
        </w:rPr>
        <w:t>Указ. соч. С. 41.</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33. Иваненко В.Н. Указ. соч. С. 309.</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34. Цит. по: </w:t>
      </w:r>
      <w:r>
        <w:rPr>
          <w:rFonts w:ascii="Times New Roman" w:hAnsi="Times New Roman"/>
          <w:i/>
          <w:iCs/>
          <w:sz w:val="24"/>
          <w:szCs w:val="24"/>
        </w:rPr>
        <w:t>Иваненко В.Н.</w:t>
      </w:r>
      <w:r>
        <w:rPr>
          <w:rFonts w:ascii="Times New Roman" w:hAnsi="Times New Roman"/>
          <w:sz w:val="24"/>
          <w:szCs w:val="24"/>
        </w:rPr>
        <w:t xml:space="preserve"> Указ. соч. С. 300.</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35. </w:t>
      </w:r>
      <w:r>
        <w:rPr>
          <w:rFonts w:ascii="Times New Roman" w:hAnsi="Times New Roman"/>
          <w:i/>
          <w:iCs/>
          <w:sz w:val="24"/>
          <w:szCs w:val="24"/>
        </w:rPr>
        <w:t>Корф М.А</w:t>
      </w:r>
      <w:r>
        <w:rPr>
          <w:rFonts w:ascii="Times New Roman" w:hAnsi="Times New Roman"/>
          <w:sz w:val="24"/>
          <w:szCs w:val="24"/>
        </w:rPr>
        <w:t>. Записки. С. 338.</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36. АКАК. Т. </w:t>
      </w:r>
      <w:r>
        <w:rPr>
          <w:rFonts w:ascii="Times New Roman" w:hAnsi="Times New Roman"/>
          <w:sz w:val="24"/>
          <w:szCs w:val="24"/>
          <w:lang w:val="en-US"/>
        </w:rPr>
        <w:t>IX</w:t>
      </w:r>
      <w:r>
        <w:rPr>
          <w:rFonts w:ascii="Times New Roman" w:hAnsi="Times New Roman"/>
          <w:sz w:val="24"/>
          <w:szCs w:val="24"/>
        </w:rPr>
        <w:t>. № 47. С. 42.</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37. </w:t>
      </w:r>
      <w:r>
        <w:rPr>
          <w:rFonts w:ascii="Times New Roman" w:hAnsi="Times New Roman"/>
          <w:i/>
          <w:iCs/>
          <w:sz w:val="24"/>
          <w:szCs w:val="24"/>
        </w:rPr>
        <w:t xml:space="preserve">Ермолов А.П. </w:t>
      </w:r>
      <w:r>
        <w:rPr>
          <w:rFonts w:ascii="Times New Roman" w:hAnsi="Times New Roman"/>
          <w:sz w:val="24"/>
          <w:szCs w:val="24"/>
        </w:rPr>
        <w:t xml:space="preserve">Кавказские письма 1816–1860 / </w:t>
      </w:r>
      <w:r>
        <w:rPr>
          <w:rFonts w:ascii="Times New Roman" w:hAnsi="Times New Roman"/>
          <w:i/>
          <w:iCs/>
          <w:sz w:val="24"/>
          <w:szCs w:val="24"/>
        </w:rPr>
        <w:t>Сост., коомент. Г.Г. Лисициной, Б.П. Миловидова</w:t>
      </w:r>
      <w:r>
        <w:rPr>
          <w:rFonts w:ascii="Times New Roman" w:hAnsi="Times New Roman"/>
          <w:sz w:val="24"/>
          <w:szCs w:val="24"/>
        </w:rPr>
        <w:t>. СПб., 2014. С. 504.</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38. </w:t>
      </w:r>
      <w:r>
        <w:rPr>
          <w:rFonts w:ascii="Times New Roman" w:hAnsi="Times New Roman"/>
          <w:i/>
          <w:iCs/>
          <w:sz w:val="24"/>
          <w:szCs w:val="24"/>
        </w:rPr>
        <w:t>Корф М.А.</w:t>
      </w:r>
      <w:r>
        <w:rPr>
          <w:rFonts w:ascii="Times New Roman" w:hAnsi="Times New Roman"/>
          <w:sz w:val="24"/>
          <w:szCs w:val="24"/>
        </w:rPr>
        <w:t xml:space="preserve"> Записки. С. 332.</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39. Там же.</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40. </w:t>
      </w:r>
      <w:r>
        <w:rPr>
          <w:rFonts w:ascii="Times New Roman" w:hAnsi="Times New Roman"/>
          <w:i/>
          <w:iCs/>
          <w:sz w:val="24"/>
          <w:szCs w:val="24"/>
        </w:rPr>
        <w:t>Ермолов А.П.</w:t>
      </w:r>
      <w:r>
        <w:rPr>
          <w:rFonts w:ascii="Times New Roman" w:hAnsi="Times New Roman"/>
          <w:sz w:val="24"/>
          <w:szCs w:val="24"/>
        </w:rPr>
        <w:t xml:space="preserve"> Указ. соч. С. 476.</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41. </w:t>
      </w:r>
      <w:r>
        <w:rPr>
          <w:rFonts w:ascii="Times New Roman" w:hAnsi="Times New Roman"/>
          <w:i/>
          <w:iCs/>
          <w:sz w:val="24"/>
          <w:szCs w:val="24"/>
        </w:rPr>
        <w:t>Корф М.А.</w:t>
      </w:r>
      <w:r>
        <w:rPr>
          <w:rFonts w:ascii="Times New Roman" w:hAnsi="Times New Roman"/>
          <w:sz w:val="24"/>
          <w:szCs w:val="24"/>
        </w:rPr>
        <w:t xml:space="preserve"> Записки. С. 329–330.</w:t>
      </w:r>
    </w:p>
    <w:p w:rsidR="00887F16" w:rsidRDefault="00887F16">
      <w:pPr>
        <w:pStyle w:val="sdfootnote-western"/>
        <w:ind w:firstLine="567"/>
        <w:jc w:val="both"/>
        <w:rPr>
          <w:rFonts w:ascii="Times New Roman" w:hAnsi="Times New Roman"/>
          <w:sz w:val="24"/>
          <w:szCs w:val="24"/>
        </w:rPr>
      </w:pPr>
      <w:r>
        <w:rPr>
          <w:rFonts w:ascii="Times New Roman" w:hAnsi="Times New Roman"/>
          <w:sz w:val="24"/>
          <w:szCs w:val="24"/>
        </w:rPr>
        <w:t xml:space="preserve">42. </w:t>
      </w:r>
      <w:r>
        <w:rPr>
          <w:rFonts w:ascii="Times New Roman" w:hAnsi="Times New Roman"/>
          <w:i/>
          <w:iCs/>
          <w:sz w:val="24"/>
          <w:szCs w:val="24"/>
        </w:rPr>
        <w:t>Ермолов А.П.</w:t>
      </w:r>
      <w:r>
        <w:rPr>
          <w:rFonts w:ascii="Times New Roman" w:hAnsi="Times New Roman"/>
          <w:sz w:val="24"/>
          <w:szCs w:val="24"/>
        </w:rPr>
        <w:t xml:space="preserve"> Указ. соч. С. 476.</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rPr>
        <w:t xml:space="preserve">43. </w:t>
      </w:r>
      <w:r>
        <w:rPr>
          <w:rFonts w:ascii="Times New Roman" w:hAnsi="Times New Roman"/>
          <w:i/>
          <w:iCs/>
          <w:sz w:val="24"/>
          <w:szCs w:val="24"/>
        </w:rPr>
        <w:t>Ъ.И.</w:t>
      </w:r>
      <w:r>
        <w:rPr>
          <w:rFonts w:ascii="Times New Roman" w:hAnsi="Times New Roman"/>
          <w:sz w:val="24"/>
          <w:szCs w:val="24"/>
        </w:rPr>
        <w:t xml:space="preserve"> Общественные увеселения в Тифлисе // Кавказ. </w:t>
      </w:r>
      <w:r>
        <w:rPr>
          <w:rFonts w:ascii="Times New Roman" w:hAnsi="Times New Roman"/>
          <w:sz w:val="24"/>
          <w:szCs w:val="24"/>
          <w:lang w:val="en-US"/>
        </w:rPr>
        <w:t xml:space="preserve">1846. № 2. 12 </w:t>
      </w:r>
      <w:r>
        <w:rPr>
          <w:rFonts w:ascii="Times New Roman" w:hAnsi="Times New Roman"/>
          <w:sz w:val="24"/>
          <w:szCs w:val="24"/>
        </w:rPr>
        <w:t>января</w:t>
      </w:r>
      <w:r>
        <w:rPr>
          <w:rFonts w:ascii="Times New Roman" w:hAnsi="Times New Roman"/>
          <w:sz w:val="24"/>
          <w:szCs w:val="24"/>
          <w:lang w:val="en-US"/>
        </w:rPr>
        <w:t xml:space="preserve">. </w:t>
      </w:r>
      <w:r>
        <w:rPr>
          <w:rFonts w:ascii="Times New Roman" w:hAnsi="Times New Roman"/>
          <w:sz w:val="24"/>
          <w:szCs w:val="24"/>
        </w:rPr>
        <w:t>С</w:t>
      </w:r>
      <w:r>
        <w:rPr>
          <w:rFonts w:ascii="Times New Roman" w:hAnsi="Times New Roman"/>
          <w:sz w:val="24"/>
          <w:szCs w:val="24"/>
          <w:lang w:val="en-US"/>
        </w:rPr>
        <w:t>. 1.</w:t>
      </w:r>
    </w:p>
    <w:p w:rsidR="00887F16" w:rsidRDefault="00887F16">
      <w:pPr>
        <w:pStyle w:val="western"/>
        <w:spacing w:after="0" w:line="240" w:lineRule="auto"/>
        <w:ind w:firstLine="567"/>
        <w:jc w:val="both"/>
        <w:rPr>
          <w:lang w:val="en-US"/>
        </w:rPr>
      </w:pPr>
    </w:p>
    <w:p w:rsidR="00887F16" w:rsidRDefault="00887F16">
      <w:pPr>
        <w:pStyle w:val="western"/>
        <w:spacing w:after="0" w:line="240" w:lineRule="auto"/>
        <w:ind w:firstLine="567"/>
        <w:jc w:val="both"/>
        <w:rPr>
          <w:b/>
          <w:bCs/>
          <w:sz w:val="24"/>
          <w:szCs w:val="24"/>
          <w:lang w:val="en-US"/>
        </w:rPr>
      </w:pPr>
      <w:r>
        <w:rPr>
          <w:b/>
          <w:bCs/>
          <w:sz w:val="24"/>
          <w:szCs w:val="24"/>
          <w:lang w:val="en-US"/>
        </w:rPr>
        <w:t xml:space="preserve">References </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 Nacional'nye okrainy Rossijskoj imperii: stanovlenie i razvitie sistemy upravlenija / Otv. red. S.G. Agadzhanov, V.V. Trepavlov. M., 1998. S. 261.</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2. Akty, sobrannye Kavkazskoju arheograficheskoju komissiej (AKAK): V 12 t. Tiflis, 1881. T. VIII. № 58. S. 79.</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3. Nacional'nye okrainy Rossijskoj imperii. S. 262.</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4. Ivanenko V.N. Grazhdanskoe upravlenie Zakavkaz'em ot prisoedinenija Gruzii do namestnichestva Velikogo knjazja Mihaila Nikolaevicha. Istoricheskij ocherk. Sostavil po porucheniju Voenno-istoricheskogo otdela V.N. Ivanenko // Utverzhdenie russkogo vladychestva na Kavkaze / Pod red. V.A. Potto. Tiflis, 1901. T. XII. S. 292.</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5. Tam zhe. S. 293.</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6. Tam zhe. S. 296.</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7. Polnoe sobranie zakonov Rossijskoj imperii (PSZRI). Sobr. 2. T. XV. Otd. 1. 1840. SPb, 1841. St. 13368. S. 237.</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8. Tam zhe. S. 239.</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9. Tam zhe.</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10. Tam zhe. S. 258.</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11. Tam zhe. S. 259.</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12. AKAK. T. IX. Tiflis, 1885. № 33. S. 30–31.</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13. Tolstoj Ju.V. Ocherk zhizni i sluzhby E.A. Golovina // Devjatnadcatyj vek. Istoricheskij sbornik, izdavaemyj Petrom Bartenevym (izdatelem «Russkogo arhiva»). M., 1872. Kn. 1. S. 58.</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14. Korf M.A. Zapiski / Pod red. I. Zaharova. M., 2003. S. 330.</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15. Ruzhickaja I.V. M.A. Korf i ego dnevnik // Korf M.A. Dnevnik 1838 i 1839 gg. / Pod red. I.V. Ruzhickoj. M., 2010. S. 11.</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16. Korf M.A. Dnevnik 1838 i 1839 gg. S. 446.</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17. Tolstoj D.N. K biografii E.A. Golovina // Russkij arhiv. M., 1872. № 10. S. 1956.</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18. Vejdenbaum E.G. Kavkazskie jetjudy / Sost. i vst. st. S.V. Bolgacheva. Pjatigorsk, 2013. S. 337.</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19. Ivanenko V.N. Ukaz. soch. S. 307.</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20. Nacional'nye okrainy Rossijskoj imperii. S. 264.</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21. Ivanenko V.N. Ukaz. soch. S. 298.</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22. Hachapuridze G. Gurijskoe vosstanie v 1841 godu.Tbilisi, 1931. S. 57–58.</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23. AKAK. T. IX. Tiflis, 1885. № 204. S. 176.</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24. Tam zhe.</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25. Tam zhe.</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26. Tam zhe.</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27. Tam zhe.</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28. Tam zhe. № 205. S. 176.</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29. Tam zhe. № 206. S. 177.</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30. Hachapuridze G. Ukaz. soch. S. 77.</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31. Tam zhe. № 202. S. 174.</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32. Hachapuridze G. Ukaz. soch. S. 41.</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33. Ivanenko V.N. Ukaz. soch. S. 309.</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34. Cit. po: Ivanenko V.N. Ukaz. soch. S. 300.</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35. Korf M.A. Zapiski. S. 338.</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36. AKAK. T. IX. № 47. S. 42.</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37. Ermolov A.P. Kavkazskie pis'ma 1816–1860 / Sost., kooment. G.G. Lisicinoj, B.P. Milovidova. SPb., 2014. S. 504.</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38. Korf M.A. Zapiski. S. 332.</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39. Tam zhe.</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40. Ermolov A.P. Ukaz. soch. S. 476.</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41. Korf M.A. Zapiski. S. 329–330.</w:t>
      </w:r>
    </w:p>
    <w:p w:rsidR="00887F16" w:rsidRDefault="00887F16">
      <w:pPr>
        <w:pStyle w:val="western"/>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42. Ermolov A.P. Ukaz. soch. S. 476.</w:t>
      </w:r>
    </w:p>
    <w:p w:rsidR="00887F16" w:rsidRDefault="00887F16">
      <w:pPr>
        <w:pStyle w:val="western"/>
        <w:spacing w:after="0" w:line="240" w:lineRule="auto"/>
        <w:ind w:firstLine="567"/>
        <w:jc w:val="both"/>
        <w:rPr>
          <w:rFonts w:ascii="Times New Roman" w:hAnsi="Times New Roman"/>
          <w:sz w:val="24"/>
          <w:szCs w:val="24"/>
        </w:rPr>
      </w:pPr>
      <w:r>
        <w:rPr>
          <w:rFonts w:ascii="Times New Roman" w:hAnsi="Times New Roman"/>
          <w:sz w:val="24"/>
          <w:szCs w:val="24"/>
          <w:lang w:val="en-US"/>
        </w:rPr>
        <w:t xml:space="preserve">43. ##.I. Obshhestvennye uveselenija v Tiflise // Kavkaz. </w:t>
      </w:r>
      <w:r>
        <w:rPr>
          <w:rFonts w:ascii="Times New Roman" w:hAnsi="Times New Roman"/>
          <w:sz w:val="24"/>
          <w:szCs w:val="24"/>
        </w:rPr>
        <w:t>1846. № 2. 12 janvarja. S. 1.</w:t>
      </w:r>
    </w:p>
    <w:p w:rsidR="00887F16" w:rsidRDefault="00887F16">
      <w:pPr>
        <w:jc w:val="both"/>
      </w:pPr>
    </w:p>
    <w:sectPr w:rsidR="00887F16" w:rsidSect="00FD65F6">
      <w:headerReference w:type="even" r:id="rId8"/>
      <w:headerReference w:type="default" r:id="rId9"/>
      <w:footerReference w:type="default" r:id="rId10"/>
      <w:pgSz w:w="11906" w:h="16838"/>
      <w:pgMar w:top="1418" w:right="1418" w:bottom="1418" w:left="1418" w:header="709" w:footer="576" w:gutter="0"/>
      <w:pgNumType w:start="1"/>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F16" w:rsidRDefault="00887F16">
      <w:pPr>
        <w:spacing w:after="0" w:line="240" w:lineRule="auto"/>
      </w:pPr>
      <w:r>
        <w:separator/>
      </w:r>
    </w:p>
  </w:endnote>
  <w:endnote w:type="continuationSeparator" w:id="0">
    <w:p w:rsidR="00887F16" w:rsidRDefault="00887F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SimSun">
    <w:altName w:val="§­§°§®§Ц"/>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panose1 w:val="020B0604020202020204"/>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F16" w:rsidRPr="00FD65F6" w:rsidRDefault="00887F16">
    <w:pPr>
      <w:pStyle w:val="Footer"/>
      <w:rPr>
        <w:rFonts w:ascii="Times New Roman" w:hAnsi="Times New Roman" w:cs="Times New Roman"/>
      </w:rPr>
    </w:pPr>
    <w:r w:rsidRPr="00CA4950">
      <w:rPr>
        <w:rFonts w:ascii="Times New Roman" w:hAnsi="Times New Roman" w:cs="Times New Roman"/>
        <w:sz w:val="24"/>
        <w:szCs w:val="24"/>
      </w:rPr>
      <w:t>http://ej.kubagro.ru/2016/02/pdf/2</w:t>
    </w:r>
    <w:r>
      <w:rPr>
        <w:rFonts w:ascii="Times New Roman" w:hAnsi="Times New Roman" w:cs="Times New Roman"/>
        <w:sz w:val="24"/>
        <w:szCs w:val="24"/>
      </w:rPr>
      <w:t>5</w:t>
    </w:r>
    <w:r w:rsidRPr="00CA4950">
      <w:rPr>
        <w:rFonts w:ascii="Times New Roman" w:hAnsi="Times New Roman" w:cs="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F16" w:rsidRDefault="00887F16">
      <w:pPr>
        <w:spacing w:after="0" w:line="240" w:lineRule="auto"/>
      </w:pPr>
      <w:r>
        <w:separator/>
      </w:r>
    </w:p>
  </w:footnote>
  <w:footnote w:type="continuationSeparator" w:id="0">
    <w:p w:rsidR="00887F16" w:rsidRDefault="00887F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F16" w:rsidRDefault="00887F16" w:rsidP="000B0DC6">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887F16" w:rsidRDefault="00887F16" w:rsidP="00F528E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7" w:name="OLE_LINK134"/>
  <w:bookmarkStart w:id="8" w:name="OLE_LINK135"/>
  <w:p w:rsidR="00887F16" w:rsidRPr="00F528E3" w:rsidRDefault="00887F16" w:rsidP="000B0DC6">
    <w:pPr>
      <w:pStyle w:val="Header"/>
      <w:framePr w:wrap="around" w:vAnchor="text" w:hAnchor="margin" w:xAlign="right" w:y="1"/>
      <w:rPr>
        <w:rStyle w:val="PageNumber"/>
        <w:rFonts w:ascii="Times New Roman" w:hAnsi="Times New Roman"/>
        <w:sz w:val="28"/>
        <w:szCs w:val="28"/>
      </w:rPr>
    </w:pPr>
    <w:r w:rsidRPr="00F528E3">
      <w:rPr>
        <w:rStyle w:val="PageNumber"/>
        <w:rFonts w:ascii="Times New Roman" w:hAnsi="Times New Roman"/>
        <w:sz w:val="28"/>
        <w:szCs w:val="28"/>
      </w:rPr>
      <w:fldChar w:fldCharType="begin"/>
    </w:r>
    <w:r w:rsidRPr="00F528E3">
      <w:rPr>
        <w:rStyle w:val="PageNumber"/>
        <w:rFonts w:ascii="Times New Roman" w:hAnsi="Times New Roman"/>
        <w:sz w:val="28"/>
        <w:szCs w:val="28"/>
      </w:rPr>
      <w:instrText xml:space="preserve">PAGE  </w:instrText>
    </w:r>
    <w:r w:rsidRPr="00F528E3">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F528E3">
      <w:rPr>
        <w:rStyle w:val="PageNumber"/>
        <w:rFonts w:ascii="Times New Roman" w:hAnsi="Times New Roman"/>
        <w:sz w:val="28"/>
        <w:szCs w:val="28"/>
      </w:rPr>
      <w:fldChar w:fldCharType="end"/>
    </w:r>
  </w:p>
  <w:p w:rsidR="00887F16" w:rsidRPr="00F528E3" w:rsidRDefault="00887F16" w:rsidP="00F528E3">
    <w:pPr>
      <w:pStyle w:val="Header"/>
      <w:ind w:right="360"/>
      <w:rPr>
        <w:rFonts w:ascii="Times New Roman" w:hAnsi="Times New Roman" w:cs="Times New Roman"/>
      </w:rPr>
    </w:pPr>
    <w:bookmarkStart w:id="9" w:name="OLE_LINK156"/>
    <w:bookmarkStart w:id="10" w:name="OLE_LINK157"/>
    <w:r w:rsidRPr="00F528E3">
      <w:rPr>
        <w:rFonts w:ascii="Times New Roman" w:hAnsi="Times New Roman" w:cs="Times New Roman"/>
        <w:sz w:val="24"/>
        <w:szCs w:val="24"/>
      </w:rPr>
      <w:t>Научный журнал КубГАУ, №116</w:t>
    </w:r>
    <w:r w:rsidRPr="00F528E3">
      <w:rPr>
        <w:rFonts w:ascii="Times New Roman" w:hAnsi="Times New Roman" w:cs="Times New Roman"/>
        <w:sz w:val="24"/>
        <w:szCs w:val="24"/>
        <w:lang w:val="en-US"/>
      </w:rPr>
      <w:t>(</w:t>
    </w:r>
    <w:r w:rsidRPr="00F528E3">
      <w:rPr>
        <w:rFonts w:ascii="Times New Roman" w:hAnsi="Times New Roman" w:cs="Times New Roman"/>
        <w:sz w:val="24"/>
        <w:szCs w:val="24"/>
      </w:rPr>
      <w:t>02), 2016 года</w:t>
    </w:r>
    <w:bookmarkEnd w:id="7"/>
    <w:bookmarkEnd w:id="8"/>
    <w:bookmarkEnd w:id="9"/>
    <w:bookmarkEnd w:id="10"/>
  </w:p>
  <w:p w:rsidR="00887F16" w:rsidRDefault="00887F1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5F35"/>
    <w:rsid w:val="00085F35"/>
    <w:rsid w:val="000B0DC6"/>
    <w:rsid w:val="000B4F37"/>
    <w:rsid w:val="001C731C"/>
    <w:rsid w:val="001F5E70"/>
    <w:rsid w:val="00244831"/>
    <w:rsid w:val="00254EE6"/>
    <w:rsid w:val="002A2448"/>
    <w:rsid w:val="00361CC3"/>
    <w:rsid w:val="0040520D"/>
    <w:rsid w:val="00530EE3"/>
    <w:rsid w:val="00603637"/>
    <w:rsid w:val="006B6224"/>
    <w:rsid w:val="00706903"/>
    <w:rsid w:val="00846DCD"/>
    <w:rsid w:val="00887F16"/>
    <w:rsid w:val="009B3B4A"/>
    <w:rsid w:val="00A4234F"/>
    <w:rsid w:val="00CA4950"/>
    <w:rsid w:val="00D830F7"/>
    <w:rsid w:val="00D95EBA"/>
    <w:rsid w:val="00E32088"/>
    <w:rsid w:val="00F126A1"/>
    <w:rsid w:val="00F528E3"/>
    <w:rsid w:val="00FD65F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637"/>
    <w:pPr>
      <w:suppressAutoHyphens/>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Верхний колонтитул Знак"/>
    <w:basedOn w:val="DefaultParagraphFont"/>
    <w:uiPriority w:val="99"/>
    <w:rPr>
      <w:rFonts w:cs="Times New Roman"/>
    </w:rPr>
  </w:style>
  <w:style w:type="character" w:customStyle="1" w:styleId="a0">
    <w:name w:val="Нижний колонтитул Знак"/>
    <w:basedOn w:val="DefaultParagraphFont"/>
    <w:uiPriority w:val="99"/>
    <w:rPr>
      <w:rFonts w:cs="Times New Roman"/>
    </w:rPr>
  </w:style>
  <w:style w:type="character" w:customStyle="1" w:styleId="a1">
    <w:name w:val="Текст выноски Знак"/>
    <w:basedOn w:val="DefaultParagraphFont"/>
    <w:uiPriority w:val="99"/>
    <w:semiHidden/>
    <w:rPr>
      <w:rFonts w:ascii="Tahoma" w:hAnsi="Tahoma" w:cs="Tahoma"/>
      <w:sz w:val="16"/>
      <w:szCs w:val="16"/>
    </w:rPr>
  </w:style>
  <w:style w:type="paragraph" w:customStyle="1" w:styleId="a2">
    <w:name w:val="Заголовок"/>
    <w:basedOn w:val="Normal"/>
    <w:next w:val="BodyText"/>
    <w:uiPriority w:val="99"/>
    <w:rsid w:val="00603637"/>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uiPriority w:val="99"/>
    <w:rsid w:val="00603637"/>
    <w:pPr>
      <w:spacing w:after="140" w:line="288" w:lineRule="auto"/>
    </w:pPr>
  </w:style>
  <w:style w:type="character" w:customStyle="1" w:styleId="BodyTextChar">
    <w:name w:val="Body Text Char"/>
    <w:basedOn w:val="DefaultParagraphFont"/>
    <w:link w:val="BodyText"/>
    <w:uiPriority w:val="99"/>
    <w:semiHidden/>
    <w:rsid w:val="00055D8D"/>
    <w:rPr>
      <w:lang w:eastAsia="en-US"/>
    </w:rPr>
  </w:style>
  <w:style w:type="paragraph" w:styleId="List">
    <w:name w:val="List"/>
    <w:basedOn w:val="BodyText"/>
    <w:uiPriority w:val="99"/>
    <w:rsid w:val="00603637"/>
    <w:rPr>
      <w:rFonts w:cs="Mangal"/>
    </w:rPr>
  </w:style>
  <w:style w:type="paragraph" w:styleId="Title">
    <w:name w:val="Title"/>
    <w:basedOn w:val="Normal"/>
    <w:link w:val="TitleChar"/>
    <w:uiPriority w:val="99"/>
    <w:qFormat/>
    <w:rsid w:val="00603637"/>
    <w:pPr>
      <w:suppressLineNumbers/>
      <w:spacing w:before="120" w:after="120"/>
    </w:pPr>
    <w:rPr>
      <w:rFonts w:cs="Mangal"/>
      <w:i/>
      <w:iCs/>
      <w:sz w:val="24"/>
      <w:szCs w:val="24"/>
    </w:rPr>
  </w:style>
  <w:style w:type="character" w:customStyle="1" w:styleId="TitleChar">
    <w:name w:val="Title Char"/>
    <w:basedOn w:val="DefaultParagraphFont"/>
    <w:link w:val="Title"/>
    <w:uiPriority w:val="10"/>
    <w:rsid w:val="00055D8D"/>
    <w:rPr>
      <w:rFonts w:asciiTheme="majorHAnsi" w:eastAsiaTheme="majorEastAsia" w:hAnsiTheme="majorHAnsi" w:cstheme="majorBidi"/>
      <w:b/>
      <w:bCs/>
      <w:kern w:val="28"/>
      <w:sz w:val="32"/>
      <w:szCs w:val="32"/>
      <w:lang w:eastAsia="en-US"/>
    </w:rPr>
  </w:style>
  <w:style w:type="paragraph" w:styleId="Index1">
    <w:name w:val="index 1"/>
    <w:basedOn w:val="Normal"/>
    <w:next w:val="Normal"/>
    <w:autoRedefine/>
    <w:uiPriority w:val="99"/>
    <w:semiHidden/>
    <w:pPr>
      <w:ind w:left="220" w:hanging="220"/>
    </w:pPr>
  </w:style>
  <w:style w:type="paragraph" w:styleId="IndexHeading">
    <w:name w:val="index heading"/>
    <w:basedOn w:val="Normal"/>
    <w:uiPriority w:val="99"/>
    <w:rsid w:val="00603637"/>
    <w:pPr>
      <w:suppressLineNumbers/>
    </w:pPr>
    <w:rPr>
      <w:rFonts w:cs="Mangal"/>
    </w:rPr>
  </w:style>
  <w:style w:type="paragraph" w:customStyle="1" w:styleId="western1">
    <w:name w:val="western1"/>
    <w:basedOn w:val="Normal"/>
    <w:uiPriority w:val="99"/>
    <w:pPr>
      <w:spacing w:after="198"/>
    </w:pPr>
    <w:rPr>
      <w:rFonts w:cs="Times New Roman"/>
      <w:color w:val="000000"/>
      <w:lang w:eastAsia="ru-RU"/>
    </w:rPr>
  </w:style>
  <w:style w:type="paragraph" w:customStyle="1" w:styleId="sdfootnote-western1">
    <w:name w:val="sdfootnote-western1"/>
    <w:basedOn w:val="Normal"/>
    <w:uiPriority w:val="99"/>
    <w:pPr>
      <w:spacing w:after="0"/>
    </w:pPr>
    <w:rPr>
      <w:rFonts w:cs="Times New Roman"/>
      <w:color w:val="000000"/>
      <w:sz w:val="20"/>
      <w:szCs w:val="20"/>
      <w:lang w:eastAsia="ru-RU"/>
    </w:rPr>
  </w:style>
  <w:style w:type="paragraph" w:customStyle="1" w:styleId="sdfootnote-western">
    <w:name w:val="sdfootnote-western"/>
    <w:basedOn w:val="Normal"/>
    <w:uiPriority w:val="99"/>
    <w:pPr>
      <w:spacing w:after="0"/>
    </w:pPr>
    <w:rPr>
      <w:rFonts w:cs="Times New Roman"/>
      <w:color w:val="000000"/>
      <w:sz w:val="20"/>
      <w:szCs w:val="20"/>
      <w:lang w:eastAsia="ru-RU"/>
    </w:rPr>
  </w:style>
  <w:style w:type="paragraph" w:customStyle="1" w:styleId="western">
    <w:name w:val="western"/>
    <w:basedOn w:val="Normal"/>
    <w:uiPriority w:val="99"/>
    <w:pPr>
      <w:spacing w:after="142"/>
    </w:pPr>
    <w:rPr>
      <w:rFonts w:cs="Times New Roman"/>
      <w:color w:val="000000"/>
      <w:lang w:eastAsia="ru-RU"/>
    </w:rPr>
  </w:style>
  <w:style w:type="paragraph" w:styleId="Header">
    <w:name w:val="header"/>
    <w:basedOn w:val="Normal"/>
    <w:link w:val="HeaderChar"/>
    <w:uiPriority w:val="99"/>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055D8D"/>
    <w:rPr>
      <w:lang w:eastAsia="en-US"/>
    </w:rPr>
  </w:style>
  <w:style w:type="paragraph" w:styleId="Footer">
    <w:name w:val="footer"/>
    <w:basedOn w:val="Normal"/>
    <w:link w:val="FooterChar"/>
    <w:uiPriority w:val="99"/>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FD65F6"/>
    <w:rPr>
      <w:rFonts w:ascii="Calibri" w:eastAsia="SimSun" w:hAnsi="Calibri" w:cs="Calibri"/>
      <w:sz w:val="22"/>
      <w:szCs w:val="22"/>
      <w:lang w:val="ru-RU" w:eastAsia="en-US" w:bidi="ar-SA"/>
    </w:rPr>
  </w:style>
  <w:style w:type="paragraph" w:styleId="BalloonText">
    <w:name w:val="Balloon Text"/>
    <w:basedOn w:val="Normal"/>
    <w:link w:val="BalloonTextChar"/>
    <w:uiPriority w:val="99"/>
    <w:semiHidden/>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5D8D"/>
    <w:rPr>
      <w:rFonts w:ascii="Times New Roman" w:hAnsi="Times New Roman"/>
      <w:sz w:val="0"/>
      <w:szCs w:val="0"/>
      <w:lang w:eastAsia="en-US"/>
    </w:rPr>
  </w:style>
  <w:style w:type="paragraph" w:styleId="NormalWeb">
    <w:name w:val="Normal (Web)"/>
    <w:basedOn w:val="Normal"/>
    <w:uiPriority w:val="99"/>
    <w:semiHidden/>
    <w:rsid w:val="00530EE3"/>
    <w:pPr>
      <w:suppressAutoHyphens w:val="0"/>
      <w:spacing w:before="100" w:beforeAutospacing="1" w:after="142" w:line="288" w:lineRule="auto"/>
    </w:pPr>
    <w:rPr>
      <w:rFonts w:ascii="Times New Roman" w:hAnsi="Times New Roman" w:cs="Times New Roman"/>
      <w:sz w:val="24"/>
      <w:szCs w:val="24"/>
      <w:lang w:eastAsia="ru-RU"/>
    </w:rPr>
  </w:style>
  <w:style w:type="character" w:styleId="Hyperlink">
    <w:name w:val="Hyperlink"/>
    <w:basedOn w:val="DefaultParagraphFont"/>
    <w:uiPriority w:val="99"/>
    <w:rsid w:val="009B3B4A"/>
    <w:rPr>
      <w:rFonts w:cs="Times New Roman"/>
      <w:color w:val="0000FF"/>
      <w:u w:val="single"/>
    </w:rPr>
  </w:style>
  <w:style w:type="character" w:styleId="PageNumber">
    <w:name w:val="page number"/>
    <w:basedOn w:val="DefaultParagraphFont"/>
    <w:uiPriority w:val="99"/>
    <w:rsid w:val="00F528E3"/>
    <w:rPr>
      <w:rFonts w:cs="Times New Roman"/>
    </w:rPr>
  </w:style>
</w:styles>
</file>

<file path=word/webSettings.xml><?xml version="1.0" encoding="utf-8"?>
<w:webSettings xmlns:r="http://schemas.openxmlformats.org/officeDocument/2006/relationships" xmlns:w="http://schemas.openxmlformats.org/wordprocessingml/2006/main">
  <w:divs>
    <w:div w:id="9089217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vladimir.kondusov@mail.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ladimir.kondusov@mail.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231</TotalTime>
  <Pages>17</Pages>
  <Words>4931</Words>
  <Characters>28110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Reshetnikova1</dc:creator>
  <cp:keywords/>
  <dc:description/>
  <cp:lastModifiedBy>Sergey</cp:lastModifiedBy>
  <cp:revision>10</cp:revision>
  <dcterms:created xsi:type="dcterms:W3CDTF">2016-01-26T13:57:00Z</dcterms:created>
  <dcterms:modified xsi:type="dcterms:W3CDTF">2016-02-11T15:40:00Z</dcterms:modified>
</cp:coreProperties>
</file>