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4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903"/>
        <w:gridCol w:w="4356"/>
      </w:tblGrid>
      <w:tr w:rsidR="004B0177" w:rsidRPr="0092152B" w:rsidTr="00E4044C">
        <w:trPr>
          <w:tblCellSpacing w:w="15" w:type="dxa"/>
        </w:trPr>
        <w:tc>
          <w:tcPr>
            <w:tcW w:w="2623" w:type="pct"/>
          </w:tcPr>
          <w:p w:rsidR="004B0177" w:rsidRDefault="004B0177" w:rsidP="00B1368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bookmarkStart w:id="0" w:name="OLE_LINK43"/>
            <w:bookmarkStart w:id="1" w:name="OLE_LINK44"/>
            <w:bookmarkStart w:id="2" w:name="OLE_LINK49"/>
            <w:bookmarkStart w:id="3" w:name="OLE_LINK50"/>
            <w:bookmarkStart w:id="4" w:name="OLE_LINK51"/>
            <w:r w:rsidRPr="000D4F57">
              <w:rPr>
                <w:sz w:val="20"/>
                <w:szCs w:val="20"/>
              </w:rPr>
              <w:t>УДК 62</w:t>
            </w:r>
            <w:r>
              <w:rPr>
                <w:sz w:val="20"/>
                <w:szCs w:val="20"/>
              </w:rPr>
              <w:t>0.98</w:t>
            </w:r>
            <w:bookmarkEnd w:id="0"/>
            <w:bookmarkEnd w:id="1"/>
          </w:p>
          <w:bookmarkEnd w:id="2"/>
          <w:bookmarkEnd w:id="3"/>
          <w:bookmarkEnd w:id="4"/>
          <w:p w:rsidR="004B0177" w:rsidRPr="000A539A" w:rsidRDefault="004B0177" w:rsidP="00B1368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</w:tc>
        <w:tc>
          <w:tcPr>
            <w:tcW w:w="2328" w:type="pct"/>
          </w:tcPr>
          <w:p w:rsidR="004B0177" w:rsidRPr="000D4F57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eastAsia="ru-RU"/>
              </w:rPr>
              <w:t>UDC 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0.98</w:t>
            </w:r>
          </w:p>
        </w:tc>
      </w:tr>
      <w:tr w:rsidR="004B0177" w:rsidRPr="0092152B" w:rsidTr="00E4044C">
        <w:trPr>
          <w:tblCellSpacing w:w="15" w:type="dxa"/>
        </w:trPr>
        <w:tc>
          <w:tcPr>
            <w:tcW w:w="2623" w:type="pct"/>
          </w:tcPr>
          <w:p w:rsidR="004B0177" w:rsidRPr="000D4F57" w:rsidRDefault="004B0177" w:rsidP="00B1368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D4F57">
              <w:rPr>
                <w:sz w:val="20"/>
                <w:szCs w:val="20"/>
              </w:rPr>
              <w:t>05.00.00 Технические науки</w:t>
            </w:r>
          </w:p>
        </w:tc>
        <w:tc>
          <w:tcPr>
            <w:tcW w:w="2328" w:type="pct"/>
          </w:tcPr>
          <w:p w:rsidR="004B0177" w:rsidRPr="000D4F57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val="en-US" w:eastAsia="ru-RU"/>
              </w:rPr>
              <w:t>Engineering science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</w:t>
            </w:r>
          </w:p>
        </w:tc>
      </w:tr>
      <w:tr w:rsidR="004B0177" w:rsidRPr="0092152B" w:rsidTr="00E4044C">
        <w:trPr>
          <w:tblCellSpacing w:w="15" w:type="dxa"/>
        </w:trPr>
        <w:tc>
          <w:tcPr>
            <w:tcW w:w="2623" w:type="pct"/>
          </w:tcPr>
          <w:p w:rsidR="004B0177" w:rsidRPr="000D4F57" w:rsidRDefault="004B0177" w:rsidP="00B1368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328" w:type="pct"/>
          </w:tcPr>
          <w:p w:rsidR="004B0177" w:rsidRPr="000D4F57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B0177" w:rsidRPr="0091024C" w:rsidTr="00E4044C">
        <w:trPr>
          <w:tblCellSpacing w:w="15" w:type="dxa"/>
        </w:trPr>
        <w:tc>
          <w:tcPr>
            <w:tcW w:w="2623" w:type="pct"/>
          </w:tcPr>
          <w:p w:rsidR="004B0177" w:rsidRDefault="004B0177" w:rsidP="00B1368D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ОПТИМИЗАЦИЯ СОСТАВА КОМПЛЕКСА ВОЗОБНОВЛЯЕМЫХ ИСТОЧНИКОВ ЭНЕРГИИ С ИСПОЛЬЗОВАНИЕМ КЛАСТЕРНОГО ПОДХОДА И ТЕОРИИ СЛУЧАЙНЫХ ПРОЦЕССОВ</w:t>
            </w:r>
          </w:p>
          <w:p w:rsidR="004B0177" w:rsidRPr="000D4F57" w:rsidRDefault="004B0177" w:rsidP="00B1368D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328" w:type="pct"/>
          </w:tcPr>
          <w:p w:rsidR="004B0177" w:rsidRPr="000D4F57" w:rsidRDefault="004B0177" w:rsidP="00B136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OPTIMIZ</w:t>
            </w:r>
            <w:bookmarkStart w:id="5" w:name="_GoBack"/>
            <w:bookmarkEnd w:id="5"/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ATION OF THE COMPOSITION OF THE COMPLEX OF RENEWABLE ENERGY SOURCES WITH THE USE OF CLUSTER APPROACH AND THE THEORY OF RANDOM PROCESSES</w:t>
            </w:r>
          </w:p>
        </w:tc>
      </w:tr>
      <w:tr w:rsidR="004B0177" w:rsidRPr="0091024C" w:rsidTr="00E4044C">
        <w:trPr>
          <w:tblCellSpacing w:w="15" w:type="dxa"/>
        </w:trPr>
        <w:tc>
          <w:tcPr>
            <w:tcW w:w="2623" w:type="pct"/>
          </w:tcPr>
          <w:p w:rsidR="004B0177" w:rsidRDefault="004B0177" w:rsidP="00B1368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D4F57">
              <w:rPr>
                <w:sz w:val="20"/>
                <w:szCs w:val="20"/>
              </w:rPr>
              <w:t>Гапоненко Александр Макарович</w:t>
            </w:r>
          </w:p>
          <w:p w:rsidR="004B0177" w:rsidRDefault="004B0177" w:rsidP="00B1368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</w:t>
            </w:r>
            <w:r w:rsidRPr="000D4F57">
              <w:rPr>
                <w:sz w:val="20"/>
                <w:szCs w:val="20"/>
              </w:rPr>
              <w:t>т.н., профессор</w:t>
            </w:r>
          </w:p>
          <w:p w:rsidR="004B0177" w:rsidRPr="000D4F57" w:rsidRDefault="004B0177" w:rsidP="00B1368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328" w:type="pct"/>
          </w:tcPr>
          <w:p w:rsidR="004B0177" w:rsidRPr="00B35B58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1024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Gaponenko Aleksandr Makarovich </w:t>
            </w:r>
          </w:p>
          <w:p w:rsidR="004B0177" w:rsidRPr="000D4F57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Dr</w:t>
            </w: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Sci.Tech.</w:t>
            </w: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professor</w:t>
            </w:r>
          </w:p>
        </w:tc>
      </w:tr>
      <w:tr w:rsidR="004B0177" w:rsidRPr="0092152B" w:rsidTr="00E4044C">
        <w:trPr>
          <w:tblCellSpacing w:w="15" w:type="dxa"/>
        </w:trPr>
        <w:tc>
          <w:tcPr>
            <w:tcW w:w="2623" w:type="pct"/>
          </w:tcPr>
          <w:p w:rsidR="004B0177" w:rsidRPr="00B35B58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eastAsia="ru-RU"/>
              </w:rPr>
              <w:t>Каграманова</w:t>
            </w: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0D4F57">
              <w:rPr>
                <w:rFonts w:ascii="Times New Roman" w:hAnsi="Times New Roman"/>
                <w:sz w:val="20"/>
                <w:szCs w:val="20"/>
                <w:lang w:eastAsia="ru-RU"/>
              </w:rPr>
              <w:t>Александра</w:t>
            </w: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0D4F57">
              <w:rPr>
                <w:rFonts w:ascii="Times New Roman" w:hAnsi="Times New Roman"/>
                <w:sz w:val="20"/>
                <w:szCs w:val="20"/>
                <w:lang w:eastAsia="ru-RU"/>
              </w:rPr>
              <w:t>Александровна</w:t>
            </w:r>
          </w:p>
          <w:p w:rsidR="004B0177" w:rsidRPr="00B35B58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eastAsia="ru-RU"/>
              </w:rPr>
              <w:t>аспирант</w:t>
            </w:r>
          </w:p>
        </w:tc>
        <w:tc>
          <w:tcPr>
            <w:tcW w:w="2328" w:type="pct"/>
          </w:tcPr>
          <w:p w:rsidR="004B0177" w:rsidRPr="00B35B58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Kagramanova Aleksandra Aleksandrovna</w:t>
            </w:r>
          </w:p>
          <w:p w:rsidR="004B0177" w:rsidRPr="000D4F57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35B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Postgraduate</w:t>
            </w:r>
          </w:p>
        </w:tc>
      </w:tr>
      <w:tr w:rsidR="004B0177" w:rsidRPr="0091024C" w:rsidTr="00E4044C">
        <w:trPr>
          <w:tblCellSpacing w:w="15" w:type="dxa"/>
        </w:trPr>
        <w:tc>
          <w:tcPr>
            <w:tcW w:w="2623" w:type="pct"/>
          </w:tcPr>
          <w:p w:rsidR="004B0177" w:rsidRPr="00BA1A7F" w:rsidRDefault="004B0177" w:rsidP="00B1368D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BA1A7F">
              <w:rPr>
                <w:i/>
                <w:sz w:val="20"/>
                <w:szCs w:val="20"/>
              </w:rPr>
              <w:t>Кубанский государственный технологический         университет, Краснодар, Россия</w:t>
            </w:r>
          </w:p>
        </w:tc>
        <w:tc>
          <w:tcPr>
            <w:tcW w:w="2328" w:type="pct"/>
          </w:tcPr>
          <w:p w:rsidR="004B0177" w:rsidRPr="000D4F57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0D4F57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>Kuban</w:t>
              </w:r>
            </w:smartTag>
            <w:r w:rsidRPr="00B35B58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0D4F57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>State</w:t>
              </w:r>
            </w:smartTag>
            <w:r w:rsidRPr="00B35B58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0D4F57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>Technological</w:t>
            </w:r>
            <w:r w:rsidRPr="00B35B58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0D4F57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>University</w:t>
            </w:r>
            <w:r w:rsidRPr="00B35B58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0D4F57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0D4F57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place">
                <w:r w:rsidRPr="000D4F57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</w:tc>
      </w:tr>
      <w:tr w:rsidR="004B0177" w:rsidRPr="0091024C" w:rsidTr="00E4044C">
        <w:trPr>
          <w:tblCellSpacing w:w="15" w:type="dxa"/>
        </w:trPr>
        <w:tc>
          <w:tcPr>
            <w:tcW w:w="2623" w:type="pct"/>
          </w:tcPr>
          <w:p w:rsidR="004B0177" w:rsidRPr="00B35B58" w:rsidRDefault="004B0177" w:rsidP="00B1368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</w:tc>
        <w:tc>
          <w:tcPr>
            <w:tcW w:w="2328" w:type="pct"/>
          </w:tcPr>
          <w:p w:rsidR="004B0177" w:rsidRPr="000D4F57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4B0177" w:rsidRPr="0091024C" w:rsidTr="00E4044C">
        <w:trPr>
          <w:tblCellSpacing w:w="15" w:type="dxa"/>
        </w:trPr>
        <w:tc>
          <w:tcPr>
            <w:tcW w:w="2623" w:type="pct"/>
          </w:tcPr>
          <w:p w:rsidR="004B0177" w:rsidRPr="00F26E58" w:rsidRDefault="004B0177" w:rsidP="00B1368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bookmarkStart w:id="6" w:name="OLE_LINK45"/>
            <w:bookmarkStart w:id="7" w:name="OLE_LINK46"/>
            <w:bookmarkStart w:id="8" w:name="OLE_LINK47"/>
            <w:bookmarkStart w:id="9" w:name="OLE_LINK48"/>
            <w:r>
              <w:rPr>
                <w:sz w:val="20"/>
                <w:szCs w:val="20"/>
              </w:rPr>
              <w:t>Рассмотрены гибридные нетрадиционные и возобновляемые источники энергии с точки зрения оптимизации их работы, основанной на знаниях</w:t>
            </w:r>
            <w:r w:rsidRPr="002538B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технических и функциональных особенностей каждого. Использована классификация кластеров нетрадиционных и возобновляемых источников энергии в зависимости от доли замещаемой мощности в энергозатратах, а также от вида нетрадиционных и возобновляемых источников энергии. Рассмотрена имитационная модель гибридного кластера с использованием структурной схемы и выполнена постановка задачи оптимизации путем полного и многофакторного эксперимента. Применены методы анализа нестационарных случайных процессов возмущающих воздействий</w:t>
            </w:r>
            <w:bookmarkEnd w:id="6"/>
            <w:bookmarkEnd w:id="7"/>
            <w:bookmarkEnd w:id="8"/>
            <w:bookmarkEnd w:id="9"/>
          </w:p>
        </w:tc>
        <w:tc>
          <w:tcPr>
            <w:tcW w:w="2328" w:type="pct"/>
          </w:tcPr>
          <w:p w:rsidR="004B0177" w:rsidRPr="000D4F57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We have considered hybrid nontraditional and r</w:t>
            </w:r>
            <w:r w:rsidRPr="002538BF">
              <w:rPr>
                <w:rFonts w:ascii="Times New Roman" w:hAnsi="Times New Roman"/>
                <w:sz w:val="20"/>
                <w:szCs w:val="20"/>
                <w:lang w:val="en-US" w:eastAsia="ru-RU"/>
              </w:rPr>
              <w:t>enewable sources of energy in terms of optimizing their work based on the knowledge of technical and functional peculiarities of each.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We used c</w:t>
            </w:r>
            <w:r w:rsidRPr="002538BF">
              <w:rPr>
                <w:rFonts w:ascii="Times New Roman" w:hAnsi="Times New Roman"/>
                <w:sz w:val="20"/>
                <w:szCs w:val="20"/>
                <w:lang w:val="en-US" w:eastAsia="ru-RU"/>
              </w:rPr>
              <w:t>lassification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of clusters of non</w:t>
            </w:r>
            <w:r w:rsidRPr="002538BF">
              <w:rPr>
                <w:rFonts w:ascii="Times New Roman" w:hAnsi="Times New Roman"/>
                <w:sz w:val="20"/>
                <w:szCs w:val="20"/>
                <w:lang w:val="en-US" w:eastAsia="ru-RU"/>
              </w:rPr>
              <w:t>traditional and renewable energy of sources, d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epending on the proportion of</w:t>
            </w:r>
            <w:r w:rsidRPr="002538B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replacing power in energy consumption and on the type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nontraditional </w:t>
            </w:r>
            <w:r w:rsidRPr="002538BF">
              <w:rPr>
                <w:rFonts w:ascii="Times New Roman" w:hAnsi="Times New Roman"/>
                <w:sz w:val="20"/>
                <w:szCs w:val="20"/>
                <w:lang w:val="en-US" w:eastAsia="ru-RU"/>
              </w:rPr>
              <w:t>and renewable energy of sources.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We examined a simulation model of the hybrid cluster using the structural diagram and performed statement of the problem by means of the full and multifactor experiment. We a</w:t>
            </w:r>
            <w:r w:rsidRPr="002B39EF">
              <w:rPr>
                <w:rFonts w:ascii="Times New Roman" w:hAnsi="Times New Roman"/>
                <w:sz w:val="20"/>
                <w:szCs w:val="20"/>
                <w:lang w:val="en-US" w:eastAsia="ru-RU"/>
              </w:rPr>
              <w:t>ppl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ied </w:t>
            </w:r>
            <w:r w:rsidRPr="002B39EF"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method of analysis of non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  <w:r w:rsidRPr="002B39EF">
              <w:rPr>
                <w:rFonts w:ascii="Times New Roman" w:hAnsi="Times New Roman"/>
                <w:sz w:val="20"/>
                <w:szCs w:val="20"/>
                <w:lang w:val="en-US" w:eastAsia="ru-RU"/>
              </w:rPr>
              <w:t>stationary random process disturbing influences</w:t>
            </w:r>
          </w:p>
        </w:tc>
      </w:tr>
      <w:tr w:rsidR="004B0177" w:rsidRPr="0091024C" w:rsidTr="00E4044C">
        <w:trPr>
          <w:tblCellSpacing w:w="15" w:type="dxa"/>
        </w:trPr>
        <w:tc>
          <w:tcPr>
            <w:tcW w:w="2623" w:type="pct"/>
          </w:tcPr>
          <w:p w:rsidR="004B0177" w:rsidRPr="00BC5244" w:rsidRDefault="004B0177" w:rsidP="00B1368D">
            <w:pPr>
              <w:pStyle w:val="NormalWeb"/>
              <w:spacing w:before="0" w:beforeAutospacing="0" w:after="0" w:afterAutospacing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328" w:type="pct"/>
          </w:tcPr>
          <w:p w:rsidR="004B0177" w:rsidRPr="00BC5244" w:rsidRDefault="004B0177" w:rsidP="00B1368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 w:eastAsia="ru-RU"/>
              </w:rPr>
            </w:pPr>
          </w:p>
        </w:tc>
      </w:tr>
      <w:tr w:rsidR="004B0177" w:rsidRPr="0091024C" w:rsidTr="00E4044C">
        <w:trPr>
          <w:tblCellSpacing w:w="15" w:type="dxa"/>
        </w:trPr>
        <w:tc>
          <w:tcPr>
            <w:tcW w:w="2623" w:type="pct"/>
          </w:tcPr>
          <w:p w:rsidR="004B0177" w:rsidRPr="00F26E58" w:rsidRDefault="004B0177" w:rsidP="00B1368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D4F57">
              <w:rPr>
                <w:sz w:val="20"/>
                <w:szCs w:val="20"/>
              </w:rPr>
              <w:t>Ключевые слова:</w:t>
            </w:r>
            <w:r>
              <w:rPr>
                <w:sz w:val="20"/>
                <w:szCs w:val="20"/>
              </w:rPr>
              <w:t xml:space="preserve"> ОПТИМИЗАЦИЯ, КЛАСТЕРНЫЙ ПОДХОД, ТЕОРИЯ СЛУЧАЙНЫХ ПРОЦЕССОВ, ИМИТАЦИОННАЯ МОДЕЛЬ ГИБРИДНОГО КЛАСТЕРА</w:t>
            </w:r>
          </w:p>
        </w:tc>
        <w:tc>
          <w:tcPr>
            <w:tcW w:w="2328" w:type="pct"/>
          </w:tcPr>
          <w:p w:rsidR="004B0177" w:rsidRPr="00180707" w:rsidRDefault="004B0177" w:rsidP="00B136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D4F57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</w:t>
            </w:r>
            <w:r w:rsidRPr="0092152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807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OPTIMIZATION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1807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CLUSTER APPROACH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1807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THEORY OF RANDOM PROCESSES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180707">
              <w:rPr>
                <w:rFonts w:ascii="Times New Roman" w:hAnsi="Times New Roman"/>
                <w:sz w:val="20"/>
                <w:szCs w:val="20"/>
                <w:lang w:val="en-US" w:eastAsia="ru-RU"/>
              </w:rPr>
              <w:t>SIMULATION MODEL OF HYBRID CLUSTER</w:t>
            </w:r>
          </w:p>
        </w:tc>
      </w:tr>
    </w:tbl>
    <w:p w:rsidR="004B0177" w:rsidRPr="00B1368D" w:rsidRDefault="004B0177" w:rsidP="00D70B64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B0177" w:rsidRPr="000078B9" w:rsidRDefault="004B0177" w:rsidP="00D70B6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78B9">
        <w:rPr>
          <w:rFonts w:ascii="Times New Roman" w:hAnsi="Times New Roman"/>
          <w:b/>
          <w:sz w:val="28"/>
          <w:szCs w:val="28"/>
        </w:rPr>
        <w:t>Оптимизация состава комплекса возобновляемых источников энергии с использованием кластерного подхода и теории случайных процессов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7050">
        <w:rPr>
          <w:rFonts w:ascii="Times New Roman" w:hAnsi="Times New Roman"/>
          <w:sz w:val="28"/>
          <w:szCs w:val="28"/>
        </w:rPr>
        <w:t>Моноэнергетические в</w:t>
      </w:r>
      <w:r>
        <w:rPr>
          <w:rFonts w:ascii="Times New Roman" w:hAnsi="Times New Roman"/>
          <w:sz w:val="28"/>
          <w:szCs w:val="28"/>
        </w:rPr>
        <w:t xml:space="preserve">озобновляемые </w:t>
      </w:r>
      <w:r w:rsidRPr="002E705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сточники </w:t>
      </w:r>
      <w:r w:rsidRPr="002E7050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нергии (ВИЭ)</w:t>
      </w:r>
      <w:r w:rsidRPr="002E7050">
        <w:rPr>
          <w:rFonts w:ascii="Times New Roman" w:hAnsi="Times New Roman"/>
          <w:sz w:val="28"/>
          <w:szCs w:val="28"/>
        </w:rPr>
        <w:t xml:space="preserve"> применяются в тех случаях, когда соблюдается опред</w:t>
      </w:r>
      <w:r>
        <w:rPr>
          <w:rFonts w:ascii="Times New Roman" w:hAnsi="Times New Roman"/>
          <w:sz w:val="28"/>
          <w:szCs w:val="28"/>
        </w:rPr>
        <w:t>еленный</w:t>
      </w:r>
      <w:r w:rsidRPr="002E7050">
        <w:rPr>
          <w:rFonts w:ascii="Times New Roman" w:hAnsi="Times New Roman"/>
          <w:sz w:val="28"/>
          <w:szCs w:val="28"/>
        </w:rPr>
        <w:t xml:space="preserve"> набор условий (погодных, географ</w:t>
      </w:r>
      <w:r>
        <w:rPr>
          <w:rFonts w:ascii="Times New Roman" w:hAnsi="Times New Roman"/>
          <w:sz w:val="28"/>
          <w:szCs w:val="28"/>
        </w:rPr>
        <w:t>ических</w:t>
      </w:r>
      <w:r w:rsidRPr="002E7050">
        <w:rPr>
          <w:rFonts w:ascii="Times New Roman" w:hAnsi="Times New Roman"/>
          <w:sz w:val="28"/>
          <w:szCs w:val="28"/>
        </w:rPr>
        <w:t xml:space="preserve"> и т.д), обеспечивающих их относительно бесперебойную работу. В реальности соблюдение таких условий явл</w:t>
      </w:r>
      <w:r>
        <w:rPr>
          <w:rFonts w:ascii="Times New Roman" w:hAnsi="Times New Roman"/>
          <w:sz w:val="28"/>
          <w:szCs w:val="28"/>
        </w:rPr>
        <w:t>яется</w:t>
      </w:r>
      <w:r w:rsidRPr="002E7050">
        <w:rPr>
          <w:rFonts w:ascii="Times New Roman" w:hAnsi="Times New Roman"/>
          <w:sz w:val="28"/>
          <w:szCs w:val="28"/>
        </w:rPr>
        <w:t xml:space="preserve"> достаточно редким</w:t>
      </w:r>
      <w:r>
        <w:rPr>
          <w:rFonts w:ascii="Times New Roman" w:hAnsi="Times New Roman"/>
          <w:sz w:val="28"/>
          <w:szCs w:val="28"/>
        </w:rPr>
        <w:t>,</w:t>
      </w:r>
      <w:r w:rsidRPr="002E7050">
        <w:rPr>
          <w:rFonts w:ascii="Times New Roman" w:hAnsi="Times New Roman"/>
          <w:sz w:val="28"/>
          <w:szCs w:val="28"/>
        </w:rPr>
        <w:t xml:space="preserve"> и именно это обстоятельство в значит</w:t>
      </w:r>
      <w:r>
        <w:rPr>
          <w:rFonts w:ascii="Times New Roman" w:hAnsi="Times New Roman"/>
          <w:sz w:val="28"/>
          <w:szCs w:val="28"/>
        </w:rPr>
        <w:t>ельной</w:t>
      </w:r>
      <w:r w:rsidRPr="002E7050">
        <w:rPr>
          <w:rFonts w:ascii="Times New Roman" w:hAnsi="Times New Roman"/>
          <w:sz w:val="28"/>
          <w:szCs w:val="28"/>
        </w:rPr>
        <w:t xml:space="preserve"> мере служит препятс</w:t>
      </w:r>
      <w:r>
        <w:rPr>
          <w:rFonts w:ascii="Times New Roman" w:hAnsi="Times New Roman"/>
          <w:sz w:val="28"/>
          <w:szCs w:val="28"/>
        </w:rPr>
        <w:t>т</w:t>
      </w:r>
      <w:r w:rsidRPr="002E7050">
        <w:rPr>
          <w:rFonts w:ascii="Times New Roman" w:hAnsi="Times New Roman"/>
          <w:sz w:val="28"/>
          <w:szCs w:val="28"/>
        </w:rPr>
        <w:t>вием для широкого внедрения</w:t>
      </w:r>
      <w:r>
        <w:rPr>
          <w:rFonts w:ascii="Times New Roman" w:hAnsi="Times New Roman"/>
          <w:sz w:val="28"/>
          <w:szCs w:val="28"/>
        </w:rPr>
        <w:t xml:space="preserve"> нетрадиционных возобновляемых источников энергии</w:t>
      </w:r>
      <w:r w:rsidRPr="002E7050">
        <w:rPr>
          <w:rFonts w:ascii="Times New Roman" w:hAnsi="Times New Roman"/>
          <w:sz w:val="28"/>
          <w:szCs w:val="28"/>
        </w:rPr>
        <w:t xml:space="preserve"> (НВИЭ). В к</w:t>
      </w:r>
      <w:r>
        <w:rPr>
          <w:rFonts w:ascii="Times New Roman" w:hAnsi="Times New Roman"/>
          <w:sz w:val="28"/>
          <w:szCs w:val="28"/>
        </w:rPr>
        <w:t>ачестве выхода предлагается использова</w:t>
      </w:r>
      <w:r w:rsidRPr="002E7050">
        <w:rPr>
          <w:rFonts w:ascii="Times New Roman" w:hAnsi="Times New Roman"/>
          <w:sz w:val="28"/>
          <w:szCs w:val="28"/>
        </w:rPr>
        <w:t>ние гибр</w:t>
      </w:r>
      <w:r>
        <w:rPr>
          <w:rFonts w:ascii="Times New Roman" w:hAnsi="Times New Roman"/>
          <w:sz w:val="28"/>
          <w:szCs w:val="28"/>
        </w:rPr>
        <w:t>идных</w:t>
      </w:r>
      <w:r w:rsidRPr="002E7050">
        <w:rPr>
          <w:rFonts w:ascii="Times New Roman" w:hAnsi="Times New Roman"/>
          <w:sz w:val="28"/>
          <w:szCs w:val="28"/>
        </w:rPr>
        <w:t xml:space="preserve"> сист</w:t>
      </w:r>
      <w:r>
        <w:rPr>
          <w:rFonts w:ascii="Times New Roman" w:hAnsi="Times New Roman"/>
          <w:sz w:val="28"/>
          <w:szCs w:val="28"/>
        </w:rPr>
        <w:t>ем, содержа</w:t>
      </w:r>
      <w:r w:rsidRPr="002E7050">
        <w:rPr>
          <w:rFonts w:ascii="Times New Roman" w:hAnsi="Times New Roman"/>
          <w:sz w:val="28"/>
          <w:szCs w:val="28"/>
        </w:rPr>
        <w:t>щих различные виды НВИЭ. Однако, исп</w:t>
      </w:r>
      <w:r>
        <w:rPr>
          <w:rFonts w:ascii="Times New Roman" w:hAnsi="Times New Roman"/>
          <w:sz w:val="28"/>
          <w:szCs w:val="28"/>
        </w:rPr>
        <w:t>ользова</w:t>
      </w:r>
      <w:r w:rsidRPr="002E7050">
        <w:rPr>
          <w:rFonts w:ascii="Times New Roman" w:hAnsi="Times New Roman"/>
          <w:sz w:val="28"/>
          <w:szCs w:val="28"/>
        </w:rPr>
        <w:t>ние таких гибр</w:t>
      </w:r>
      <w:r>
        <w:rPr>
          <w:rFonts w:ascii="Times New Roman" w:hAnsi="Times New Roman"/>
          <w:sz w:val="28"/>
          <w:szCs w:val="28"/>
        </w:rPr>
        <w:t>идных</w:t>
      </w:r>
      <w:r w:rsidRPr="002E7050">
        <w:rPr>
          <w:rFonts w:ascii="Times New Roman" w:hAnsi="Times New Roman"/>
          <w:sz w:val="28"/>
          <w:szCs w:val="28"/>
        </w:rPr>
        <w:t xml:space="preserve"> си</w:t>
      </w:r>
      <w:r>
        <w:rPr>
          <w:rFonts w:ascii="Times New Roman" w:hAnsi="Times New Roman"/>
          <w:sz w:val="28"/>
          <w:szCs w:val="28"/>
        </w:rPr>
        <w:t>с</w:t>
      </w:r>
      <w:r w:rsidRPr="002E7050">
        <w:rPr>
          <w:rFonts w:ascii="Times New Roman" w:hAnsi="Times New Roman"/>
          <w:sz w:val="28"/>
          <w:szCs w:val="28"/>
        </w:rPr>
        <w:t>тем в каждом случае требует оптимизации</w:t>
      </w:r>
      <w:r>
        <w:rPr>
          <w:rFonts w:ascii="Times New Roman" w:hAnsi="Times New Roman"/>
          <w:sz w:val="28"/>
          <w:szCs w:val="28"/>
        </w:rPr>
        <w:t>,</w:t>
      </w:r>
      <w:r w:rsidRPr="002E7050">
        <w:rPr>
          <w:rFonts w:ascii="Times New Roman" w:hAnsi="Times New Roman"/>
          <w:sz w:val="28"/>
          <w:szCs w:val="28"/>
        </w:rPr>
        <w:t xml:space="preserve"> основанной на знании технических и функциональных особенностей каждого из НВИЭ, вход</w:t>
      </w:r>
      <w:r>
        <w:rPr>
          <w:rFonts w:ascii="Times New Roman" w:hAnsi="Times New Roman"/>
          <w:sz w:val="28"/>
          <w:szCs w:val="28"/>
        </w:rPr>
        <w:t>ящего</w:t>
      </w:r>
      <w:r w:rsidRPr="002E7050">
        <w:rPr>
          <w:rFonts w:ascii="Times New Roman" w:hAnsi="Times New Roman"/>
          <w:sz w:val="28"/>
          <w:szCs w:val="28"/>
        </w:rPr>
        <w:t xml:space="preserve"> в состав гибр</w:t>
      </w:r>
      <w:r>
        <w:rPr>
          <w:rFonts w:ascii="Times New Roman" w:hAnsi="Times New Roman"/>
          <w:sz w:val="28"/>
          <w:szCs w:val="28"/>
        </w:rPr>
        <w:t>идной</w:t>
      </w:r>
      <w:r w:rsidRPr="002E7050">
        <w:rPr>
          <w:rFonts w:ascii="Times New Roman" w:hAnsi="Times New Roman"/>
          <w:sz w:val="28"/>
          <w:szCs w:val="28"/>
        </w:rPr>
        <w:t xml:space="preserve"> системы. В данной работе предпринимается попытка разработать методику такой оптим</w:t>
      </w:r>
      <w:r>
        <w:rPr>
          <w:rFonts w:ascii="Times New Roman" w:hAnsi="Times New Roman"/>
          <w:sz w:val="28"/>
          <w:szCs w:val="28"/>
        </w:rPr>
        <w:t>изации</w:t>
      </w:r>
      <w:r w:rsidRPr="002E7050">
        <w:rPr>
          <w:rFonts w:ascii="Times New Roman" w:hAnsi="Times New Roman"/>
          <w:sz w:val="28"/>
          <w:szCs w:val="28"/>
        </w:rPr>
        <w:t xml:space="preserve"> при помощи кластерного подхода </w:t>
      </w:r>
      <w:r>
        <w:rPr>
          <w:rFonts w:ascii="Times New Roman" w:hAnsi="Times New Roman"/>
          <w:sz w:val="28"/>
          <w:szCs w:val="28"/>
        </w:rPr>
        <w:t>[1,2]</w:t>
      </w:r>
      <w:r w:rsidRPr="002E7050">
        <w:rPr>
          <w:rFonts w:ascii="Times New Roman" w:hAnsi="Times New Roman"/>
          <w:sz w:val="28"/>
          <w:szCs w:val="28"/>
        </w:rPr>
        <w:t xml:space="preserve">. 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необходимо учесть случайные факторы,</w:t>
      </w:r>
      <w:r w:rsidRPr="00C767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указанные выше, влияющие на работу гибридных систем НВИЭ [3].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Среди возобновляемых источников энергии широко распространены ветроэнергетические, малые гидроэнергетические (в том числе микро-, мини- и малые ГЭС), солнечные установки: солнечные коллекторы (СК), солнечные фотоэлектрические преобразователи (ФЭП), биогазовые установки (БГУ), дизель-генераторы (ДГ), а в числе нетрадиционных источников энергии (тепла) − тепловые насосы (ТН) с использованием низкопотенциального тепла грунта, сбросных вод очистных сооружений, тепловых стоков промышленных отходов или просто окружающего воздуха вплоть до небольших отрицательных температур.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Выше указанные источники энергии могут использоваться в различной конфигурации в составе гибридных установок, состоящих из дизель- или газогенератора (для гарантированного обеспечения энергией) и вариативного набора НВИЭ.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Известны гибридные ветро-солнечные, ветро-дизельные и дизель-ветро-солнечные установки, использующие два и три ВИЭ (соответственно, дуплекс и трио-системы). Следовательно, теоретически возможно наращивание резервирования систем с учетом местных, региональных или территориальных возможностей, до квадро- (четырех), пента- (пяти), сикстет- (шести), септ- (семи) видов НВИЭ в соответствующие кластеры (кластер − группа объектов с общими признаками).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C722D">
        <w:rPr>
          <w:rFonts w:ascii="Times New Roman" w:hAnsi="Times New Roman"/>
          <w:sz w:val="28"/>
          <w:szCs w:val="28"/>
        </w:rPr>
        <w:t>Различные сочетания-кластеры могут быть востребованы только при определенных условиях (наличии соответствующих источников энергии), их рентабельность зависит от определенного выбора видов НВИЭ, соотношения замещаемых каждым НВИЭ мощностей и возможностей заказчика.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Для изучения вопроса о соотношении мощностей целесообразно использовать распределение кластеров НВИЭ на типы. Условно возможно распределить кластеры на типы [1]:</w:t>
      </w:r>
    </w:p>
    <w:p w:rsidR="004B0177" w:rsidRDefault="004B0177" w:rsidP="00D70B6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микро-кластер;</w:t>
      </w:r>
    </w:p>
    <w:p w:rsidR="004B0177" w:rsidRDefault="004B0177" w:rsidP="00D70B6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мини-кластер;</w:t>
      </w:r>
    </w:p>
    <w:p w:rsidR="004B0177" w:rsidRDefault="004B0177" w:rsidP="00D70B6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малый;</w:t>
      </w:r>
    </w:p>
    <w:p w:rsidR="004B0177" w:rsidRDefault="004B0177" w:rsidP="00D70B6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средний;</w:t>
      </w:r>
    </w:p>
    <w:p w:rsidR="004B0177" w:rsidRDefault="004B0177" w:rsidP="00D70B6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полный.</w:t>
      </w:r>
    </w:p>
    <w:p w:rsidR="004B0177" w:rsidRDefault="004B0177" w:rsidP="00D70B64">
      <w:pPr>
        <w:spacing w:after="0" w:line="360" w:lineRule="auto"/>
        <w:ind w:firstLine="4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Каждый из выше указанных типов должен надежно обеспечить определенный уровень мощности (долю энергетических потребностей) от полной потребности в энергозатратах объекта, независимо от отсутствия какого-либо источника энергии (табл. 1).</w:t>
      </w:r>
    </w:p>
    <w:p w:rsidR="004B0177" w:rsidRDefault="004B0177" w:rsidP="00352719">
      <w:pPr>
        <w:spacing w:after="0"/>
        <w:ind w:firstLine="435"/>
        <w:jc w:val="right"/>
        <w:rPr>
          <w:rFonts w:ascii="Times New Roman" w:hAnsi="Times New Roman"/>
          <w:sz w:val="24"/>
          <w:szCs w:val="24"/>
        </w:rPr>
      </w:pPr>
      <w:r w:rsidRPr="00352719">
        <w:rPr>
          <w:rFonts w:ascii="Times New Roman" w:hAnsi="Times New Roman"/>
          <w:sz w:val="24"/>
          <w:szCs w:val="24"/>
        </w:rPr>
        <w:t>ТАБЛИЦА 1</w:t>
      </w:r>
    </w:p>
    <w:p w:rsidR="004B0177" w:rsidRDefault="004B0177" w:rsidP="00352719">
      <w:pPr>
        <w:spacing w:after="0"/>
        <w:ind w:firstLine="4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ДОЛЯ ОБЕСПЕЧЕНИЯ МОЩНОСТИ В ЗАВИСИМОСТИ ОТ ТИПА КЛАСТЕРА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27"/>
        <w:gridCol w:w="3081"/>
        <w:gridCol w:w="3078"/>
      </w:tblGrid>
      <w:tr w:rsidR="004B0177" w:rsidRPr="0092152B" w:rsidTr="0092152B"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Тип кластера</w:t>
            </w:r>
          </w:p>
        </w:tc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Обозначение</w:t>
            </w:r>
          </w:p>
        </w:tc>
        <w:tc>
          <w:tcPr>
            <w:tcW w:w="3191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Доля обеспечения мощности, %</w:t>
            </w:r>
          </w:p>
        </w:tc>
      </w:tr>
      <w:tr w:rsidR="004B0177" w:rsidRPr="0092152B" w:rsidTr="0092152B"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Полный(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Full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3191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B0177" w:rsidRPr="0092152B" w:rsidTr="0092152B"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Средний(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Middle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3191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B0177" w:rsidRPr="0092152B" w:rsidTr="0092152B"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Малый(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Small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3191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B0177" w:rsidRPr="0092152B" w:rsidTr="0092152B"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Мини-кластер(Emergency)</w:t>
            </w:r>
          </w:p>
        </w:tc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3191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B0177" w:rsidRPr="0092152B" w:rsidTr="0092152B"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Микро-кластер(Aesthete)</w:t>
            </w:r>
          </w:p>
        </w:tc>
        <w:tc>
          <w:tcPr>
            <w:tcW w:w="3190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191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B0177" w:rsidRPr="00D70B64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B0177" w:rsidRPr="00D70B64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0B64">
        <w:rPr>
          <w:rFonts w:ascii="Times New Roman" w:hAnsi="Times New Roman"/>
          <w:sz w:val="28"/>
          <w:szCs w:val="28"/>
        </w:rPr>
        <w:tab/>
        <w:t xml:space="preserve">Используя данную классификацию с долями обеспечения энергетических затрат необходимо понимать, что «полный кластер» </w:t>
      </w:r>
      <w:r w:rsidRPr="00D70B64">
        <w:rPr>
          <w:rFonts w:ascii="Times New Roman" w:hAnsi="Times New Roman"/>
          <w:sz w:val="28"/>
          <w:szCs w:val="28"/>
          <w:lang w:val="en-US"/>
        </w:rPr>
        <w:t>F</w:t>
      </w:r>
      <w:r w:rsidRPr="00D70B64">
        <w:rPr>
          <w:rFonts w:ascii="Times New Roman" w:hAnsi="Times New Roman"/>
          <w:sz w:val="28"/>
          <w:szCs w:val="28"/>
        </w:rPr>
        <w:t xml:space="preserve"> обеспечивает уровень, соответствующий 100 % потребностей каждого потребителя, а тип «</w:t>
      </w:r>
      <w:r w:rsidRPr="00D70B64">
        <w:rPr>
          <w:rFonts w:ascii="Times New Roman" w:hAnsi="Times New Roman"/>
          <w:sz w:val="28"/>
          <w:szCs w:val="28"/>
          <w:lang w:val="en-US"/>
        </w:rPr>
        <w:t>a</w:t>
      </w:r>
      <w:r w:rsidRPr="00D70B64">
        <w:rPr>
          <w:rFonts w:ascii="Times New Roman" w:hAnsi="Times New Roman"/>
          <w:sz w:val="28"/>
          <w:szCs w:val="28"/>
        </w:rPr>
        <w:t>esthete» (или микро-кластер А) создает условия обеспечения только 5% потребностей, которые могут обеспечить эстетическое освещение территории, но при возникновении аварийной ситуации может не хватить (например, функционирование мощной помпы при тушении пожара).</w:t>
      </w:r>
    </w:p>
    <w:p w:rsidR="004B0177" w:rsidRPr="00D70B64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0B64">
        <w:rPr>
          <w:rFonts w:ascii="Times New Roman" w:hAnsi="Times New Roman"/>
          <w:sz w:val="28"/>
          <w:szCs w:val="28"/>
        </w:rPr>
        <w:tab/>
        <w:t>В качестве объектов потребления, использующих какой-либо вид кластеров, могут быть: отдельный дом-коттедж (</w:t>
      </w:r>
      <w:r w:rsidRPr="00D70B64">
        <w:rPr>
          <w:rFonts w:ascii="Times New Roman" w:hAnsi="Times New Roman"/>
          <w:sz w:val="28"/>
          <w:szCs w:val="28"/>
          <w:lang w:val="en-US"/>
        </w:rPr>
        <w:t>F</w:t>
      </w:r>
      <w:r w:rsidRPr="00D70B64">
        <w:rPr>
          <w:rFonts w:ascii="Times New Roman" w:hAnsi="Times New Roman"/>
          <w:sz w:val="28"/>
          <w:szCs w:val="28"/>
        </w:rPr>
        <w:t xml:space="preserve"> 10 кВТ), многоквартирный дом (</w:t>
      </w:r>
      <w:r w:rsidRPr="00D70B64">
        <w:rPr>
          <w:rFonts w:ascii="Times New Roman" w:hAnsi="Times New Roman"/>
          <w:sz w:val="28"/>
          <w:szCs w:val="28"/>
          <w:lang w:val="en-US"/>
        </w:rPr>
        <w:t>F</w:t>
      </w:r>
      <w:r w:rsidRPr="00D70B64">
        <w:rPr>
          <w:rFonts w:ascii="Times New Roman" w:hAnsi="Times New Roman"/>
          <w:sz w:val="28"/>
          <w:szCs w:val="28"/>
        </w:rPr>
        <w:t xml:space="preserve"> 100 кВТ), жилой поселок (</w:t>
      </w:r>
      <w:r w:rsidRPr="00D70B64">
        <w:rPr>
          <w:rFonts w:ascii="Times New Roman" w:hAnsi="Times New Roman"/>
          <w:sz w:val="28"/>
          <w:szCs w:val="28"/>
          <w:lang w:val="en-US"/>
        </w:rPr>
        <w:t>F</w:t>
      </w:r>
      <w:r w:rsidRPr="00D70B64">
        <w:rPr>
          <w:rFonts w:ascii="Times New Roman" w:hAnsi="Times New Roman"/>
          <w:sz w:val="28"/>
          <w:szCs w:val="28"/>
        </w:rPr>
        <w:t xml:space="preserve"> 200-500 кВТ), микрорайон (</w:t>
      </w:r>
      <w:r w:rsidRPr="00D70B64">
        <w:rPr>
          <w:rFonts w:ascii="Times New Roman" w:hAnsi="Times New Roman"/>
          <w:sz w:val="28"/>
          <w:szCs w:val="28"/>
          <w:lang w:val="en-US"/>
        </w:rPr>
        <w:t>F</w:t>
      </w:r>
      <w:r w:rsidRPr="00D70B64">
        <w:rPr>
          <w:rFonts w:ascii="Times New Roman" w:hAnsi="Times New Roman"/>
          <w:sz w:val="28"/>
          <w:szCs w:val="28"/>
        </w:rPr>
        <w:t xml:space="preserve"> 500-10000 кВТ), промышленное предприятие любой мощности и т.д. В соответствии с распределением кластеров на типы: микро-кластер «А» должен обеспечить для дома-коттеджа мощность 500 Вт, для многоквартирного дома 5кВт, для жилого поселка 10-25 кВт и т.д.</w:t>
      </w:r>
    </w:p>
    <w:p w:rsidR="004B0177" w:rsidRPr="00D70B64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0B64">
        <w:rPr>
          <w:rFonts w:ascii="Times New Roman" w:hAnsi="Times New Roman"/>
          <w:sz w:val="28"/>
          <w:szCs w:val="28"/>
        </w:rPr>
        <w:tab/>
        <w:t>Оптимизация внутренней структуры по типам НВИЭ и мощностям является главным условием эффективности при построении энергетической системы на основе кластерного подхода. Решение данной задачи возможно при использовании многофакторного регрессивного анализа [2]. При «долевом» распределении между установками НВИЭ необходимо учесть, что гибридный энергетический кластер в любой момент времени должен обеспечить надежное покрытие нагрузок, соответствующим мощностям, представленным в табл. 1.</w:t>
      </w:r>
    </w:p>
    <w:p w:rsidR="004B0177" w:rsidRPr="00D70B64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0B64">
        <w:rPr>
          <w:rFonts w:ascii="Times New Roman" w:hAnsi="Times New Roman"/>
          <w:sz w:val="28"/>
          <w:szCs w:val="28"/>
        </w:rPr>
        <w:tab/>
        <w:t>Оптимизация внутренней структуры кластера по типам и мощностям означает выбор установленной мощности для каждого вида оборудования НВИЭ, входящего в состав кластера гибридной энергосистемы.</w:t>
      </w:r>
    </w:p>
    <w:p w:rsidR="004B0177" w:rsidRPr="00D70B64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0B64">
        <w:rPr>
          <w:rFonts w:ascii="Times New Roman" w:hAnsi="Times New Roman"/>
          <w:sz w:val="28"/>
          <w:szCs w:val="28"/>
        </w:rPr>
        <w:tab/>
        <w:t>Например, для микро-кластера А необходимой гарантированной долей (в соответствии с табл. 1) будут являться 5%, которые должен обеспечить дизель-генератор. Одновременно «гибридность» микро-кластера должна быть поддержана в дуплекс-системе ветроустановкой соответствующей мощности, покрывающей те же 5% потребностей, либо другим видом ВИЭ.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0B64">
        <w:rPr>
          <w:rFonts w:ascii="Times New Roman" w:hAnsi="Times New Roman"/>
          <w:sz w:val="28"/>
          <w:szCs w:val="28"/>
        </w:rPr>
        <w:tab/>
        <w:t>Возможные сочетания НВИЭ по типам кластеров и долям мощности представлены в табл. 2.</w:t>
      </w:r>
    </w:p>
    <w:p w:rsidR="004B0177" w:rsidRPr="00D70B64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B0177" w:rsidRPr="007A59DD" w:rsidRDefault="004B0177" w:rsidP="007A59D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A59DD">
        <w:rPr>
          <w:rFonts w:ascii="Times New Roman" w:hAnsi="Times New Roman"/>
          <w:sz w:val="24"/>
          <w:szCs w:val="24"/>
        </w:rPr>
        <w:t>ТАБЛИЦА 2</w:t>
      </w:r>
    </w:p>
    <w:p w:rsidR="004B0177" w:rsidRPr="00D70B64" w:rsidRDefault="004B0177" w:rsidP="00D70B64">
      <w:pPr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  <w:r w:rsidRPr="007A59DD">
        <w:rPr>
          <w:rFonts w:ascii="Times New Roman" w:hAnsi="Times New Roman"/>
          <w:sz w:val="24"/>
          <w:szCs w:val="24"/>
        </w:rPr>
        <w:t>ВОЗМОЖНЫЕ СОЧЕТАНИЯ НВИЭ ПО ТИПАМ КЛАСТЕРОВ И ДОЛЯМ МОЩНОСТИ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3782"/>
        <w:gridCol w:w="3413"/>
      </w:tblGrid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Тип кластера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Состав энергетического оборудования кластера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Покрываемая мощность, %</w:t>
            </w:r>
          </w:p>
        </w:tc>
      </w:tr>
      <w:tr w:rsidR="004B0177" w:rsidRPr="0092152B" w:rsidTr="0092152B">
        <w:tc>
          <w:tcPr>
            <w:tcW w:w="9571" w:type="dxa"/>
            <w:gridSpan w:val="3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Микро-кластер НВИЭ (Aesthete) 5%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Двойной гибрид А-2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  А-2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5%+5%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Трио-кластер А-3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5%+4%+1%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Квадро-кластер А-4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ДГ+ВЭУ+ФЭП+ТН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4%+3%+0,5%+1,5%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Пента-кластер А-5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ДГ+ВЭУ+ФЭП+ТН+мГЭС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4%+2%+0%+1%+2%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Сикстет-кластер А-6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ДГ+ВЭУ+ФЭП+ТН+мГЭС+БГУ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3%+2%+0,5%+1%+2%+0,5%</w:t>
            </w:r>
          </w:p>
        </w:tc>
      </w:tr>
      <w:tr w:rsidR="004B0177" w:rsidRPr="0092152B" w:rsidTr="0092152B">
        <w:tc>
          <w:tcPr>
            <w:tcW w:w="9571" w:type="dxa"/>
            <w:gridSpan w:val="3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Мини-кластер НВИЭ (Emergency) (10%)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Двойной гибрид Е-2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  Е-2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10%+10%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Трио-кластер Е-3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10%+9%+1%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Квадро-кластер Е-4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ДГ+ВЭУ+ФЭП+ТН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9%+7%+1%+2%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Пента-кластер Е-5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ДГ+ВЭУ+ФЭП+ТН+мГЭС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8%+5%+0,5%+1,5%+2%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Сикстет-кластер Е-6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ДГ+ВЭУ+ФЭП+ТН+мГЭС+БГУ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7%+2%+0,5%+1%+2%+0,5%</w:t>
            </w:r>
          </w:p>
        </w:tc>
      </w:tr>
      <w:tr w:rsidR="004B0177" w:rsidRPr="0092152B" w:rsidTr="0092152B">
        <w:tc>
          <w:tcPr>
            <w:tcW w:w="9571" w:type="dxa"/>
            <w:gridSpan w:val="3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Малый кластер НВИЭ (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Small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) (20%)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S-2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 xml:space="preserve">ДГ+ВЭУ  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20%+20%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S-3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20%+15%+5%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S-4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ДГ+ВЭУ+ФЭП+ТН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18%+15%+1%+4%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S-5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ВЭУ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ФЭП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ТН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мГЭС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16%+7%+0,5%+2,5%+6%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S-6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ВЭУ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ФЭП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ТН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мГЭС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БГУ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15%+2%+0,5%+1%+2%+0,5%</w:t>
            </w:r>
          </w:p>
        </w:tc>
      </w:tr>
      <w:tr w:rsidR="004B0177" w:rsidRPr="0092152B" w:rsidTr="0092152B">
        <w:tc>
          <w:tcPr>
            <w:tcW w:w="9571" w:type="dxa"/>
            <w:gridSpan w:val="3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Средний кластер НВИЭ (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Middle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) (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0%)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М-2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 xml:space="preserve">ДГ+ВЭУ  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50%+50%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М-3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50%+45%+5%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М-4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ДГ+ВЭУ+ФЭП+ТН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45%+35%+2%+13%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М-5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ДГ+ВЭУ+ФЭП+ТН+мГЭС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40%+20%+2%+8%+20%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М-6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ДГ+ВЭУ+ФЭП+ТН+мГЭС+БГУ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35%+2%+0,5%+1%+2%+0,5%</w:t>
            </w:r>
          </w:p>
        </w:tc>
      </w:tr>
      <w:tr w:rsidR="004B0177" w:rsidRPr="0092152B" w:rsidTr="0092152B">
        <w:tc>
          <w:tcPr>
            <w:tcW w:w="9571" w:type="dxa"/>
            <w:gridSpan w:val="3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Полный кластер НВИЭ (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Full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) (100%)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F-2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 xml:space="preserve">ДГ+ВЭУ  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F-2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100%+100%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F-3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100%+90%+10%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F-4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ДГ+ВЭУ+ФЭП+ТН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90%+80%+5%+15%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F-5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ВЭУ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ФЭП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ТН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СК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)+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мГЭС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80%+40%+4%+16%+40%</w:t>
            </w:r>
          </w:p>
        </w:tc>
      </w:tr>
      <w:tr w:rsidR="004B0177" w:rsidRPr="0092152B" w:rsidTr="0092152B">
        <w:tc>
          <w:tcPr>
            <w:tcW w:w="2376" w:type="dxa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F-6</w:t>
            </w:r>
          </w:p>
        </w:tc>
        <w:tc>
          <w:tcPr>
            <w:tcW w:w="3782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ДГ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ВЭУ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ФЭП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ТН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СК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)+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мГЭС</w:t>
            </w: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92152B">
              <w:rPr>
                <w:rFonts w:ascii="Times New Roman" w:hAnsi="Times New Roman"/>
                <w:sz w:val="24"/>
                <w:szCs w:val="24"/>
              </w:rPr>
              <w:t>БГУ</w:t>
            </w:r>
          </w:p>
        </w:tc>
        <w:tc>
          <w:tcPr>
            <w:tcW w:w="3413" w:type="dxa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152B">
              <w:rPr>
                <w:rFonts w:ascii="Times New Roman" w:hAnsi="Times New Roman"/>
                <w:sz w:val="24"/>
                <w:szCs w:val="24"/>
                <w:lang w:val="en-US"/>
              </w:rPr>
              <w:t>70%+35%+5%+15%+35%+15%</w:t>
            </w:r>
          </w:p>
        </w:tc>
      </w:tr>
    </w:tbl>
    <w:p w:rsidR="004B0177" w:rsidRDefault="004B0177" w:rsidP="007A59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0177" w:rsidRDefault="004B0177" w:rsidP="007A59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0177" w:rsidRDefault="004B0177" w:rsidP="007A59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0177" w:rsidRDefault="004B0177" w:rsidP="007A59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0177" w:rsidRDefault="004B0177" w:rsidP="0055631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4B0177" w:rsidRDefault="004B0177" w:rsidP="0055631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И ПОТЕНЦИАЛЬНОЕ ИЗМЕНЕНИЕ УСТАНОВЛЕННОЙ МОЩНОСТИ, ТЕКУЩЕЙ И ОЖИДАЕМОЙ СТОИМОСТИ ЭНЕРГИИ ОТ ВИЭ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6"/>
        <w:gridCol w:w="2032"/>
        <w:gridCol w:w="1930"/>
        <w:gridCol w:w="1556"/>
        <w:gridCol w:w="1372"/>
      </w:tblGrid>
      <w:tr w:rsidR="004B0177" w:rsidRPr="0092152B" w:rsidTr="0092152B">
        <w:tc>
          <w:tcPr>
            <w:tcW w:w="2387" w:type="dxa"/>
            <w:vMerge w:val="restart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Технологии ВИЭ</w:t>
            </w:r>
          </w:p>
        </w:tc>
        <w:tc>
          <w:tcPr>
            <w:tcW w:w="2116" w:type="dxa"/>
            <w:vMerge w:val="restart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Уровень установленной мощности и ее рост за 5 лет, ГВт (% в год)</w:t>
            </w:r>
          </w:p>
        </w:tc>
        <w:tc>
          <w:tcPr>
            <w:tcW w:w="5068" w:type="dxa"/>
            <w:gridSpan w:val="3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Стоимость</w:t>
            </w:r>
          </w:p>
        </w:tc>
      </w:tr>
      <w:tr w:rsidR="004B0177" w:rsidRPr="0092152B" w:rsidTr="0092152B">
        <w:tc>
          <w:tcPr>
            <w:tcW w:w="2387" w:type="dxa"/>
            <w:vMerge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6" w:type="dxa"/>
            <w:vMerge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удельная установленной мощности, $/кВТ</w:t>
            </w:r>
          </w:p>
        </w:tc>
        <w:tc>
          <w:tcPr>
            <w:tcW w:w="1701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текущая энергии новых систем, ц/кВт∙ч</w:t>
            </w:r>
          </w:p>
        </w:tc>
        <w:tc>
          <w:tcPr>
            <w:tcW w:w="1383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ожидаемая в будущем, ц/кВт∙ч</w:t>
            </w:r>
          </w:p>
        </w:tc>
      </w:tr>
      <w:tr w:rsidR="004B0177" w:rsidRPr="0092152B" w:rsidTr="0092152B">
        <w:tc>
          <w:tcPr>
            <w:tcW w:w="2387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Электроэнергия ВЭУ</w:t>
            </w:r>
          </w:p>
        </w:tc>
        <w:tc>
          <w:tcPr>
            <w:tcW w:w="2116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204 (25)</w:t>
            </w:r>
          </w:p>
        </w:tc>
        <w:tc>
          <w:tcPr>
            <w:tcW w:w="1984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1100-1700</w:t>
            </w:r>
          </w:p>
        </w:tc>
        <w:tc>
          <w:tcPr>
            <w:tcW w:w="1701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5-13</w:t>
            </w:r>
          </w:p>
        </w:tc>
        <w:tc>
          <w:tcPr>
            <w:tcW w:w="1383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3-10</w:t>
            </w:r>
          </w:p>
        </w:tc>
      </w:tr>
      <w:tr w:rsidR="004B0177" w:rsidRPr="0092152B" w:rsidTr="0092152B">
        <w:tc>
          <w:tcPr>
            <w:tcW w:w="2387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Фотоэлектричество</w:t>
            </w:r>
          </w:p>
        </w:tc>
        <w:tc>
          <w:tcPr>
            <w:tcW w:w="2116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39,8 (30)</w:t>
            </w:r>
          </w:p>
        </w:tc>
        <w:tc>
          <w:tcPr>
            <w:tcW w:w="1984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5000-10000</w:t>
            </w:r>
          </w:p>
        </w:tc>
        <w:tc>
          <w:tcPr>
            <w:tcW w:w="1701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25-125</w:t>
            </w:r>
          </w:p>
        </w:tc>
        <w:tc>
          <w:tcPr>
            <w:tcW w:w="1383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5-25</w:t>
            </w:r>
          </w:p>
        </w:tc>
      </w:tr>
      <w:tr w:rsidR="004B0177" w:rsidRPr="0092152B" w:rsidTr="0092152B">
        <w:tc>
          <w:tcPr>
            <w:tcW w:w="2387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Электроэнергия от солнечных ТЭС</w:t>
            </w:r>
          </w:p>
        </w:tc>
        <w:tc>
          <w:tcPr>
            <w:tcW w:w="2116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1,1 (5)</w:t>
            </w:r>
          </w:p>
        </w:tc>
        <w:tc>
          <w:tcPr>
            <w:tcW w:w="1984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3000-4000</w:t>
            </w:r>
          </w:p>
        </w:tc>
        <w:tc>
          <w:tcPr>
            <w:tcW w:w="1701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12-18</w:t>
            </w:r>
          </w:p>
        </w:tc>
        <w:tc>
          <w:tcPr>
            <w:tcW w:w="1383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4-10</w:t>
            </w:r>
          </w:p>
        </w:tc>
      </w:tr>
      <w:tr w:rsidR="004B0177" w:rsidRPr="0092152B" w:rsidTr="0092152B">
        <w:trPr>
          <w:trHeight w:val="623"/>
        </w:trPr>
        <w:tc>
          <w:tcPr>
            <w:tcW w:w="2387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Низкопотенциальное тепло от солнечных установок</w:t>
            </w:r>
          </w:p>
        </w:tc>
        <w:tc>
          <w:tcPr>
            <w:tcW w:w="2116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28 (т) (8)</w:t>
            </w:r>
          </w:p>
        </w:tc>
        <w:tc>
          <w:tcPr>
            <w:tcW w:w="1984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500-1700</w:t>
            </w:r>
          </w:p>
        </w:tc>
        <w:tc>
          <w:tcPr>
            <w:tcW w:w="1701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3-20</w:t>
            </w:r>
          </w:p>
        </w:tc>
        <w:tc>
          <w:tcPr>
            <w:tcW w:w="1383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2-10</w:t>
            </w:r>
          </w:p>
        </w:tc>
      </w:tr>
      <w:tr w:rsidR="004B0177" w:rsidRPr="0092152B" w:rsidTr="0092152B">
        <w:tc>
          <w:tcPr>
            <w:tcW w:w="2387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Электроэнергия от ГЭС:</w:t>
            </w:r>
          </w:p>
          <w:p w:rsidR="004B0177" w:rsidRPr="0092152B" w:rsidRDefault="004B0177" w:rsidP="0092152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мощных</w:t>
            </w:r>
          </w:p>
          <w:p w:rsidR="004B0177" w:rsidRPr="0092152B" w:rsidRDefault="004B0177" w:rsidP="0092152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малых</w:t>
            </w:r>
          </w:p>
        </w:tc>
        <w:tc>
          <w:tcPr>
            <w:tcW w:w="2116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672 (2)</w:t>
            </w:r>
          </w:p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35 (3)</w:t>
            </w:r>
          </w:p>
        </w:tc>
        <w:tc>
          <w:tcPr>
            <w:tcW w:w="1984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1000-3500</w:t>
            </w:r>
          </w:p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1200-3000</w:t>
            </w:r>
          </w:p>
        </w:tc>
        <w:tc>
          <w:tcPr>
            <w:tcW w:w="1701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2-8</w:t>
            </w:r>
          </w:p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4-10</w:t>
            </w:r>
          </w:p>
        </w:tc>
        <w:tc>
          <w:tcPr>
            <w:tcW w:w="1383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2-8</w:t>
            </w:r>
          </w:p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3-10</w:t>
            </w:r>
          </w:p>
        </w:tc>
      </w:tr>
      <w:tr w:rsidR="004B0177" w:rsidRPr="0092152B" w:rsidTr="0092152B">
        <w:tc>
          <w:tcPr>
            <w:tcW w:w="2387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Биомасса:</w:t>
            </w:r>
          </w:p>
          <w:p w:rsidR="004B0177" w:rsidRPr="0092152B" w:rsidRDefault="004B0177" w:rsidP="00921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электричество</w:t>
            </w:r>
          </w:p>
          <w:p w:rsidR="004B0177" w:rsidRPr="0092152B" w:rsidRDefault="004B0177" w:rsidP="0092152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тепло</w:t>
            </w:r>
          </w:p>
        </w:tc>
        <w:tc>
          <w:tcPr>
            <w:tcW w:w="2116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59 (3)</w:t>
            </w:r>
          </w:p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254 (3)</w:t>
            </w:r>
          </w:p>
        </w:tc>
        <w:tc>
          <w:tcPr>
            <w:tcW w:w="1984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900-3000</w:t>
            </w:r>
          </w:p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250-750</w:t>
            </w:r>
          </w:p>
        </w:tc>
        <w:tc>
          <w:tcPr>
            <w:tcW w:w="1701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5-15</w:t>
            </w:r>
          </w:p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383" w:type="dxa"/>
            <w:vAlign w:val="center"/>
          </w:tcPr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4-10</w:t>
            </w:r>
          </w:p>
          <w:p w:rsidR="004B0177" w:rsidRPr="0092152B" w:rsidRDefault="004B0177" w:rsidP="00921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2B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</w:tr>
    </w:tbl>
    <w:p w:rsidR="004B0177" w:rsidRPr="00556310" w:rsidRDefault="004B0177" w:rsidP="0055631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настоящее время, перед российской возобновляемой энергетикой стоят задачи, требующие обновленного метода в решении проблемы устойчивого гарантированного и экономически целесообразного для удаленных объектов, регионов, территорий обеспечения энергией.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качестве такого метода рационально использование расширенного комплексного применения различных видов НВИЭ (кластеров) с учетом природно-климатического потенциала определенного региона.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зависимости от потребностей и возможностей заказчик (частные лица, мелкие производители, муниципалитеты) на удаленных территориях сам может выбрать тип кластера и соотношения по видам НВИЭ. В связи с этим мотивацией для роста интереса к НВИЭ является рост стоимости органических топлив, иссякаемость их запасов на планете и объективный вектор на постепенное снижение удельных затрат при использовании НВИЭ в мире.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Рассмотрим имитационную модель гибридного кластера, следуя [2], которая в общем виде может быть представлена уравнением </w:t>
      </w:r>
    </w:p>
    <w:p w:rsidR="004B0177" w:rsidRPr="002D18FE" w:rsidRDefault="004B0177" w:rsidP="000F79E1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92152B">
        <w:rPr>
          <w:rFonts w:ascii="Times New Roman" w:hAnsi="Times New Roman"/>
          <w:sz w:val="28"/>
          <w:szCs w:val="28"/>
        </w:rPr>
        <w:fldChar w:fldCharType="begin"/>
      </w:r>
      <w:r w:rsidRPr="0092152B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8pt;height:1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C6DE2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AC6DE2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G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єР»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f[v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A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, E, S,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,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; 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v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d, h, k, p, s, sp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 РЎ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, 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]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instrText xml:space="preserve"> </w:instrText>
      </w:r>
      <w:r w:rsidRPr="0092152B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26" type="#_x0000_t75" style="width:292.8pt;height:1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C6DE2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AC6DE2&quot;&gt;&lt;m:oMathPara&gt;&lt;m:oMath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G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єР»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f[v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A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, E, S,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,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F&lt;/m:t&gt;&lt;/m: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; 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v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d, h, k, p, s, sp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 РЎ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РЎ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, 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j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]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fldChar w:fldCharType="end"/>
      </w:r>
      <w:r w:rsidRPr="002D18FE">
        <w:rPr>
          <w:rFonts w:ascii="Times New Roman" w:hAnsi="Times New Roman"/>
          <w:sz w:val="28"/>
          <w:szCs w:val="28"/>
        </w:rPr>
        <w:tab/>
      </w:r>
      <w:r w:rsidRPr="002D18FE">
        <w:rPr>
          <w:rFonts w:ascii="Times New Roman" w:hAnsi="Times New Roman"/>
          <w:sz w:val="28"/>
          <w:szCs w:val="28"/>
        </w:rPr>
        <w:tab/>
        <w:t>(1)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  <w:vertAlign w:val="subscript"/>
        </w:rPr>
        <w:t xml:space="preserve">кл </w:t>
      </w:r>
      <w:r>
        <w:rPr>
          <w:rFonts w:ascii="Times New Roman" w:hAnsi="Times New Roman"/>
          <w:sz w:val="28"/>
          <w:szCs w:val="28"/>
        </w:rPr>
        <w:t xml:space="preserve">− показатель эффективности гибридного кластера (комплекса НВИЭ);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− совокупность факторов воздействия внешней среды: скорость ветра (ВЭУ), инсоляция (ФЭП, СК), напор, расход (мГЭС), температура НПИ (ТН), режим метангенерации (БГУ); А, Е,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2D18F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2D18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2D18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тип кластера в зависимости от доли замещаемой мощности (кластеры: А − микро; Е − мини;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− малый; М − средний;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 − полный);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7F7E5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7F7E5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7F7E5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7F7E5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7F7E5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sp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тип кластера в зависимости от вида НВИЭ в системе: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двойной гибрид (ДГ+ВЭУ или ДГ+ФЭП или ДГ+мГЭС и т.п.);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трио-кластер (ДГ+ВЭУ+ФЭП или ДГ+ВЭУ+мГЭС);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квадро-кластер (ДГ+ВЭУ+ФЭП+мГЭС);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 пента-кластер (ДГ+ВЭУ+ФЭП+мГЭС+ТН+БГУ);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сикстет-кластер (ДГ+ВЭУ+ФЭП+мГЭС+ТН+БГУ); </w:t>
      </w:r>
      <w:r>
        <w:rPr>
          <w:rFonts w:ascii="Times New Roman" w:hAnsi="Times New Roman"/>
          <w:sz w:val="28"/>
          <w:szCs w:val="28"/>
          <w:lang w:val="en-US"/>
        </w:rPr>
        <w:t>sp</w:t>
      </w:r>
      <w:r>
        <w:rPr>
          <w:rFonts w:ascii="Times New Roman" w:hAnsi="Times New Roman"/>
          <w:sz w:val="28"/>
          <w:szCs w:val="28"/>
        </w:rPr>
        <w:t xml:space="preserve"> − септ-кластер (ДГ+ВЭУ+ФЭП+мГЭС+ТН+БГУ+СК); СС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себестоимость производства 1 кВт∙ч разными видами НВИЭ; U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7F7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стоимость кВт установленной мощности вида НВИЭ. 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общем виде объект исследования можно представить в виде структурной схемы, показанной на рис. 1.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объекта в виде такой схемы основано на принципе «черного ящика», который имеет следующие группы параметров:</w:t>
      </w:r>
    </w:p>
    <w:p w:rsidR="004B0177" w:rsidRDefault="004B0177" w:rsidP="00D70B6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28530A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>управляющие (входные), которые называются факторами;</w:t>
      </w:r>
    </w:p>
    <w:p w:rsidR="004B0177" w:rsidRDefault="004B0177" w:rsidP="00D70B6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28530A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>выходные параметры, которые называются параметрами состояния;</w:t>
      </w:r>
    </w:p>
    <w:p w:rsidR="004B0177" w:rsidRPr="00570C04" w:rsidRDefault="004B0177" w:rsidP="00D70B64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 xml:space="preserve"> − </w:t>
      </w:r>
      <w:r>
        <w:rPr>
          <w:rFonts w:ascii="Times New Roman" w:hAnsi="Times New Roman"/>
          <w:sz w:val="28"/>
          <w:szCs w:val="28"/>
        </w:rPr>
        <w:t>возмущающие воздействия.</w:t>
      </w:r>
    </w:p>
    <w:p w:rsidR="004B0177" w:rsidRPr="00A51E71" w:rsidRDefault="004B0177" w:rsidP="00A51E71">
      <w:pPr>
        <w:spacing w:after="0"/>
        <w:ind w:left="708"/>
        <w:jc w:val="center"/>
        <w:rPr>
          <w:rFonts w:ascii="Times New Roman" w:hAnsi="Times New Roman"/>
          <w:sz w:val="28"/>
          <w:szCs w:val="28"/>
          <w:lang w:val="en-US"/>
        </w:rPr>
      </w:pPr>
      <w:r w:rsidRPr="00710903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" o:spid="_x0000_i1027" type="#_x0000_t75" style="width:213pt;height:127.8pt;visibility:visible">
            <v:imagedata r:id="rId8" o:title=""/>
          </v:shape>
        </w:pict>
      </w:r>
    </w:p>
    <w:p w:rsidR="004B0177" w:rsidRPr="00494C97" w:rsidRDefault="004B0177" w:rsidP="006B785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1. Алгоритм математического анализа многофакторной модели для ВИЭ</w:t>
      </w:r>
    </w:p>
    <w:p w:rsidR="004B0177" w:rsidRPr="00494C97" w:rsidRDefault="004B0177" w:rsidP="006B785B">
      <w:pPr>
        <w:spacing w:after="0"/>
        <w:rPr>
          <w:rFonts w:ascii="Times New Roman" w:hAnsi="Times New Roman"/>
          <w:sz w:val="28"/>
          <w:szCs w:val="28"/>
        </w:rPr>
      </w:pP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0ABA">
        <w:rPr>
          <w:rFonts w:ascii="Times New Roman" w:hAnsi="Times New Roman"/>
          <w:sz w:val="28"/>
          <w:szCs w:val="28"/>
        </w:rPr>
        <w:t xml:space="preserve">Учитывая, что возмущающие воздействия Wi </w:t>
      </w:r>
      <w:r>
        <w:rPr>
          <w:rFonts w:ascii="Times New Roman" w:hAnsi="Times New Roman"/>
          <w:sz w:val="28"/>
          <w:szCs w:val="28"/>
        </w:rPr>
        <w:t xml:space="preserve">не поддаются контролю, следовательно, </w:t>
      </w:r>
      <w:r w:rsidRPr="004A0ABA">
        <w:rPr>
          <w:rFonts w:ascii="Times New Roman" w:hAnsi="Times New Roman"/>
          <w:sz w:val="28"/>
          <w:szCs w:val="28"/>
        </w:rPr>
        <w:t>являются случайными или меняющимися во времени (скорость ветра, инсоляция, температура воздуха, грунта, теплоносителя).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Каждый фактор Х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имеет область определения, которая должна быть установлена до проведения эксперимента (СС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 xml:space="preserve"> − себестоимость выработки кВт∙ч энергии или удельная стоимость оборудования U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 xml:space="preserve"> для 1 кВт установленной мощности).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Сочетание представленных факторов можно представить как точку в многомерном пространстве, описывающую состояние системы.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реальных условиях цель многофакторного эксперимента заключается в установлении зависимости</w:t>
      </w:r>
    </w:p>
    <w:p w:rsidR="004B0177" w:rsidRDefault="004B0177" w:rsidP="00D70B64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92152B">
        <w:rPr>
          <w:rFonts w:ascii="Times New Roman" w:hAnsi="Times New Roman"/>
          <w:sz w:val="28"/>
          <w:szCs w:val="28"/>
        </w:rPr>
        <w:fldChar w:fldCharType="begin"/>
      </w:r>
      <w:r w:rsidRPr="0092152B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28" type="#_x0000_t75" style="width:110.4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1C482D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1C482D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=П†(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вЂ¦ 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k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instrText xml:space="preserve"> </w:instrText>
      </w:r>
      <w:r w:rsidRPr="0092152B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29" type="#_x0000_t75" style="width:110.4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1C482D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1C482D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=П†(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вЂ¦ 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k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ab/>
        <w:t xml:space="preserve">                          (2)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описывающей поведение объекта. Как правило, функция (2) строится в виде полинома </w:t>
      </w:r>
    </w:p>
    <w:p w:rsidR="004B0177" w:rsidRPr="0052628F" w:rsidRDefault="004B0177" w:rsidP="00D70B64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52628F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52628F">
        <w:rPr>
          <w:rFonts w:ascii="Times New Roman" w:hAnsi="Times New Roman"/>
          <w:sz w:val="28"/>
          <w:szCs w:val="28"/>
        </w:rPr>
        <w:t xml:space="preserve"> (3)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или </w:t>
      </w:r>
    </w:p>
    <w:p w:rsidR="004B0177" w:rsidRDefault="004B0177" w:rsidP="00D70B64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92152B">
        <w:rPr>
          <w:rFonts w:ascii="Times New Roman" w:hAnsi="Times New Roman"/>
          <w:sz w:val="28"/>
          <w:szCs w:val="28"/>
        </w:rPr>
        <w:fldChar w:fldCharType="begin"/>
      </w:r>
      <w:r w:rsidRPr="0092152B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0" type="#_x0000_t75" style="width:260.4pt;height:1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6FDB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D36FDB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y=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0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1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p&gt;&lt;/m:sSubSup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2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p&gt;&lt;/m:sSubSup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2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instrText xml:space="preserve"> </w:instrText>
      </w:r>
      <w:r w:rsidRPr="0092152B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1" type="#_x0000_t75" style="width:260.4pt;height:1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6FDB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D36FDB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y=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0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1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p&gt;&lt;/m:sSubSup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2&lt;/m:t&gt;&lt;/m:r&gt;&lt;/m:sub&gt;&lt;/m:sSub&gt;&lt;m:sSubSup&gt;&lt;m:sSubSup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Sup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m:sup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p&gt;&lt;/m:sSubSup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a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2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fldChar w:fldCharType="end"/>
      </w:r>
      <w:r w:rsidRPr="0052628F">
        <w:rPr>
          <w:rFonts w:ascii="Times New Roman" w:hAnsi="Times New Roman"/>
          <w:sz w:val="28"/>
          <w:szCs w:val="28"/>
        </w:rPr>
        <w:t xml:space="preserve"> </w:t>
      </w:r>
      <w:r w:rsidRPr="0052628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Pr="0052628F">
        <w:rPr>
          <w:rFonts w:ascii="Times New Roman" w:hAnsi="Times New Roman"/>
          <w:sz w:val="28"/>
          <w:szCs w:val="28"/>
        </w:rPr>
        <w:t>(4)</w:t>
      </w:r>
    </w:p>
    <w:p w:rsidR="004B0177" w:rsidRPr="00124CEE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х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124CEE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>управляющие параметры, а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124CE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ij</w:t>
      </w:r>
      <w:r w:rsidRPr="00124C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124C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соответствующие коэффициенты, описывающие вклад каждого управляющего параметра.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зависимости</w:t>
      </w:r>
      <w:r w:rsidRPr="0052628F">
        <w:rPr>
          <w:rFonts w:ascii="Times New Roman" w:hAnsi="Times New Roman"/>
          <w:sz w:val="28"/>
          <w:szCs w:val="28"/>
        </w:rPr>
        <w:t xml:space="preserve"> (2)</w:t>
      </w:r>
      <w:r>
        <w:rPr>
          <w:rFonts w:ascii="Times New Roman" w:hAnsi="Times New Roman"/>
          <w:sz w:val="28"/>
          <w:szCs w:val="28"/>
        </w:rPr>
        <w:t xml:space="preserve"> при минимальном количестве измерений значений управляющих параметров х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5262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было целью эксперимента.</w:t>
      </w:r>
      <w:r w:rsidRPr="0052628F">
        <w:rPr>
          <w:rFonts w:ascii="Times New Roman" w:hAnsi="Times New Roman"/>
          <w:sz w:val="28"/>
          <w:szCs w:val="28"/>
        </w:rPr>
        <w:t xml:space="preserve"> 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722D">
        <w:rPr>
          <w:rFonts w:ascii="Times New Roman" w:hAnsi="Times New Roman"/>
          <w:sz w:val="28"/>
          <w:szCs w:val="28"/>
        </w:rPr>
        <w:t>Известно, что оборудование на объекте «Энергоэффективный дом» имеет динамические характеристики. Следовательно, входные факторы и параметры объекта зависят от времени. Тогда задача идентификации объекта (построение функции отклика) во многом аналогична электротехническим задачам.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множества сложных объектов является характерным наличие случайных возмущений, и задача идентификации требует статистических методов для определения динамических характеристик.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Главная практическая задача заключается в определении оптимальных условий для исследуемого объекта. Как правило, при многофакторном эксперименте необходимо найти значения факторов х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таких, при которых отклик системы у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принимает значения у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 w:rsidRPr="00621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min</w:t>
      </w:r>
      <w:r>
        <w:rPr>
          <w:rFonts w:ascii="Times New Roman" w:hAnsi="Times New Roman"/>
          <w:sz w:val="28"/>
          <w:szCs w:val="28"/>
        </w:rPr>
        <w:t xml:space="preserve">. Таким образом, строится целевая функция отклика </w:t>
      </w:r>
    </w:p>
    <w:p w:rsidR="004B0177" w:rsidRPr="00621C0A" w:rsidRDefault="004B0177" w:rsidP="00D70B64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Pr="00A51E7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92152B">
        <w:rPr>
          <w:rFonts w:ascii="Times New Roman" w:hAnsi="Times New Roman"/>
          <w:sz w:val="28"/>
          <w:szCs w:val="28"/>
        </w:rPr>
        <w:fldChar w:fldCharType="begin"/>
      </w:r>
      <w:r w:rsidRPr="0092152B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2" type="#_x0000_t75" style="width:10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0E1B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260E1B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=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(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вЂ¦ 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k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instrText xml:space="preserve"> </w:instrText>
      </w:r>
      <w:r w:rsidRPr="0092152B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3" type="#_x0000_t75" style="width:102pt;height:16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0E1B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260E1B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=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(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вЂ¦ 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k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fldChar w:fldCharType="end"/>
      </w:r>
      <w:r w:rsidRPr="00621C0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A51E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21C0A">
        <w:rPr>
          <w:rFonts w:ascii="Times New Roman" w:hAnsi="Times New Roman"/>
          <w:sz w:val="28"/>
          <w:szCs w:val="28"/>
        </w:rPr>
        <w:t>(5)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задача оптимизации сводится к определении х</w:t>
      </w:r>
      <w:r>
        <w:rPr>
          <w:rFonts w:ascii="Times New Roman" w:hAnsi="Times New Roman"/>
          <w:sz w:val="28"/>
          <w:szCs w:val="28"/>
          <w:vertAlign w:val="subscript"/>
        </w:rPr>
        <w:t>1опт</w:t>
      </w:r>
      <w:r>
        <w:rPr>
          <w:rFonts w:ascii="Times New Roman" w:hAnsi="Times New Roman"/>
          <w:sz w:val="28"/>
          <w:szCs w:val="28"/>
        </w:rPr>
        <w:t>, х</w:t>
      </w:r>
      <w:r>
        <w:rPr>
          <w:rFonts w:ascii="Times New Roman" w:hAnsi="Times New Roman"/>
          <w:sz w:val="28"/>
          <w:szCs w:val="28"/>
          <w:vertAlign w:val="subscript"/>
        </w:rPr>
        <w:t>2опт</w:t>
      </w:r>
      <w:r>
        <w:rPr>
          <w:rFonts w:ascii="Times New Roman" w:hAnsi="Times New Roman"/>
          <w:sz w:val="28"/>
          <w:szCs w:val="28"/>
        </w:rPr>
        <w:t>, … , х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  <w:vertAlign w:val="subscript"/>
        </w:rPr>
        <w:t xml:space="preserve"> опт</w:t>
      </w:r>
      <w:r>
        <w:rPr>
          <w:rFonts w:ascii="Times New Roman" w:hAnsi="Times New Roman"/>
          <w:sz w:val="28"/>
          <w:szCs w:val="28"/>
        </w:rPr>
        <w:t>, обеспечивающих экстремум функции цели</w:t>
      </w:r>
    </w:p>
    <w:p w:rsidR="004B0177" w:rsidRPr="00CC6629" w:rsidRDefault="004B0177" w:rsidP="00D9539F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 xml:space="preserve">                  </w:t>
      </w:r>
      <w:r w:rsidRPr="00CC6629">
        <w:rPr>
          <w:rFonts w:ascii="Times New Roman" w:hAnsi="Times New Roman"/>
          <w:sz w:val="28"/>
          <w:szCs w:val="28"/>
        </w:rPr>
        <w:fldChar w:fldCharType="begin"/>
      </w:r>
      <w:r w:rsidRPr="00CC6629">
        <w:rPr>
          <w:rFonts w:ascii="Times New Roman" w:hAnsi="Times New Roman"/>
          <w:sz w:val="28"/>
          <w:szCs w:val="28"/>
        </w:rPr>
        <w:instrText xml:space="preserve"> QUOTE </w:instrText>
      </w:r>
      <w:r w:rsidRPr="00CC6629">
        <w:rPr>
          <w:position w:val="-14"/>
        </w:rPr>
        <w:pict>
          <v:shape id="_x0000_i1034" type="#_x0000_t75" style="width:244.2pt;height:21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B42A1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CB42A1&quot; wsp:rsidP=&quot;00CB42A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=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d&gt;&lt;m:d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 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РѕРїС‚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 РѕРїС‚,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  вЂ¦ 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,  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С…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РѕРїС‚&lt;/m:t&gt;&lt;/m:r&gt;&lt;/m:sub&gt;&lt;/m:sSub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=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min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(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max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instrText xml:space="preserve"> </w:instrText>
      </w:r>
      <w:r w:rsidRPr="00CC6629">
        <w:rPr>
          <w:rFonts w:ascii="Times New Roman" w:hAnsi="Times New Roman"/>
          <w:sz w:val="28"/>
          <w:szCs w:val="28"/>
        </w:rPr>
        <w:fldChar w:fldCharType="separate"/>
      </w:r>
      <w:r w:rsidRPr="00CC6629">
        <w:rPr>
          <w:position w:val="-14"/>
        </w:rPr>
        <w:pict>
          <v:shape id="_x0000_i1035" type="#_x0000_t75" style="width:244.2pt;height:21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B42A1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CB42A1&quot; wsp:rsidP=&quot;00CB42A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=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d&gt;&lt;m:d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 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РѕРїС‚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 РѕРїС‚,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  вЂ¦ 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,  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С…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РѕРїС‚&lt;/m:t&gt;&lt;/m:r&gt;&lt;/m:sub&gt;&lt;/m:sSub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=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min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(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max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fldChar w:fldCharType="end"/>
      </w:r>
      <w:r w:rsidRPr="00CC6629">
        <w:rPr>
          <w:rFonts w:ascii="Times New Roman" w:hAnsi="Times New Roman"/>
          <w:sz w:val="28"/>
          <w:szCs w:val="28"/>
        </w:rPr>
        <w:t xml:space="preserve">                (6)</w:t>
      </w:r>
    </w:p>
    <w:p w:rsidR="004B0177" w:rsidRPr="00CC6629" w:rsidRDefault="004B0177" w:rsidP="00D9539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>Вместе с этим, на значения факторов накладываются дополнительные ограничения</w:t>
      </w:r>
    </w:p>
    <w:p w:rsidR="004B0177" w:rsidRPr="00CC6629" w:rsidRDefault="004B0177" w:rsidP="00D9539F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 xml:space="preserve">                   </w:t>
      </w:r>
      <w:r w:rsidRPr="00CC6629">
        <w:rPr>
          <w:rFonts w:ascii="Times New Roman" w:hAnsi="Times New Roman"/>
          <w:sz w:val="28"/>
          <w:szCs w:val="28"/>
        </w:rPr>
        <w:fldChar w:fldCharType="begin"/>
      </w:r>
      <w:r w:rsidRPr="00CC6629">
        <w:rPr>
          <w:rFonts w:ascii="Times New Roman" w:hAnsi="Times New Roman"/>
          <w:sz w:val="28"/>
          <w:szCs w:val="28"/>
        </w:rPr>
        <w:instrText xml:space="preserve"> QUOTE </w:instrText>
      </w:r>
      <w:r w:rsidRPr="00CC6629">
        <w:rPr>
          <w:position w:val="-11"/>
        </w:rPr>
        <w:pict>
          <v:shape id="_x0000_i1036" type="#_x0000_t75" style="width:18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D7943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CD7943&quot; wsp:rsidP=&quot;00CD7943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=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d&gt;&lt;m:d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вЂ¦ 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k&lt;/m:t&gt;&lt;/m:r&gt;&lt;/m:sub&gt;&lt;/m:sSub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 &lt;/m:t&gt;&lt;/m:r&gt;&lt;m:d&gt;&lt;m:dPr&gt;&lt;m:begChr m:val=&quot;{&quot;/&gt;&lt;m:endChr m:val=&quot;}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&amp;lt;=&amp;gt;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instrText xml:space="preserve"> </w:instrText>
      </w:r>
      <w:r w:rsidRPr="00CC6629">
        <w:rPr>
          <w:rFonts w:ascii="Times New Roman" w:hAnsi="Times New Roman"/>
          <w:sz w:val="28"/>
          <w:szCs w:val="28"/>
        </w:rPr>
        <w:fldChar w:fldCharType="separate"/>
      </w:r>
      <w:r w:rsidRPr="00CC6629">
        <w:rPr>
          <w:position w:val="-11"/>
        </w:rPr>
        <w:pict>
          <v:shape id="_x0000_i1037" type="#_x0000_t75" style="width:180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D7943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CD7943&quot; wsp:rsidP=&quot;00CD7943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=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m:t&gt;y&lt;/m:t&gt;&lt;/m:r&gt;&lt;m:d&gt;&lt;m:d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2&lt;/m:t&gt;&lt;/m:r&gt;&lt;/m:sub&gt;&lt;/m:s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, вЂ¦ , &lt;/m:t&gt;&lt;/m:r&gt;&lt;m:sSub&gt;&lt;m:sSubPr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k&lt;/m:t&gt;&lt;/m:r&gt;&lt;/m:sub&gt;&lt;/m:sSub&gt;&lt;m:ctrlPr&gt;&lt;w:rPr&gt;&lt;w:rFonts w:ascii=&quot;Cambria Math&quot; w:fareast=&quot;Times New Roman&quot; w:h-ansi=&quot;Cambria Math&quot;/&gt;&lt;wx:font wx:val=&quot;Cambria Math&quot;/&gt;&lt;w:sz w:val=&quot;28&quot;/&gt;&lt;w:sz-cs w:val=&quot;28&quot;/&gt;&lt;/w:rPr&gt;&lt;/m:ctrlPr&gt;&lt;/m:e&gt;&lt;/m:d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 &lt;/m:t&gt;&lt;/m:r&gt;&lt;m:d&gt;&lt;m:dPr&gt;&lt;m:begChr m:val=&quot;{&quot;/&gt;&lt;m:endChr m:val=&quot;}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&amp;lt;=&amp;gt;&lt;/m:t&gt;&lt;/m:r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fldChar w:fldCharType="end"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  <w:t xml:space="preserve">                      (7)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722D">
        <w:rPr>
          <w:rFonts w:ascii="Times New Roman" w:hAnsi="Times New Roman"/>
          <w:sz w:val="28"/>
          <w:szCs w:val="28"/>
        </w:rPr>
        <w:t>Следовательно, задачей оптимизации является нахождение экстремума функции отклика при условии, что сама функция априори неизвестна. Таким образом, экстремум будет означать минимальную стоимость оборудования, входящего в рассматриваемый кластер ВИЭ, при минимальном сроке окупаемости комплекса. Эта задача может быть решена многими способами:</w:t>
      </w:r>
    </w:p>
    <w:p w:rsidR="004B0177" w:rsidRDefault="004B0177" w:rsidP="00D70B64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Посредством полного факторного эксперимента строится нелинейная модель функции отклика, и затем у этой функции находится экстремум. Такая модель может оказаться сложной и потребовать большого количества опытов, так как требования нахождения ее экстремума создают необходимость проведения полного факторного эксперимента в широком диапазоне варьирования и при большом числе опытов.</w:t>
      </w:r>
    </w:p>
    <w:p w:rsidR="004B0177" w:rsidRDefault="004B0177" w:rsidP="00D70B64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Наиболее практически приемлемым оказывается «пошаговый» подход к решению задачи нахождения экстремума. При этом эксперимент проводится в ограниченной области, то есть используется конкретный набор возмущающих воздействий </w:t>
      </w:r>
      <w:r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FC06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(скорость ветра, инсоляция). Определяется направление роста функции отклика (при нахождении максимума) или направление падения функции отклика (при нахождении минимума). Далее эксперимент проводится в следующей области и т.д. Таким образом, проводится последовательный поиск экстремума функции отклика. В этом случае задача оптимизации может быть решена без полного описания функции отклика во всей области варьирования факторов. Пошаговое движение происходит до падения функции в частный оптимум (экстремум функции в выбранном направлении).</w:t>
      </w:r>
    </w:p>
    <w:p w:rsidR="004B0177" w:rsidRDefault="004B0177" w:rsidP="00D70B64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итоге пошагового движения обоими методами определяем квазистационарную область, близкую к точке оптимума. Эта область априори не может быть описана гиперплоскостью и требует описания в виде нелинейной модели (гиперболоида, параболоида и т.д.)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Определить оптимальную конфигурацию кластера ВИЭ для малых мощностей позволяет использование многофакторной модели.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качестве критерия эффективности проектного решения можно принять критерий минимального разброса стоимости одного кВт∙ч отпускаемой кластером электроэнергии при </w:t>
      </w:r>
      <w:r w:rsidRPr="005C722D">
        <w:rPr>
          <w:rFonts w:ascii="Times New Roman" w:hAnsi="Times New Roman"/>
          <w:sz w:val="28"/>
          <w:szCs w:val="28"/>
        </w:rPr>
        <w:t>заданном простом</w:t>
      </w:r>
      <w:r>
        <w:rPr>
          <w:rFonts w:ascii="Times New Roman" w:hAnsi="Times New Roman"/>
          <w:sz w:val="28"/>
          <w:szCs w:val="28"/>
        </w:rPr>
        <w:t xml:space="preserve"> сроке окупаемости.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Допустим, имеем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+1 источник энергии: будем считать не зависящей от случайных возмущений работу одного из них (например, работу дизеля). Назовем такой источник безрисковым. Работа оставшихся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источников ВИЭ подвержена случайным возмущениям (например, использование ветровой и солнечной энергии). Такие источники − рисковые.</w:t>
      </w:r>
    </w:p>
    <w:p w:rsidR="004B0177" w:rsidRDefault="004B0177" w:rsidP="00D70B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Обозначения: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623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− количество электроэнергии, вырабатываемое кластером (в единицу времени); </w:t>
      </w:r>
      <w:r w:rsidRPr="00D70B64">
        <w:rPr>
          <w:rFonts w:ascii="Times New Roman" w:hAnsi="Times New Roman"/>
          <w:sz w:val="28"/>
          <w:szCs w:val="28"/>
          <w:lang w:val="en-US"/>
        </w:rPr>
        <w:t>b</w:t>
      </w:r>
      <w:r w:rsidRPr="00D70B64">
        <w:rPr>
          <w:rFonts w:ascii="Times New Roman" w:hAnsi="Times New Roman"/>
          <w:sz w:val="28"/>
          <w:szCs w:val="28"/>
        </w:rPr>
        <w:t xml:space="preserve"> − допустимый уровень средней стоимости 1 кВт∙ч, вырабатываемого кластером;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 xml:space="preserve"> − стоимость эксплуатации безрискового источника за единицу времени (содержится как стоимость оборудования, так и стоимость обслуживания);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 w:rsidRPr="00623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623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стоимость эксплуатации в течение часа 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62398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типа оборудования из рисковых источников; х</w:t>
      </w:r>
      <w:r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 xml:space="preserve"> − доля (от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F41DC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вырабатываемая безрисковым источником; х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 w:rsidRPr="00F41D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F41D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доля (от 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), вырабатываемая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F41DC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рисковым источником.</w:t>
      </w:r>
    </w:p>
    <w:p w:rsidR="004B0177" w:rsidRDefault="004B0177" w:rsidP="00D820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Измеряемые случайные величины: </w:t>
      </w:r>
      <w:r>
        <w:rPr>
          <w:rFonts w:ascii="Times New Roman" w:hAnsi="Times New Roman"/>
          <w:sz w:val="28"/>
          <w:szCs w:val="28"/>
          <w:lang w:val="en-US"/>
        </w:rPr>
        <w:t>Z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 w:rsidRPr="00F41D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F41D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количество энергии, вырабатываемой за единицу времени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F41DC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рисковым источником.</w:t>
      </w:r>
    </w:p>
    <w:p w:rsidR="004B0177" w:rsidRDefault="004B0177" w:rsidP="00D820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Пусть для каждой из случайных величин  </w:t>
      </w:r>
      <w:r>
        <w:rPr>
          <w:rFonts w:ascii="Times New Roman" w:hAnsi="Times New Roman"/>
          <w:sz w:val="28"/>
          <w:szCs w:val="28"/>
          <w:lang w:val="en-US"/>
        </w:rPr>
        <w:t>Z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имеется выборка из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наблюдений.</w:t>
      </w:r>
    </w:p>
    <w:p w:rsidR="004B0177" w:rsidRDefault="004B0177" w:rsidP="00D820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Вычисляемые (по выборке для </w:t>
      </w:r>
      <w:r>
        <w:rPr>
          <w:rFonts w:ascii="Times New Roman" w:hAnsi="Times New Roman"/>
          <w:sz w:val="28"/>
          <w:szCs w:val="28"/>
          <w:lang w:val="en-US"/>
        </w:rPr>
        <w:t>Z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) случайные величины: </w:t>
      </w:r>
    </w:p>
    <w:p w:rsidR="004B0177" w:rsidRDefault="004B0177" w:rsidP="00D820A5">
      <w:pPr>
        <w:spacing w:after="0" w:line="360" w:lineRule="auto"/>
        <w:ind w:left="2832" w:firstLine="708"/>
        <w:jc w:val="both"/>
        <w:rPr>
          <w:rFonts w:ascii="Times New Roman" w:hAnsi="Times New Roman"/>
          <w:sz w:val="28"/>
          <w:szCs w:val="28"/>
        </w:rPr>
      </w:pPr>
      <w:r w:rsidRPr="0092152B">
        <w:rPr>
          <w:rFonts w:ascii="Times New Roman" w:hAnsi="Times New Roman"/>
          <w:sz w:val="28"/>
          <w:szCs w:val="28"/>
        </w:rPr>
        <w:fldChar w:fldCharType="begin"/>
      </w:r>
      <w:r w:rsidRPr="0092152B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8" type="#_x0000_t75" style="width:42pt;height:30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507C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53507C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/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instrText xml:space="preserve"> </w:instrText>
      </w:r>
      <w:r w:rsidRPr="0092152B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9" type="#_x0000_t75" style="width:42pt;height:30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507C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53507C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k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/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Z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(8)</w:t>
      </w:r>
    </w:p>
    <w:p w:rsidR="004B0177" w:rsidRDefault="004B0177" w:rsidP="00D820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− стоимость энергии, произведенного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C468F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рисковым источником за единицу времени.</w:t>
      </w:r>
    </w:p>
    <w:p w:rsidR="004B0177" w:rsidRDefault="004B0177" w:rsidP="00D820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Далее получим для каждой из случайных величин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выборку, также состоящую из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наблюдений: </w:t>
      </w:r>
    </w:p>
    <w:p w:rsidR="004B0177" w:rsidRPr="00A51E71" w:rsidRDefault="004B0177" w:rsidP="00D820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820A5">
        <w:rPr>
          <w:rFonts w:ascii="Times New Roman" w:hAnsi="Times New Roman"/>
          <w:sz w:val="28"/>
          <w:szCs w:val="28"/>
        </w:rPr>
        <w:t xml:space="preserve"> </w:t>
      </w:r>
      <w:r w:rsidRPr="00A51E71">
        <w:rPr>
          <w:rFonts w:ascii="Times New Roman" w:hAnsi="Times New Roman"/>
          <w:sz w:val="28"/>
          <w:szCs w:val="28"/>
        </w:rPr>
        <w:tab/>
      </w:r>
      <w:r w:rsidRPr="00A51E71">
        <w:rPr>
          <w:rFonts w:ascii="Times New Roman" w:hAnsi="Times New Roman"/>
          <w:sz w:val="28"/>
          <w:szCs w:val="28"/>
        </w:rPr>
        <w:tab/>
      </w:r>
      <w:r w:rsidRPr="00A51E71">
        <w:rPr>
          <w:rFonts w:ascii="Times New Roman" w:hAnsi="Times New Roman"/>
          <w:sz w:val="28"/>
          <w:szCs w:val="28"/>
        </w:rPr>
        <w:tab/>
        <w:t xml:space="preserve">     </w:t>
      </w:r>
      <w:r w:rsidRPr="0092152B">
        <w:rPr>
          <w:rFonts w:ascii="Times New Roman" w:hAnsi="Times New Roman"/>
          <w:sz w:val="28"/>
          <w:szCs w:val="28"/>
        </w:rPr>
        <w:fldChar w:fldCharType="begin"/>
      </w:r>
      <w:r w:rsidRPr="0092152B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0" type="#_x0000_t75" style="width:203.4pt;height:1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75F1&quot;/&gt;&lt;wsp:rsid wsp:val=&quot;00D45322&quot;/&gt;&lt;wsp:rsid wsp:val=&quot;00D70B64&quot;/&gt;&lt;wsp:rsid wsp:val=&quot;00D714F0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D714F0&quot;&gt;&lt;m:oMathPara&gt;&lt;m:oMath&gt;&lt;m:f&gt;&lt;m:fPr&gt;&lt;m:type m:val=&quot;lin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...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instrText xml:space="preserve"> </w:instrText>
      </w:r>
      <w:r w:rsidRPr="0092152B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1" type="#_x0000_t75" style="width:203.4pt;height:17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308A&quot;/&gt;&lt;wsp:rsid wsp:val=&quot;00D375F1&quot;/&gt;&lt;wsp:rsid wsp:val=&quot;00D45322&quot;/&gt;&lt;wsp:rsid wsp:val=&quot;00D70B64&quot;/&gt;&lt;wsp:rsid wsp:val=&quot;00D714F0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D714F0&quot;&gt;&lt;m:oMathPara&gt;&lt;m:oMath&gt;&lt;m:f&gt;&lt;m:fPr&gt;&lt;m:type m:val=&quot;lin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a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...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Y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fldChar w:fldCharType="end"/>
      </w:r>
      <w:r w:rsidRPr="00A51E71">
        <w:rPr>
          <w:rFonts w:ascii="Times New Roman" w:hAnsi="Times New Roman"/>
          <w:sz w:val="28"/>
          <w:szCs w:val="28"/>
        </w:rPr>
        <w:tab/>
      </w:r>
      <w:r w:rsidRPr="00A51E71">
        <w:rPr>
          <w:rFonts w:ascii="Times New Roman" w:hAnsi="Times New Roman"/>
          <w:sz w:val="28"/>
          <w:szCs w:val="28"/>
        </w:rPr>
        <w:tab/>
      </w:r>
      <w:r w:rsidRPr="00A51E71">
        <w:rPr>
          <w:rFonts w:ascii="Times New Roman" w:hAnsi="Times New Roman"/>
          <w:sz w:val="28"/>
          <w:szCs w:val="28"/>
        </w:rPr>
        <w:tab/>
        <w:t>(9)</w:t>
      </w:r>
    </w:p>
    <w:p w:rsidR="004B0177" w:rsidRDefault="004B0177" w:rsidP="00D820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</w:t>
      </w:r>
      <w:r w:rsidRPr="00665B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665BEC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5BEC">
        <w:rPr>
          <w:rFonts w:ascii="Times New Roman" w:hAnsi="Times New Roman"/>
          <w:sz w:val="28"/>
          <w:szCs w:val="28"/>
        </w:rPr>
        <w:t xml:space="preserve">− </w:t>
      </w:r>
      <w:r>
        <w:rPr>
          <w:rFonts w:ascii="Times New Roman" w:hAnsi="Times New Roman"/>
          <w:sz w:val="28"/>
          <w:szCs w:val="28"/>
        </w:rPr>
        <w:t>стоимость энергии, вырабатываемой кластером за единицу времени (это случайная величина, тогда как первое слагаемое в правой части − неслучайно).</w:t>
      </w:r>
    </w:p>
    <w:p w:rsidR="004B0177" w:rsidRDefault="004B0177" w:rsidP="00D820A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Находим для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по выборкам: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− средняя стоимость энергии, вырабатываемой </w:t>
      </w: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-источником за единицу времени (выборочное среднее по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); 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E341DA">
        <w:rPr>
          <w:rFonts w:ascii="Times New Roman" w:hAnsi="Times New Roman"/>
          <w:sz w:val="28"/>
          <w:szCs w:val="28"/>
          <w:vertAlign w:val="subscript"/>
        </w:rPr>
        <w:t>2</w:t>
      </w:r>
      <w:r w:rsidRPr="00E341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E341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средняя стоимость 1 кВт∙ч, вырабатываемого солнцем (выборочное среднее по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); </w:t>
      </w:r>
    </w:p>
    <w:p w:rsidR="004B0177" w:rsidRPr="00D820A5" w:rsidRDefault="004B0177" w:rsidP="00D820A5">
      <w:pPr>
        <w:spacing w:after="0" w:line="360" w:lineRule="auto"/>
        <w:ind w:left="2124"/>
        <w:jc w:val="both"/>
        <w:rPr>
          <w:rFonts w:ascii="Times New Roman" w:hAnsi="Times New Roman"/>
          <w:sz w:val="28"/>
          <w:szCs w:val="28"/>
        </w:rPr>
      </w:pPr>
      <w:r w:rsidRPr="00D820A5">
        <w:rPr>
          <w:rFonts w:ascii="Times New Roman" w:hAnsi="Times New Roman"/>
          <w:sz w:val="28"/>
          <w:szCs w:val="28"/>
          <w:vertAlign w:val="subscript"/>
        </w:rPr>
        <w:t xml:space="preserve">     </w:t>
      </w:r>
      <w:r w:rsidRPr="0092152B">
        <w:rPr>
          <w:rFonts w:ascii="Times New Roman" w:hAnsi="Times New Roman"/>
          <w:sz w:val="28"/>
          <w:szCs w:val="28"/>
        </w:rPr>
        <w:fldChar w:fldCharType="begin"/>
      </w:r>
      <w:r w:rsidRPr="0092152B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2" type="#_x0000_t75" style="width:189.6pt;height:21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155A&quot;/&gt;&lt;wsp:rsid wsp:val=&quot;00D0308A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D0155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m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=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M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dPr&gt;&lt;m:e&gt;&lt;m:f&gt;&lt;m:fPr&gt;&lt;m:type m:val=&quot;lin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b&lt;/m:t&gt;&lt;/m:r&gt;&lt;/m:den&gt;&lt;/m:f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=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0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0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1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2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instrText xml:space="preserve"> </w:instrText>
      </w:r>
      <w:r w:rsidRPr="0092152B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3" type="#_x0000_t75" style="width:189.6pt;height:21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152B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E7F6E&quot;/&gt;&lt;wsp:rsid wsp:val=&quot;00D0155A&quot;/&gt;&lt;wsp:rsid wsp:val=&quot;00D0308A&quot;/&gt;&lt;wsp:rsid wsp:val=&quot;00D375F1&quot;/&gt;&lt;wsp:rsid wsp:val=&quot;00D45322&quot;/&gt;&lt;wsp:rsid wsp:val=&quot;00D70B64&quot;/&gt;&lt;wsp:rsid wsp:val=&quot;00D820A5&quot;/&gt;&lt;wsp:rsid wsp:val=&quot;00DB62A7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:p wsp:rsidR=&quot;00000000&quot; wsp:rsidRDefault=&quot;00D0155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m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=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M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dPr&gt;&lt;m:e&gt;&lt;m:f&gt;&lt;m:fPr&gt;&lt;m:type m:val=&quot;lin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Y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b&lt;/m:t&gt;&lt;/m:r&gt;&lt;/m:den&gt;&lt;/m:f&gt;&lt;/m:e&gt;&lt;/m:d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=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0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0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1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2&lt;/m:t&gt;&lt;/m:r&gt;&lt;/m:sub&gt;&lt;/m:sSub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w:lang w:val=&quot;EN-US&quot;/&gt;&lt;/w:rPr&gt;&lt;m:t&gt;m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vertAlign w:val=&quot;sub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92152B">
        <w:rPr>
          <w:rFonts w:ascii="Times New Roman" w:hAnsi="Times New Roman"/>
          <w:sz w:val="28"/>
          <w:szCs w:val="28"/>
        </w:rPr>
        <w:fldChar w:fldCharType="end"/>
      </w:r>
      <w:r w:rsidRPr="00D820A5">
        <w:rPr>
          <w:rFonts w:ascii="Times New Roman" w:hAnsi="Times New Roman"/>
          <w:sz w:val="28"/>
          <w:szCs w:val="28"/>
        </w:rPr>
        <w:t xml:space="preserve"> </w:t>
      </w:r>
      <w:r w:rsidRPr="00D820A5">
        <w:rPr>
          <w:rFonts w:ascii="Times New Roman" w:hAnsi="Times New Roman"/>
          <w:sz w:val="28"/>
          <w:szCs w:val="28"/>
        </w:rPr>
        <w:tab/>
      </w:r>
      <w:r w:rsidRPr="00A51E71">
        <w:rPr>
          <w:rFonts w:ascii="Times New Roman" w:hAnsi="Times New Roman"/>
          <w:sz w:val="28"/>
          <w:szCs w:val="28"/>
        </w:rPr>
        <w:tab/>
      </w:r>
      <w:r w:rsidRPr="00D820A5">
        <w:rPr>
          <w:rFonts w:ascii="Times New Roman" w:hAnsi="Times New Roman"/>
          <w:sz w:val="28"/>
          <w:szCs w:val="28"/>
        </w:rPr>
        <w:tab/>
        <w:t>(10)</w:t>
      </w:r>
    </w:p>
    <w:p w:rsidR="004B0177" w:rsidRPr="00A51E71" w:rsidRDefault="004B0177" w:rsidP="0076647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665B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−</w:t>
      </w:r>
      <w:r w:rsidRPr="00665B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средняя стоимость энергии, вырабатываемой кластером за единицу времени; </w:t>
      </w:r>
      <w:r w:rsidRPr="00665BEC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 − допустимый уровень средней стоимости 1 кВт∙ч, вырабатываемого кластером (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E341DA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>).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объективного учета возмущающих воздействий, основным свойством которых является нестационарный случайный характер применим методы анализа нестационарных случайных процессов </w:t>
      </w:r>
      <w:r w:rsidRPr="00E341D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E341D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обоснования ВИЭ для оценки влияния внешних климатических факторов традиционно применяют методы описательной статистики, которые сводятся к комбинированию двух основных подходов: 1) усреднения в пределах длительных интервалов времени, например, среднемесячные и среднегодовые значения; 2) использования статистических распределений, параметры которых также получены усреднением по времени, например, описание ветровых режимов распределением </w:t>
      </w:r>
      <w:r w:rsidRPr="005C722D">
        <w:rPr>
          <w:rFonts w:ascii="Times New Roman" w:hAnsi="Times New Roman"/>
          <w:sz w:val="28"/>
          <w:szCs w:val="28"/>
        </w:rPr>
        <w:t>Вейбулла.</w:t>
      </w:r>
      <w:r>
        <w:rPr>
          <w:rFonts w:ascii="Times New Roman" w:hAnsi="Times New Roman"/>
          <w:sz w:val="28"/>
          <w:szCs w:val="28"/>
        </w:rPr>
        <w:t xml:space="preserve"> Наряду с этим реальные геофизические процессы подвержены циклическим колебаниям как кратковременного (суточные циклы), так и долговременного характера (годовые циклы). Как правило, климатические данные представлены выборками небольшого объема. Эффективной заменой традиционных методов при малом времени</w:t>
      </w:r>
      <w:r w:rsidRPr="005C722D">
        <w:rPr>
          <w:rFonts w:ascii="Times New Roman" w:hAnsi="Times New Roman"/>
          <w:sz w:val="28"/>
          <w:szCs w:val="28"/>
        </w:rPr>
        <w:t xml:space="preserve"> реализации</w:t>
      </w:r>
      <w:r>
        <w:rPr>
          <w:rFonts w:ascii="Times New Roman" w:hAnsi="Times New Roman"/>
          <w:sz w:val="28"/>
          <w:szCs w:val="28"/>
        </w:rPr>
        <w:t xml:space="preserve"> и наличии априорной информации о процессе могут служить параметрические методы, применяемые в радиофизике, экономических и социальных исследованиях </w:t>
      </w:r>
      <w:r w:rsidRPr="00FE681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4-12</w:t>
      </w:r>
      <w:r w:rsidRPr="00FE681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Существующие закономерности в климатических процессах приводят к нарушению стационарности их статистических свойств. Возможным способом описания таких процессов является исключение детерминированной компоненты и сведение к стационарным процессам. Поскольку климатические процессы подвержены годовым и суточным циклическим изменениям, для их описания можно применить теорию модулированных колебаний, которая широко используется в радиофизике и описана в работах</w:t>
      </w:r>
      <w:r w:rsidRPr="00FE681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10,11</w:t>
      </w:r>
      <w:r w:rsidRPr="00FE681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4B0177" w:rsidRDefault="004B0177" w:rsidP="00D9539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Следовательно, детерминирующую составляющую таких процессов можно описать функцией</w:t>
      </w:r>
    </w:p>
    <w:p w:rsidR="004B0177" w:rsidRPr="00CC6629" w:rsidRDefault="004B0177" w:rsidP="00D9539F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  <w:t xml:space="preserve">            </w:t>
      </w:r>
      <w:r w:rsidRPr="00CC6629">
        <w:rPr>
          <w:rFonts w:ascii="Times New Roman" w:hAnsi="Times New Roman"/>
          <w:sz w:val="28"/>
          <w:szCs w:val="28"/>
        </w:rPr>
        <w:fldChar w:fldCharType="begin"/>
      </w:r>
      <w:r w:rsidRPr="00CC6629">
        <w:rPr>
          <w:rFonts w:ascii="Times New Roman" w:hAnsi="Times New Roman"/>
          <w:sz w:val="28"/>
          <w:szCs w:val="28"/>
        </w:rPr>
        <w:instrText xml:space="preserve"> QUOTE </w:instrText>
      </w:r>
      <w:r w:rsidRPr="00CC6629">
        <w:rPr>
          <w:position w:val="-14"/>
        </w:rPr>
        <w:pict>
          <v:shape id="_x0000_i1044" type="#_x0000_t75" style="width:189pt;height:21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A218A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8A218A&quot; wsp:rsidP=&quot;008A218A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+Mcos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„¦t+П€&lt;/m:t&gt;&lt;/m:r&gt;&lt;/m:e&gt;&lt;/m:d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¤(t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instrText xml:space="preserve"> </w:instrText>
      </w:r>
      <w:r w:rsidRPr="00CC6629">
        <w:rPr>
          <w:rFonts w:ascii="Times New Roman" w:hAnsi="Times New Roman"/>
          <w:sz w:val="28"/>
          <w:szCs w:val="28"/>
        </w:rPr>
        <w:fldChar w:fldCharType="separate"/>
      </w:r>
      <w:r w:rsidRPr="00CC6629">
        <w:rPr>
          <w:position w:val="-14"/>
        </w:rPr>
        <w:pict>
          <v:shape id="_x0000_i1045" type="#_x0000_t75" style="width:189pt;height:21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A218A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8A218A&quot; wsp:rsidP=&quot;008A218A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+Mcos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„¦t+П€&lt;/m:t&gt;&lt;/m:r&gt;&lt;/m:e&gt;&lt;/m:d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¤(t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fldChar w:fldCharType="end"/>
      </w:r>
      <w:r w:rsidRPr="00CC6629">
        <w:rPr>
          <w:rFonts w:ascii="Times New Roman" w:hAnsi="Times New Roman"/>
          <w:sz w:val="28"/>
          <w:szCs w:val="28"/>
        </w:rPr>
        <w:t xml:space="preserve">,     </w:t>
      </w:r>
      <w:r w:rsidRPr="00CC6629">
        <w:rPr>
          <w:rFonts w:ascii="Times New Roman" w:hAnsi="Times New Roman"/>
          <w:sz w:val="28"/>
          <w:szCs w:val="28"/>
        </w:rPr>
        <w:tab/>
        <w:t xml:space="preserve">      (11)</w:t>
      </w:r>
    </w:p>
    <w:p w:rsidR="004B0177" w:rsidRPr="00CC6629" w:rsidRDefault="004B0177" w:rsidP="00D9539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>где Ф(</w:t>
      </w:r>
      <w:r w:rsidRPr="00CC6629">
        <w:rPr>
          <w:rFonts w:ascii="Times New Roman" w:hAnsi="Times New Roman"/>
          <w:sz w:val="28"/>
          <w:szCs w:val="28"/>
          <w:lang w:val="en-US"/>
        </w:rPr>
        <w:t>t</w:t>
      </w:r>
      <w:r w:rsidRPr="00CC6629">
        <w:rPr>
          <w:rFonts w:ascii="Times New Roman" w:hAnsi="Times New Roman"/>
          <w:sz w:val="28"/>
          <w:szCs w:val="28"/>
        </w:rPr>
        <w:t xml:space="preserve">) − периодическая последовательность суточных колебаний; М, Ω, </w:t>
      </w:r>
      <w:r w:rsidRPr="00CC6629">
        <w:rPr>
          <w:rFonts w:ascii="Cambria Math" w:hAnsi="Cambria Math"/>
          <w:sz w:val="28"/>
          <w:szCs w:val="28"/>
        </w:rPr>
        <w:t>𝜓</w:t>
      </w:r>
      <w:r w:rsidRPr="00CC6629">
        <w:rPr>
          <w:rFonts w:ascii="Times New Roman" w:hAnsi="Times New Roman"/>
          <w:sz w:val="28"/>
          <w:szCs w:val="28"/>
        </w:rPr>
        <w:t xml:space="preserve"> − амплитуда, частота и фазовый угол годовых колебаний.</w:t>
      </w:r>
    </w:p>
    <w:p w:rsidR="004B0177" w:rsidRPr="00CC6629" w:rsidRDefault="004B0177" w:rsidP="00D9539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>Воздействие детерминированных факторов на случайный процесс в общем виде можно описать комбинацией аддитивной (12) и мультипликативной (13) моделей:</w:t>
      </w:r>
    </w:p>
    <w:p w:rsidR="004B0177" w:rsidRPr="00CC6629" w:rsidRDefault="004B0177" w:rsidP="00D9539F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  <w:t xml:space="preserve">          </w:t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fldChar w:fldCharType="begin"/>
      </w:r>
      <w:r w:rsidRPr="00CC6629">
        <w:rPr>
          <w:rFonts w:ascii="Times New Roman" w:hAnsi="Times New Roman"/>
          <w:sz w:val="28"/>
          <w:szCs w:val="28"/>
        </w:rPr>
        <w:instrText xml:space="preserve"> QUOTE </w:instrText>
      </w:r>
      <w:r w:rsidRPr="00CC6629">
        <w:rPr>
          <w:position w:val="-12"/>
        </w:rPr>
        <w:pict>
          <v:shape id="_x0000_i1046" type="#_x0000_t75" style="width:105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19DA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AE19DA&quot; wsp:rsidP=&quot;00AE19DA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u(t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instrText xml:space="preserve"> </w:instrText>
      </w:r>
      <w:r w:rsidRPr="00CC6629">
        <w:rPr>
          <w:rFonts w:ascii="Times New Roman" w:hAnsi="Times New Roman"/>
          <w:sz w:val="28"/>
          <w:szCs w:val="28"/>
        </w:rPr>
        <w:fldChar w:fldCharType="separate"/>
      </w:r>
      <w:r w:rsidRPr="00CC6629">
        <w:rPr>
          <w:position w:val="-12"/>
        </w:rPr>
        <w:pict>
          <v:shape id="_x0000_i1047" type="#_x0000_t75" style="width:105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19DA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AE19DA&quot; wsp:rsidP=&quot;00AE19DA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u(t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fldChar w:fldCharType="end"/>
      </w:r>
      <w:r w:rsidRPr="00CC6629">
        <w:rPr>
          <w:rFonts w:ascii="Times New Roman" w:hAnsi="Times New Roman"/>
          <w:sz w:val="28"/>
          <w:szCs w:val="28"/>
        </w:rPr>
        <w:t xml:space="preserve">     </w:t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  <w:t xml:space="preserve">    (12)</w:t>
      </w:r>
    </w:p>
    <w:p w:rsidR="004B0177" w:rsidRPr="00CC6629" w:rsidRDefault="004B0177" w:rsidP="00D9539F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fldChar w:fldCharType="begin"/>
      </w:r>
      <w:r w:rsidRPr="00CC6629">
        <w:rPr>
          <w:rFonts w:ascii="Times New Roman" w:hAnsi="Times New Roman"/>
          <w:sz w:val="28"/>
          <w:szCs w:val="28"/>
        </w:rPr>
        <w:instrText xml:space="preserve"> QUOTE </w:instrText>
      </w:r>
      <w:r w:rsidRPr="00CC6629">
        <w:rPr>
          <w:position w:val="-12"/>
        </w:rPr>
        <w:pict>
          <v:shape id="_x0000_i1048" type="#_x0000_t75" style="width:88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BC008E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BC008E&quot; wsp:rsidP=&quot;00BC008E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x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u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instrText xml:space="preserve"> </w:instrText>
      </w:r>
      <w:r w:rsidRPr="00CC6629">
        <w:rPr>
          <w:rFonts w:ascii="Times New Roman" w:hAnsi="Times New Roman"/>
          <w:sz w:val="28"/>
          <w:szCs w:val="28"/>
        </w:rPr>
        <w:fldChar w:fldCharType="separate"/>
      </w:r>
      <w:r w:rsidRPr="00CC6629">
        <w:rPr>
          <w:position w:val="-12"/>
        </w:rPr>
        <w:pict>
          <v:shape id="_x0000_i1049" type="#_x0000_t75" style="width:88.8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BC008E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BC008E&quot; wsp:rsidP=&quot;00BC008E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x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u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fldChar w:fldCharType="end"/>
      </w:r>
      <w:r w:rsidRPr="00CC6629">
        <w:rPr>
          <w:rFonts w:ascii="Times New Roman" w:hAnsi="Times New Roman"/>
          <w:sz w:val="28"/>
          <w:szCs w:val="28"/>
        </w:rPr>
        <w:t xml:space="preserve">  </w:t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  <w:t xml:space="preserve">    (13)</w:t>
      </w:r>
    </w:p>
    <w:p w:rsidR="004B0177" w:rsidRPr="00CC6629" w:rsidRDefault="004B0177" w:rsidP="00D9539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 xml:space="preserve">где </w:t>
      </w:r>
      <w:r w:rsidRPr="00CC6629">
        <w:rPr>
          <w:rFonts w:ascii="Times New Roman" w:hAnsi="Times New Roman"/>
          <w:sz w:val="28"/>
          <w:szCs w:val="28"/>
          <w:lang w:val="en-US"/>
        </w:rPr>
        <w:t>u</w:t>
      </w:r>
      <w:r w:rsidRPr="00CC6629">
        <w:rPr>
          <w:rFonts w:ascii="Times New Roman" w:hAnsi="Times New Roman"/>
          <w:sz w:val="28"/>
          <w:szCs w:val="28"/>
        </w:rPr>
        <w:t>(</w:t>
      </w:r>
      <w:r w:rsidRPr="00CC6629">
        <w:rPr>
          <w:rFonts w:ascii="Times New Roman" w:hAnsi="Times New Roman"/>
          <w:sz w:val="28"/>
          <w:szCs w:val="28"/>
          <w:lang w:val="en-US"/>
        </w:rPr>
        <w:t>t</w:t>
      </w:r>
      <w:r w:rsidRPr="00CC6629">
        <w:rPr>
          <w:rFonts w:ascii="Times New Roman" w:hAnsi="Times New Roman"/>
          <w:sz w:val="28"/>
          <w:szCs w:val="28"/>
        </w:rPr>
        <w:t xml:space="preserve">) − реализация стационарного случайного процесса; </w:t>
      </w:r>
      <w:r w:rsidRPr="00CC6629">
        <w:rPr>
          <w:rFonts w:ascii="Times New Roman" w:hAnsi="Times New Roman"/>
          <w:sz w:val="28"/>
          <w:szCs w:val="28"/>
          <w:lang w:val="en-US"/>
        </w:rPr>
        <w:t>a</w:t>
      </w:r>
      <w:r w:rsidRPr="00CC6629">
        <w:rPr>
          <w:rFonts w:ascii="Times New Roman" w:hAnsi="Times New Roman"/>
          <w:sz w:val="28"/>
          <w:szCs w:val="28"/>
        </w:rPr>
        <w:t>(</w:t>
      </w:r>
      <w:r w:rsidRPr="00CC6629">
        <w:rPr>
          <w:rFonts w:ascii="Times New Roman" w:hAnsi="Times New Roman"/>
          <w:sz w:val="28"/>
          <w:szCs w:val="28"/>
          <w:lang w:val="en-US"/>
        </w:rPr>
        <w:t>t</w:t>
      </w:r>
      <w:r w:rsidRPr="00CC6629">
        <w:rPr>
          <w:rFonts w:ascii="Times New Roman" w:hAnsi="Times New Roman"/>
          <w:sz w:val="28"/>
          <w:szCs w:val="28"/>
        </w:rPr>
        <w:t>) − детерминированная функция.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Исключив детерминированную составляющую, оставшуюся часть можно считать случайной компонентой. Статистические свойства случайной составляющей процесса можно оценить, используя традиционно применяемые методы теории вероятности и математической статистики. </w:t>
      </w:r>
    </w:p>
    <w:p w:rsidR="004B0177" w:rsidRDefault="004B0177" w:rsidP="002B21F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определения закономерностей их можно исключить из исследуемых процессов. На этом этапе необходимо выбрать параметры модели, комбинируя зависимости (</w:t>
      </w:r>
      <w:r w:rsidRPr="00D820A5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) и (</w:t>
      </w:r>
      <w:r w:rsidRPr="00D820A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). </w:t>
      </w:r>
      <w:r w:rsidRPr="005C722D">
        <w:rPr>
          <w:rFonts w:ascii="Times New Roman" w:hAnsi="Times New Roman"/>
          <w:sz w:val="28"/>
          <w:szCs w:val="28"/>
        </w:rPr>
        <w:t>Эффективность мультипликативной и аддитивной моделей в исследуемом случайном процессе можно оценить по косвенным признакам, характерным для этих дв</w:t>
      </w:r>
      <w:r>
        <w:rPr>
          <w:rFonts w:ascii="Times New Roman" w:hAnsi="Times New Roman"/>
          <w:sz w:val="28"/>
          <w:szCs w:val="28"/>
        </w:rPr>
        <w:t xml:space="preserve">ух типов моделей </w:t>
      </w:r>
      <w:r w:rsidRPr="00AC0FD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AC0FD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В результате были получены формулы (1</w:t>
      </w:r>
      <w:r w:rsidRPr="00D820A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 1</w:t>
      </w:r>
      <w:r w:rsidRPr="00D820A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 1</w:t>
      </w:r>
      <w:r w:rsidRPr="00D820A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), выражающие соотношения детерминированной и случайной компонент для процессов изменения интенсивности солнечного излучения, температуры наружного воздуха и скорости ветра соответственно.</w:t>
      </w:r>
    </w:p>
    <w:p w:rsidR="004B0177" w:rsidRPr="00CC6629" w:rsidRDefault="004B0177" w:rsidP="002B21FC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 xml:space="preserve">     </w:t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  <w:t xml:space="preserve"> </w:t>
      </w:r>
      <w:r w:rsidRPr="00CC6629">
        <w:rPr>
          <w:rFonts w:ascii="Times New Roman" w:hAnsi="Times New Roman"/>
          <w:sz w:val="28"/>
          <w:szCs w:val="28"/>
        </w:rPr>
        <w:fldChar w:fldCharType="begin"/>
      </w:r>
      <w:r w:rsidRPr="00CC6629">
        <w:rPr>
          <w:rFonts w:ascii="Times New Roman" w:hAnsi="Times New Roman"/>
          <w:sz w:val="28"/>
          <w:szCs w:val="28"/>
        </w:rPr>
        <w:instrText xml:space="preserve"> QUOTE </w:instrText>
      </w:r>
      <w:r w:rsidRPr="00CC6629">
        <w:rPr>
          <w:position w:val="-11"/>
        </w:rPr>
        <w:pict>
          <v:shape id="_x0000_i1050" type="#_x0000_t75" style="width:173.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579C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DC579C&quot; wsp:rsidP=&quot;00DC579C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A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u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k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instrText xml:space="preserve"> </w:instrText>
      </w:r>
      <w:r w:rsidRPr="00CC6629">
        <w:rPr>
          <w:rFonts w:ascii="Times New Roman" w:hAnsi="Times New Roman"/>
          <w:sz w:val="28"/>
          <w:szCs w:val="28"/>
        </w:rPr>
        <w:fldChar w:fldCharType="separate"/>
      </w:r>
      <w:r w:rsidRPr="00CC6629">
        <w:rPr>
          <w:position w:val="-11"/>
        </w:rPr>
        <w:pict>
          <v:shape id="_x0000_i1051" type="#_x0000_t75" style="width:173.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579C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DC579C&quot; wsp:rsidP=&quot;00DC579C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A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u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k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fldChar w:fldCharType="end"/>
      </w:r>
      <w:r w:rsidRPr="00CC6629">
        <w:rPr>
          <w:rFonts w:ascii="Times New Roman" w:hAnsi="Times New Roman"/>
          <w:sz w:val="28"/>
          <w:szCs w:val="28"/>
        </w:rPr>
        <w:t xml:space="preserve"> </w:t>
      </w:r>
      <w:r w:rsidRPr="00CC6629">
        <w:rPr>
          <w:rFonts w:ascii="Times New Roman" w:hAnsi="Times New Roman"/>
          <w:sz w:val="28"/>
          <w:szCs w:val="28"/>
        </w:rPr>
        <w:tab/>
        <w:t xml:space="preserve">          </w:t>
      </w:r>
      <w:r w:rsidRPr="00CC6629">
        <w:rPr>
          <w:rFonts w:ascii="Times New Roman" w:hAnsi="Times New Roman"/>
          <w:sz w:val="28"/>
          <w:szCs w:val="28"/>
        </w:rPr>
        <w:tab/>
        <w:t xml:space="preserve">    (14)</w:t>
      </w:r>
    </w:p>
    <w:p w:rsidR="004B0177" w:rsidRPr="00CC6629" w:rsidRDefault="004B0177" w:rsidP="002B21FC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fldChar w:fldCharType="begin"/>
      </w:r>
      <w:r w:rsidRPr="00CC6629">
        <w:rPr>
          <w:rFonts w:ascii="Times New Roman" w:hAnsi="Times New Roman"/>
          <w:sz w:val="28"/>
          <w:szCs w:val="28"/>
        </w:rPr>
        <w:instrText xml:space="preserve"> QUOTE </w:instrText>
      </w:r>
      <w:r w:rsidRPr="00CC6629">
        <w:rPr>
          <w:position w:val="-12"/>
        </w:rPr>
        <w:pict>
          <v:shape id="_x0000_i1052" type="#_x0000_t75" style="width:105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1726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0C1726&quot; wsp:rsidP=&quot;000C1726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u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a(t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instrText xml:space="preserve"> </w:instrText>
      </w:r>
      <w:r w:rsidRPr="00CC6629">
        <w:rPr>
          <w:rFonts w:ascii="Times New Roman" w:hAnsi="Times New Roman"/>
          <w:sz w:val="28"/>
          <w:szCs w:val="28"/>
        </w:rPr>
        <w:fldChar w:fldCharType="separate"/>
      </w:r>
      <w:r w:rsidRPr="00CC6629">
        <w:rPr>
          <w:position w:val="-12"/>
        </w:rPr>
        <w:pict>
          <v:shape id="_x0000_i1053" type="#_x0000_t75" style="width:105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1726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0C1726&quot; wsp:rsidP=&quot;000C1726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u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a(t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fldChar w:fldCharType="end"/>
      </w:r>
      <w:r w:rsidRPr="00CC6629">
        <w:rPr>
          <w:rFonts w:ascii="Times New Roman" w:hAnsi="Times New Roman"/>
          <w:sz w:val="28"/>
          <w:szCs w:val="28"/>
        </w:rPr>
        <w:t xml:space="preserve">     </w:t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  <w:t xml:space="preserve">           </w:t>
      </w:r>
      <w:r w:rsidRPr="00CC6629">
        <w:rPr>
          <w:rFonts w:ascii="Times New Roman" w:hAnsi="Times New Roman"/>
          <w:sz w:val="28"/>
          <w:szCs w:val="28"/>
        </w:rPr>
        <w:tab/>
        <w:t xml:space="preserve">    (15)</w:t>
      </w:r>
    </w:p>
    <w:p w:rsidR="004B0177" w:rsidRPr="00CC6629" w:rsidRDefault="004B0177" w:rsidP="002B21FC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tab/>
      </w:r>
      <w:r w:rsidRPr="00CC6629">
        <w:rPr>
          <w:rFonts w:ascii="Times New Roman" w:hAnsi="Times New Roman"/>
          <w:sz w:val="28"/>
          <w:szCs w:val="28"/>
        </w:rPr>
        <w:fldChar w:fldCharType="begin"/>
      </w:r>
      <w:r w:rsidRPr="00CC6629">
        <w:rPr>
          <w:rFonts w:ascii="Times New Roman" w:hAnsi="Times New Roman"/>
          <w:sz w:val="28"/>
          <w:szCs w:val="28"/>
        </w:rPr>
        <w:instrText xml:space="preserve"> QUOTE </w:instrText>
      </w:r>
      <w:r w:rsidRPr="00CC6629">
        <w:rPr>
          <w:position w:val="-12"/>
        </w:rPr>
        <w:pict>
          <v:shape id="_x0000_i1054" type="#_x0000_t75" style="width:20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C1787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6C1787&quot; wsp:rsidP=&quot;006C1787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x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A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u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B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)+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k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instrText xml:space="preserve"> </w:instrText>
      </w:r>
      <w:r w:rsidRPr="00CC6629">
        <w:rPr>
          <w:rFonts w:ascii="Times New Roman" w:hAnsi="Times New Roman"/>
          <w:sz w:val="28"/>
          <w:szCs w:val="28"/>
        </w:rPr>
        <w:fldChar w:fldCharType="separate"/>
      </w:r>
      <w:r w:rsidRPr="00CC6629">
        <w:rPr>
          <w:position w:val="-12"/>
        </w:rPr>
        <w:pict>
          <v:shape id="_x0000_i1055" type="#_x0000_t75" style="width:204pt;height:18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050&quot;/&gt;&lt;wsp:rsid wsp:val=&quot;00001394&quot;/&gt;&lt;wsp:rsid wsp:val=&quot;00007850&quot;/&gt;&lt;wsp:rsid wsp:val=&quot;000078B9&quot;/&gt;&lt;wsp:rsid wsp:val=&quot;00015EB4&quot;/&gt;&lt;wsp:rsid wsp:val=&quot;0003063A&quot;/&gt;&lt;wsp:rsid wsp:val=&quot;00063883&quot;/&gt;&lt;wsp:rsid wsp:val=&quot;00067740&quot;/&gt;&lt;wsp:rsid wsp:val=&quot;000A0244&quot;/&gt;&lt;wsp:rsid wsp:val=&quot;000A49FA&quot;/&gt;&lt;wsp:rsid wsp:val=&quot;000A55B1&quot;/&gt;&lt;wsp:rsid wsp:val=&quot;000A6A55&quot;/&gt;&lt;wsp:rsid wsp:val=&quot;000C3DA4&quot;/&gt;&lt;wsp:rsid wsp:val=&quot;000E5487&quot;/&gt;&lt;wsp:rsid wsp:val=&quot;000F2BD7&quot;/&gt;&lt;wsp:rsid wsp:val=&quot;000F79E1&quot;/&gt;&lt;wsp:rsid wsp:val=&quot;00103669&quot;/&gt;&lt;wsp:rsid wsp:val=&quot;00124CEE&quot;/&gt;&lt;wsp:rsid wsp:val=&quot;0016714A&quot;/&gt;&lt;wsp:rsid wsp:val=&quot;00180707&quot;/&gt;&lt;wsp:rsid wsp:val=&quot;002029B4&quot;/&gt;&lt;wsp:rsid wsp:val=&quot;0020770C&quot;/&gt;&lt;wsp:rsid wsp:val=&quot;00233FAF&quot;/&gt;&lt;wsp:rsid wsp:val=&quot;00247C88&quot;/&gt;&lt;wsp:rsid wsp:val=&quot;002538BF&quot;/&gt;&lt;wsp:rsid wsp:val=&quot;00264D3D&quot;/&gt;&lt;wsp:rsid wsp:val=&quot;002821DF&quot;/&gt;&lt;wsp:rsid wsp:val=&quot;0028530A&quot;/&gt;&lt;wsp:rsid wsp:val=&quot;002B39EF&quot;/&gt;&lt;wsp:rsid wsp:val=&quot;002D18FE&quot;/&gt;&lt;wsp:rsid wsp:val=&quot;002E7050&quot;/&gt;&lt;wsp:rsid wsp:val=&quot;003026A8&quot;/&gt;&lt;wsp:rsid wsp:val=&quot;003029BC&quot;/&gt;&lt;wsp:rsid wsp:val=&quot;0034695E&quot;/&gt;&lt;wsp:rsid wsp:val=&quot;00352719&quot;/&gt;&lt;wsp:rsid wsp:val=&quot;003B7B66&quot;/&gt;&lt;wsp:rsid wsp:val=&quot;00420E10&quot;/&gt;&lt;wsp:rsid wsp:val=&quot;00421FF7&quot;/&gt;&lt;wsp:rsid wsp:val=&quot;00467209&quot;/&gt;&lt;wsp:rsid wsp:val=&quot;004754D0&quot;/&gt;&lt;wsp:rsid wsp:val=&quot;00486CE8&quot;/&gt;&lt;wsp:rsid wsp:val=&quot;00494C97&quot;/&gt;&lt;wsp:rsid wsp:val=&quot;004A0ABA&quot;/&gt;&lt;wsp:rsid wsp:val=&quot;004A396F&quot;/&gt;&lt;wsp:rsid wsp:val=&quot;004A5441&quot;/&gt;&lt;wsp:rsid wsp:val=&quot;004C2C20&quot;/&gt;&lt;wsp:rsid wsp:val=&quot;004C38EB&quot;/&gt;&lt;wsp:rsid wsp:val=&quot;004C4E87&quot;/&gt;&lt;wsp:rsid wsp:val=&quot;004D752D&quot;/&gt;&lt;wsp:rsid wsp:val=&quot;00511C2E&quot;/&gt;&lt;wsp:rsid wsp:val=&quot;0052628F&quot;/&gt;&lt;wsp:rsid wsp:val=&quot;00537A30&quot;/&gt;&lt;wsp:rsid wsp:val=&quot;00537BF4&quot;/&gt;&lt;wsp:rsid wsp:val=&quot;00556310&quot;/&gt;&lt;wsp:rsid wsp:val=&quot;00570C04&quot;/&gt;&lt;wsp:rsid wsp:val=&quot;00574418&quot;/&gt;&lt;wsp:rsid wsp:val=&quot;00576CB5&quot;/&gt;&lt;wsp:rsid wsp:val=&quot;005A59F3&quot;/&gt;&lt;wsp:rsid wsp:val=&quot;005C722D&quot;/&gt;&lt;wsp:rsid wsp:val=&quot;005E711F&quot;/&gt;&lt;wsp:rsid wsp:val=&quot;00621C0A&quot;/&gt;&lt;wsp:rsid wsp:val=&quot;0062398A&quot;/&gt;&lt;wsp:rsid wsp:val=&quot;00644F4E&quot;/&gt;&lt;wsp:rsid wsp:val=&quot;00650034&quot;/&gt;&lt;wsp:rsid wsp:val=&quot;00660123&quot;/&gt;&lt;wsp:rsid wsp:val=&quot;00681240&quot;/&gt;&lt;wsp:rsid wsp:val=&quot;006B785B&quot;/&gt;&lt;wsp:rsid wsp:val=&quot;006C1787&quot;/&gt;&lt;wsp:rsid wsp:val=&quot;006D15D1&quot;/&gt;&lt;wsp:rsid wsp:val=&quot;006E6481&quot;/&gt;&lt;wsp:rsid wsp:val=&quot;006F39A8&quot;/&gt;&lt;wsp:rsid wsp:val=&quot;00725D46&quot;/&gt;&lt;wsp:rsid wsp:val=&quot;007262F9&quot;/&gt;&lt;wsp:rsid wsp:val=&quot;00766473&quot;/&gt;&lt;wsp:rsid wsp:val=&quot;00773F54&quot;/&gt;&lt;wsp:rsid wsp:val=&quot;00776B6F&quot;/&gt;&lt;wsp:rsid wsp:val=&quot;00784477&quot;/&gt;&lt;wsp:rsid wsp:val=&quot;007A59DD&quot;/&gt;&lt;wsp:rsid wsp:val=&quot;007C1703&quot;/&gt;&lt;wsp:rsid wsp:val=&quot;007C268F&quot;/&gt;&lt;wsp:rsid wsp:val=&quot;007D534A&quot;/&gt;&lt;wsp:rsid wsp:val=&quot;007E26E8&quot;/&gt;&lt;wsp:rsid wsp:val=&quot;007F7E59&quot;/&gt;&lt;wsp:rsid wsp:val=&quot;00810792&quot;/&gt;&lt;wsp:rsid wsp:val=&quot;00826166&quot;/&gt;&lt;wsp:rsid wsp:val=&quot;00836E99&quot;/&gt;&lt;wsp:rsid wsp:val=&quot;008547DF&quot;/&gt;&lt;wsp:rsid wsp:val=&quot;00881B94&quot;/&gt;&lt;wsp:rsid wsp:val=&quot;00883952&quot;/&gt;&lt;wsp:rsid wsp:val=&quot;008C716A&quot;/&gt;&lt;wsp:rsid wsp:val=&quot;008D7ED5&quot;/&gt;&lt;wsp:rsid wsp:val=&quot;00924A3D&quot;/&gt;&lt;wsp:rsid wsp:val=&quot;00935FB8&quot;/&gt;&lt;wsp:rsid wsp:val=&quot;00942DA7&quot;/&gt;&lt;wsp:rsid wsp:val=&quot;009720CC&quot;/&gt;&lt;wsp:rsid wsp:val=&quot;00997450&quot;/&gt;&lt;wsp:rsid wsp:val=&quot;009E2DCB&quot;/&gt;&lt;wsp:rsid wsp:val=&quot;009F4AC3&quot;/&gt;&lt;wsp:rsid wsp:val=&quot;00A40B26&quot;/&gt;&lt;wsp:rsid wsp:val=&quot;00A51E71&quot;/&gt;&lt;wsp:rsid wsp:val=&quot;00A7070B&quot;/&gt;&lt;wsp:rsid wsp:val=&quot;00AC0FD0&quot;/&gt;&lt;wsp:rsid wsp:val=&quot;00AE2F53&quot;/&gt;&lt;wsp:rsid wsp:val=&quot;00B34101&quot;/&gt;&lt;wsp:rsid wsp:val=&quot;00B51B3A&quot;/&gt;&lt;wsp:rsid wsp:val=&quot;00B820B3&quot;/&gt;&lt;wsp:rsid wsp:val=&quot;00B8447C&quot;/&gt;&lt;wsp:rsid wsp:val=&quot;00B942D8&quot;/&gt;&lt;wsp:rsid wsp:val=&quot;00C00B3A&quot;/&gt;&lt;wsp:rsid wsp:val=&quot;00C3727E&quot;/&gt;&lt;wsp:rsid wsp:val=&quot;00C468FD&quot;/&gt;&lt;wsp:rsid wsp:val=&quot;00C76753&quot;/&gt;&lt;wsp:rsid wsp:val=&quot;00C82DA3&quot;/&gt;&lt;wsp:rsid wsp:val=&quot;00CA2626&quot;/&gt;&lt;wsp:rsid wsp:val=&quot;00CB263A&quot;/&gt;&lt;wsp:rsid wsp:val=&quot;00CC6629&quot;/&gt;&lt;wsp:rsid wsp:val=&quot;00CE7F6E&quot;/&gt;&lt;wsp:rsid wsp:val=&quot;00D0308A&quot;/&gt;&lt;wsp:rsid wsp:val=&quot;00D375F1&quot;/&gt;&lt;wsp:rsid wsp:val=&quot;00D45322&quot;/&gt;&lt;wsp:rsid wsp:val=&quot;00D70B64&quot;/&gt;&lt;wsp:rsid wsp:val=&quot;00D820A5&quot;/&gt;&lt;wsp:rsid wsp:val=&quot;00DC7C77&quot;/&gt;&lt;wsp:rsid wsp:val=&quot;00E027D2&quot;/&gt;&lt;wsp:rsid wsp:val=&quot;00E341DA&quot;/&gt;&lt;wsp:rsid wsp:val=&quot;00E4044C&quot;/&gt;&lt;wsp:rsid wsp:val=&quot;00E67261&quot;/&gt;&lt;wsp:rsid wsp:val=&quot;00E724D9&quot;/&gt;&lt;wsp:rsid wsp:val=&quot;00E879CE&quot;/&gt;&lt;wsp:rsid wsp:val=&quot;00F41DC4&quot;/&gt;&lt;wsp:rsid wsp:val=&quot;00F70AEF&quot;/&gt;&lt;wsp:rsid wsp:val=&quot;00FA052F&quot;/&gt;&lt;wsp:rsid wsp:val=&quot;00FB28DE&quot;/&gt;&lt;wsp:rsid wsp:val=&quot;00FC065F&quot;/&gt;&lt;wsp:rsid wsp:val=&quot;00FE681E&quot;/&gt;&lt;/wsp:rsids&gt;&lt;/w:docPr&gt;&lt;w:body&gt;&lt;wx:sect&gt;&lt;w:p wsp:rsidR=&quot;00000000&quot; wsp:rsidRDefault=&quot;006C1787&quot; wsp:rsidP=&quot;006C1787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x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=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A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u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B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)+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a&lt;/m:t&gt;&lt;/m:r&gt;&lt;m:d&gt;&lt;m:dPr&gt;&lt;m:ctrlPr&gt;&lt;w:rPr&gt;&lt;w:rFonts w:ascii=&quot;Cambria Math&quot; w:h-ansi=&quot;Cambria Math&quot;/&gt;&lt;wx:font wx:val=&quot;Cambria Math&quot;/&gt;&lt;w:sz w:val=&quot;28&quot;/&gt;&lt;w:sz-cs w:val=&quot;28&quot;/&gt;&lt;w:lang w:val=&quot;EN-US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t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k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CC6629">
        <w:rPr>
          <w:rFonts w:ascii="Times New Roman" w:hAnsi="Times New Roman"/>
          <w:sz w:val="28"/>
          <w:szCs w:val="28"/>
        </w:rPr>
        <w:fldChar w:fldCharType="end"/>
      </w:r>
      <w:r w:rsidRPr="00CC6629">
        <w:rPr>
          <w:rFonts w:ascii="Times New Roman" w:hAnsi="Times New Roman"/>
          <w:sz w:val="28"/>
          <w:szCs w:val="28"/>
        </w:rPr>
        <w:t xml:space="preserve">  </w:t>
      </w:r>
      <w:r w:rsidRPr="00CC6629">
        <w:rPr>
          <w:rFonts w:ascii="Times New Roman" w:hAnsi="Times New Roman"/>
          <w:sz w:val="28"/>
          <w:szCs w:val="28"/>
        </w:rPr>
        <w:tab/>
        <w:t xml:space="preserve">              (16)</w:t>
      </w:r>
    </w:p>
    <w:p w:rsidR="004B0177" w:rsidRPr="0034695E" w:rsidRDefault="004B0177" w:rsidP="002B21F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34695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34695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695E"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параметры моделей, определяющие соотношение детерминированной и случайной компоненты.</w:t>
      </w:r>
    </w:p>
    <w:p w:rsidR="004B0177" w:rsidRDefault="004B0177" w:rsidP="00D70B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Остатки процессов изменения температуры наружного воздуха и интенсивности солнечного излучения хорошо описываются нормальным распределением. Распределение случайной компоненты изменений скорости ветра имеет асимметричную форму и с приемлемой точностью описывается функцией Вейбулла.</w:t>
      </w:r>
    </w:p>
    <w:p w:rsidR="004B0177" w:rsidRPr="00B34101" w:rsidRDefault="004B0177" w:rsidP="00B34101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Заключение</w:t>
      </w:r>
    </w:p>
    <w:p w:rsidR="004B0177" w:rsidRDefault="004B0177" w:rsidP="00D70B64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Проведена классификация НВИЭ в зависимости от состава и уровня замещения мощности.</w:t>
      </w:r>
    </w:p>
    <w:p w:rsidR="004B0177" w:rsidRDefault="004B0177" w:rsidP="00D70B64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Рассмотрена имитационная модель гибридного кластера НВИЭ и определена структура функционала для показателей его эффективности.</w:t>
      </w:r>
    </w:p>
    <w:p w:rsidR="004B0177" w:rsidRDefault="004B0177" w:rsidP="00D70B64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 «пошаговый» подход к решению задачи нахождения экстремума функции отклика нелинейной модели полного факторного эксперимента.</w:t>
      </w:r>
    </w:p>
    <w:p w:rsidR="004B0177" w:rsidRDefault="004B0177" w:rsidP="00D70B64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 алгоритм математического анализа многофакторной модели для НВИЭ с учетом случайного характера динамических характеристик.</w:t>
      </w:r>
    </w:p>
    <w:p w:rsidR="004B0177" w:rsidRDefault="004B0177" w:rsidP="00D70B64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 метод описания климатических процессов, учитывающий нестационарность их статистических свойств. Суть метода состоит в исключении из исследуемого процесса закономерностей и последующей оценке параметров случайной компоненты. Применение моделей нестационарных случайных процессов на практике позволит снизить неопределенность учета внешних факторов в задачах обоснования схем энергоснабжения на основе ВИЭ и повысить достоверность принимаемых решений.</w:t>
      </w:r>
    </w:p>
    <w:p w:rsidR="004B0177" w:rsidRDefault="004B0177" w:rsidP="000A0244">
      <w:pPr>
        <w:pStyle w:val="ListParagraph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4B0177" w:rsidRDefault="004B0177" w:rsidP="00725D46">
      <w:pPr>
        <w:pStyle w:val="ListParagraph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25D46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4B0177" w:rsidRPr="006D3469" w:rsidRDefault="004B0177" w:rsidP="00725D46">
      <w:pPr>
        <w:pStyle w:val="ListParagraph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B0177" w:rsidRPr="00AE2F53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Велькин В. И. Оптимизация выбора энергообеспечения на основе кластерного подхода в использовании возобновляемых источниках энергии // Международный научный журнал «Альтернативная энергетика и экология». №02 (106). 2012. С. 61-66.</w:t>
      </w:r>
    </w:p>
    <w:p w:rsidR="004B0177" w:rsidRPr="00AE2F53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Велькин В.И., Логинов М. И. Выбор оптимального состава оборудования в кластере возобновляемых источников энергии на основе регрессионного анализа // Международный научный журнал «Альтернативная энергетика и экология». №03 (107). 2012. С. 100-104.</w:t>
      </w:r>
    </w:p>
    <w:p w:rsidR="004B0177" w:rsidRPr="00AE2F53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Щеклеин С.Е., Власов В.В. Моделирование нестационарных случайных процессов в задачах обоснования возобновляемых источников энергии // Международный научный журнал «Альтернативная энергетика и экология». №03 (107). 2012. С. 67-71</w:t>
      </w:r>
    </w:p>
    <w:p w:rsidR="004B0177" w:rsidRPr="00AE2F53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Андерсон Т. Статический анализ временных рядов. М.: Мир, 1976.</w:t>
      </w:r>
    </w:p>
    <w:p w:rsidR="004B0177" w:rsidRPr="00AE2F53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Бендат Дж., Пирсол А. Прикладной анализ случайных данных: Пер. с англ. М.: Мир, 1989.</w:t>
      </w:r>
    </w:p>
    <w:p w:rsidR="004B0177" w:rsidRPr="00AE2F53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Бендат Дж., Пирсол А. Применение корреляционного анализа и спектрального анализа: Пер. с англ. М.: Мир, 1983.</w:t>
      </w:r>
    </w:p>
    <w:p w:rsidR="004B0177" w:rsidRPr="00AE2F53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Бокс ДЖ., Дженкинс Г. Анализ временных рядов. Прогноз и управление. М.: Мир, 1974.</w:t>
      </w:r>
    </w:p>
    <w:p w:rsidR="004B0177" w:rsidRPr="00AE2F53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Вентцель Е.С. Теория случайных процессов и ее инженерные приложения. Учеб. Пособие для втузов. 2-у изд., стер. М.: Высш. Шк., 2000.</w:t>
      </w:r>
    </w:p>
    <w:p w:rsidR="004B0177" w:rsidRPr="00AE2F53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Евланов Л.Г., Константинов В.М. Системы со случайными параметрами. М.: Наука, 1976.</w:t>
      </w:r>
    </w:p>
    <w:p w:rsidR="004B0177" w:rsidRPr="00AE2F53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Рытов С.М. Введение в статическую радиофизику. Ч.1. Случайные процессы. М.: Наука, 1976.</w:t>
      </w:r>
    </w:p>
    <w:p w:rsidR="004B0177" w:rsidRPr="00AE2F53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Рытов С.М. Модулированные колебания и волны // Труды Физ. Института АН СССР. 1940. Т. 2, вып. 1.</w:t>
      </w:r>
    </w:p>
    <w:p w:rsidR="004B0177" w:rsidRDefault="004B0177" w:rsidP="00725D46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F53">
        <w:rPr>
          <w:rFonts w:ascii="Times New Roman" w:hAnsi="Times New Roman"/>
          <w:sz w:val="24"/>
          <w:szCs w:val="24"/>
        </w:rPr>
        <w:t>Тюрин Ю.Н., Макаров А.А. Анализ данных на компьютере / Под ред. В.Э. Фигурнова. 3-е изд., перераб. И доп. М.: ИНФРА-М, 2003.</w:t>
      </w:r>
    </w:p>
    <w:p w:rsidR="004B0177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B0177" w:rsidRPr="006D3469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4B0177" w:rsidRPr="006D3469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B0177" w:rsidRPr="0091024C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1024C">
        <w:rPr>
          <w:rFonts w:ascii="Times New Roman" w:hAnsi="Times New Roman"/>
          <w:sz w:val="24"/>
          <w:szCs w:val="24"/>
          <w:lang w:val="en-US"/>
        </w:rPr>
        <w:t>1.</w:t>
      </w:r>
      <w:r w:rsidRPr="0091024C">
        <w:rPr>
          <w:rFonts w:ascii="Times New Roman" w:hAnsi="Times New Roman"/>
          <w:sz w:val="24"/>
          <w:szCs w:val="24"/>
          <w:lang w:val="en-US"/>
        </w:rPr>
        <w:tab/>
        <w:t>Vel'kin V. I. Optimizacija vybora jenergoobespechenija na osnove klasternogo podhoda v ispol'zovanii vozobnovljaemyh istochnikah jenergii // Mezhdunarodnyj nauchnyj zhurnal «Al'ternativnaja jenergetika i jekologija». №02 (106). 2012. S. 61-66.</w:t>
      </w:r>
    </w:p>
    <w:p w:rsidR="004B0177" w:rsidRPr="0091024C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1024C">
        <w:rPr>
          <w:rFonts w:ascii="Times New Roman" w:hAnsi="Times New Roman"/>
          <w:sz w:val="24"/>
          <w:szCs w:val="24"/>
          <w:lang w:val="en-US"/>
        </w:rPr>
        <w:t>2.</w:t>
      </w:r>
      <w:r w:rsidRPr="0091024C">
        <w:rPr>
          <w:rFonts w:ascii="Times New Roman" w:hAnsi="Times New Roman"/>
          <w:sz w:val="24"/>
          <w:szCs w:val="24"/>
          <w:lang w:val="en-US"/>
        </w:rPr>
        <w:tab/>
        <w:t>Vel'kin V.I., Loginov M. I. Vybor optimal'nogo sostava oborudovanija v klastere vozobnovljaemyh istochnikov jenergii na osnove regressionnogo analiza // Mezhdunarodnyj nauchnyj zhurnal «Al'ternativnaja jenergetika i jekologija». №03 (107). 2012. S. 100-104.</w:t>
      </w:r>
    </w:p>
    <w:p w:rsidR="004B0177" w:rsidRPr="00725D46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1024C">
        <w:rPr>
          <w:rFonts w:ascii="Times New Roman" w:hAnsi="Times New Roman"/>
          <w:sz w:val="24"/>
          <w:szCs w:val="24"/>
          <w:lang w:val="en-US"/>
        </w:rPr>
        <w:t>3.</w:t>
      </w:r>
      <w:r w:rsidRPr="0091024C">
        <w:rPr>
          <w:rFonts w:ascii="Times New Roman" w:hAnsi="Times New Roman"/>
          <w:sz w:val="24"/>
          <w:szCs w:val="24"/>
          <w:lang w:val="en-US"/>
        </w:rPr>
        <w:tab/>
        <w:t xml:space="preserve">Shheklein S.E., Vlasov V.V. Modelirovanie nestacionarnyh sluchajnyh processov v zadachah obosnovanija vozobnovljaemyh istochnikov jenergii // Mezhdunarodnyj nauchnyj zhurnal «Al'ternativnaja jenergetika i jekologija». </w:t>
      </w:r>
      <w:r w:rsidRPr="00725D46">
        <w:rPr>
          <w:rFonts w:ascii="Times New Roman" w:hAnsi="Times New Roman"/>
          <w:sz w:val="24"/>
          <w:szCs w:val="24"/>
          <w:lang w:val="en-US"/>
        </w:rPr>
        <w:t>№03 (107). 2012. S. 67-71</w:t>
      </w:r>
    </w:p>
    <w:p w:rsidR="004B0177" w:rsidRPr="00725D46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25D46">
        <w:rPr>
          <w:rFonts w:ascii="Times New Roman" w:hAnsi="Times New Roman"/>
          <w:sz w:val="24"/>
          <w:szCs w:val="24"/>
          <w:lang w:val="en-US"/>
        </w:rPr>
        <w:t>4.</w:t>
      </w:r>
      <w:r w:rsidRPr="00725D46">
        <w:rPr>
          <w:rFonts w:ascii="Times New Roman" w:hAnsi="Times New Roman"/>
          <w:sz w:val="24"/>
          <w:szCs w:val="24"/>
          <w:lang w:val="en-US"/>
        </w:rPr>
        <w:tab/>
        <w:t>Anderson T. Staticheskij analiz vremennyh rjadov. M.: Mir, 1976.</w:t>
      </w:r>
    </w:p>
    <w:p w:rsidR="004B0177" w:rsidRPr="00725D46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25D46">
        <w:rPr>
          <w:rFonts w:ascii="Times New Roman" w:hAnsi="Times New Roman"/>
          <w:sz w:val="24"/>
          <w:szCs w:val="24"/>
          <w:lang w:val="en-US"/>
        </w:rPr>
        <w:t>5.</w:t>
      </w:r>
      <w:r w:rsidRPr="00725D46">
        <w:rPr>
          <w:rFonts w:ascii="Times New Roman" w:hAnsi="Times New Roman"/>
          <w:sz w:val="24"/>
          <w:szCs w:val="24"/>
          <w:lang w:val="en-US"/>
        </w:rPr>
        <w:tab/>
        <w:t>Bendat Dzh., Pirsol A. Prikladnoj analiz sluchajnyh dannyh: Per. s angl. M.: Mir, 1989.</w:t>
      </w:r>
    </w:p>
    <w:p w:rsidR="004B0177" w:rsidRPr="00725D46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25D46">
        <w:rPr>
          <w:rFonts w:ascii="Times New Roman" w:hAnsi="Times New Roman"/>
          <w:sz w:val="24"/>
          <w:szCs w:val="24"/>
          <w:lang w:val="en-US"/>
        </w:rPr>
        <w:t>6.</w:t>
      </w:r>
      <w:r w:rsidRPr="00725D46">
        <w:rPr>
          <w:rFonts w:ascii="Times New Roman" w:hAnsi="Times New Roman"/>
          <w:sz w:val="24"/>
          <w:szCs w:val="24"/>
          <w:lang w:val="en-US"/>
        </w:rPr>
        <w:tab/>
        <w:t>Bendat Dzh., Pirsol A. Primenenie korreljacionnogo analiza i spektral'nogo analiza: Per. s angl. M.: Mir, 1983.</w:t>
      </w:r>
    </w:p>
    <w:p w:rsidR="004B0177" w:rsidRPr="00725D46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25D46">
        <w:rPr>
          <w:rFonts w:ascii="Times New Roman" w:hAnsi="Times New Roman"/>
          <w:sz w:val="24"/>
          <w:szCs w:val="24"/>
          <w:lang w:val="en-US"/>
        </w:rPr>
        <w:t>7.</w:t>
      </w:r>
      <w:r w:rsidRPr="00725D46">
        <w:rPr>
          <w:rFonts w:ascii="Times New Roman" w:hAnsi="Times New Roman"/>
          <w:sz w:val="24"/>
          <w:szCs w:val="24"/>
          <w:lang w:val="en-US"/>
        </w:rPr>
        <w:tab/>
        <w:t>Boks DZh., Dzhenkins G. Analiz vremennyh rjadov. Prognoz i upravlenie. M.: Mir, 1974.</w:t>
      </w:r>
    </w:p>
    <w:p w:rsidR="004B0177" w:rsidRPr="00725D46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25D46">
        <w:rPr>
          <w:rFonts w:ascii="Times New Roman" w:hAnsi="Times New Roman"/>
          <w:sz w:val="24"/>
          <w:szCs w:val="24"/>
          <w:lang w:val="en-US"/>
        </w:rPr>
        <w:t>8.</w:t>
      </w:r>
      <w:r w:rsidRPr="00725D46">
        <w:rPr>
          <w:rFonts w:ascii="Times New Roman" w:hAnsi="Times New Roman"/>
          <w:sz w:val="24"/>
          <w:szCs w:val="24"/>
          <w:lang w:val="en-US"/>
        </w:rPr>
        <w:tab/>
        <w:t>Ventcel' E.S. Teorija sluchajnyh processov i ee inzhenernye prilozhenija. Ucheb. Posobie dlja vtuzov. 2-u izd., ster. M.: Vyssh. Shk., 2000.</w:t>
      </w:r>
    </w:p>
    <w:p w:rsidR="004B0177" w:rsidRPr="00725D46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25D46">
        <w:rPr>
          <w:rFonts w:ascii="Times New Roman" w:hAnsi="Times New Roman"/>
          <w:sz w:val="24"/>
          <w:szCs w:val="24"/>
          <w:lang w:val="en-US"/>
        </w:rPr>
        <w:t>9.</w:t>
      </w:r>
      <w:r w:rsidRPr="00725D46">
        <w:rPr>
          <w:rFonts w:ascii="Times New Roman" w:hAnsi="Times New Roman"/>
          <w:sz w:val="24"/>
          <w:szCs w:val="24"/>
          <w:lang w:val="en-US"/>
        </w:rPr>
        <w:tab/>
        <w:t>Evlanov L.G., Konstantinov V.M. Sistemy so sluchajnymi parametrami. M.: Nauka, 1976.</w:t>
      </w:r>
    </w:p>
    <w:p w:rsidR="004B0177" w:rsidRPr="00725D46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25D46">
        <w:rPr>
          <w:rFonts w:ascii="Times New Roman" w:hAnsi="Times New Roman"/>
          <w:sz w:val="24"/>
          <w:szCs w:val="24"/>
          <w:lang w:val="en-US"/>
        </w:rPr>
        <w:t>10.</w:t>
      </w:r>
      <w:r w:rsidRPr="00725D46">
        <w:rPr>
          <w:rFonts w:ascii="Times New Roman" w:hAnsi="Times New Roman"/>
          <w:sz w:val="24"/>
          <w:szCs w:val="24"/>
          <w:lang w:val="en-US"/>
        </w:rPr>
        <w:tab/>
        <w:t>Rytov S.M. Vvedenie v staticheskuju radiofiziku. Ch.1. Sluchajnye processy. M.: Nauka, 1976.</w:t>
      </w:r>
    </w:p>
    <w:p w:rsidR="004B0177" w:rsidRPr="00725D46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25D46">
        <w:rPr>
          <w:rFonts w:ascii="Times New Roman" w:hAnsi="Times New Roman"/>
          <w:sz w:val="24"/>
          <w:szCs w:val="24"/>
          <w:lang w:val="en-US"/>
        </w:rPr>
        <w:t>11.</w:t>
      </w:r>
      <w:r w:rsidRPr="00725D46">
        <w:rPr>
          <w:rFonts w:ascii="Times New Roman" w:hAnsi="Times New Roman"/>
          <w:sz w:val="24"/>
          <w:szCs w:val="24"/>
          <w:lang w:val="en-US"/>
        </w:rPr>
        <w:tab/>
        <w:t>Rytov S.M. Modulirovannye kolebanija i volny // Trudy Fiz. Instituta AN SSSR. 1940. T. 2, vyp. 1.</w:t>
      </w:r>
    </w:p>
    <w:p w:rsidR="004B0177" w:rsidRPr="00725D46" w:rsidRDefault="004B0177" w:rsidP="00725D4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25D46">
        <w:rPr>
          <w:rFonts w:ascii="Times New Roman" w:hAnsi="Times New Roman"/>
          <w:sz w:val="24"/>
          <w:szCs w:val="24"/>
          <w:lang w:val="en-US"/>
        </w:rPr>
        <w:t>12.</w:t>
      </w:r>
      <w:r w:rsidRPr="00725D46">
        <w:rPr>
          <w:rFonts w:ascii="Times New Roman" w:hAnsi="Times New Roman"/>
          <w:sz w:val="24"/>
          <w:szCs w:val="24"/>
          <w:lang w:val="en-US"/>
        </w:rPr>
        <w:tab/>
        <w:t>Tjurin Ju.N., Makarov A.A. Analiz dannyh na komp'jutere / Pod red. V.Je. Figurnova. 3-e izd., pererab. I dop. M.: INFRA-M, 2003.</w:t>
      </w:r>
    </w:p>
    <w:sectPr w:rsidR="004B0177" w:rsidRPr="00725D46" w:rsidSect="00B1368D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177" w:rsidRDefault="004B0177" w:rsidP="00B8447C">
      <w:pPr>
        <w:spacing w:after="0" w:line="240" w:lineRule="auto"/>
      </w:pPr>
      <w:r>
        <w:separator/>
      </w:r>
    </w:p>
  </w:endnote>
  <w:endnote w:type="continuationSeparator" w:id="0">
    <w:p w:rsidR="004B0177" w:rsidRDefault="004B0177" w:rsidP="00B8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177" w:rsidRDefault="004B0177">
    <w:pPr>
      <w:pStyle w:val="Footer"/>
    </w:pPr>
    <w:r w:rsidRPr="004D1D7F">
      <w:rPr>
        <w:rFonts w:ascii="Times New Roman" w:hAnsi="Times New Roman"/>
        <w:sz w:val="24"/>
        <w:szCs w:val="24"/>
      </w:rPr>
      <w:t>http://ej.kubagro.ru/2016/0</w:t>
    </w:r>
    <w:r>
      <w:rPr>
        <w:rFonts w:ascii="Times New Roman" w:hAnsi="Times New Roman"/>
        <w:sz w:val="24"/>
        <w:szCs w:val="24"/>
      </w:rPr>
      <w:t>2</w:t>
    </w:r>
    <w:r w:rsidRPr="004D1D7F">
      <w:rPr>
        <w:rFonts w:ascii="Times New Roman" w:hAnsi="Times New Roman"/>
        <w:sz w:val="24"/>
        <w:szCs w:val="24"/>
      </w:rPr>
      <w:t>/pdf/0</w:t>
    </w:r>
    <w:r>
      <w:rPr>
        <w:rFonts w:ascii="Times New Roman" w:hAnsi="Times New Roman"/>
        <w:sz w:val="24"/>
        <w:szCs w:val="24"/>
      </w:rPr>
      <w:t>5</w:t>
    </w:r>
    <w:r w:rsidRPr="004D1D7F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177" w:rsidRDefault="004B0177" w:rsidP="00B8447C">
      <w:pPr>
        <w:spacing w:after="0" w:line="240" w:lineRule="auto"/>
      </w:pPr>
      <w:r>
        <w:separator/>
      </w:r>
    </w:p>
  </w:footnote>
  <w:footnote w:type="continuationSeparator" w:id="0">
    <w:p w:rsidR="004B0177" w:rsidRDefault="004B0177" w:rsidP="00B84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177" w:rsidRDefault="004B0177" w:rsidP="000B0DC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0177" w:rsidRDefault="004B0177" w:rsidP="00B1368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177" w:rsidRPr="00B1368D" w:rsidRDefault="004B0177" w:rsidP="000B0DC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1368D">
      <w:rPr>
        <w:rStyle w:val="PageNumber"/>
        <w:rFonts w:ascii="Times New Roman" w:hAnsi="Times New Roman"/>
        <w:sz w:val="28"/>
        <w:szCs w:val="28"/>
      </w:rPr>
      <w:fldChar w:fldCharType="begin"/>
    </w:r>
    <w:r w:rsidRPr="00B1368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1368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B1368D">
      <w:rPr>
        <w:rStyle w:val="PageNumber"/>
        <w:rFonts w:ascii="Times New Roman" w:hAnsi="Times New Roman"/>
        <w:sz w:val="28"/>
        <w:szCs w:val="28"/>
      </w:rPr>
      <w:fldChar w:fldCharType="end"/>
    </w:r>
  </w:p>
  <w:p w:rsidR="004B0177" w:rsidRDefault="004B0177" w:rsidP="00B1368D">
    <w:pPr>
      <w:pStyle w:val="Header"/>
      <w:ind w:right="360"/>
    </w:pPr>
    <w:r w:rsidRPr="00B1368D">
      <w:rPr>
        <w:rFonts w:ascii="Times New Roman" w:hAnsi="Times New Roman"/>
        <w:sz w:val="24"/>
        <w:szCs w:val="24"/>
      </w:rPr>
      <w:t>Научный журнал КубГАУ, №116</w:t>
    </w:r>
    <w:r w:rsidRPr="00B1368D">
      <w:rPr>
        <w:rFonts w:ascii="Times New Roman" w:hAnsi="Times New Roman"/>
        <w:sz w:val="24"/>
        <w:szCs w:val="24"/>
        <w:lang w:val="en-US"/>
      </w:rPr>
      <w:t>(</w:t>
    </w:r>
    <w:r w:rsidRPr="00B1368D">
      <w:rPr>
        <w:rFonts w:ascii="Times New Roman" w:hAnsi="Times New Roman"/>
        <w:sz w:val="24"/>
        <w:szCs w:val="24"/>
      </w:rPr>
      <w:t>02), 2016 года</w:t>
    </w:r>
  </w:p>
  <w:p w:rsidR="004B0177" w:rsidRDefault="004B017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0" w:name="OLE_LINK8"/>
  <w:bookmarkStart w:id="11" w:name="OLE_LINK9"/>
  <w:p w:rsidR="004B0177" w:rsidRDefault="004B0177" w:rsidP="000B0DC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B0177" w:rsidRPr="00B1368D" w:rsidRDefault="004B0177" w:rsidP="00B1368D">
    <w:pPr>
      <w:pStyle w:val="Header"/>
      <w:ind w:right="360"/>
      <w:rPr>
        <w:rFonts w:ascii="Times New Roman" w:hAnsi="Times New Roman"/>
        <w:sz w:val="24"/>
        <w:szCs w:val="24"/>
      </w:rPr>
    </w:pPr>
    <w:r w:rsidRPr="00B1368D">
      <w:rPr>
        <w:rFonts w:ascii="Times New Roman" w:hAnsi="Times New Roman"/>
        <w:sz w:val="24"/>
        <w:szCs w:val="24"/>
      </w:rPr>
      <w:t>Научный журнал КубГАУ, №116</w:t>
    </w:r>
    <w:r w:rsidRPr="00B1368D">
      <w:rPr>
        <w:rFonts w:ascii="Times New Roman" w:hAnsi="Times New Roman"/>
        <w:sz w:val="24"/>
        <w:szCs w:val="24"/>
        <w:lang w:val="en-US"/>
      </w:rPr>
      <w:t>(</w:t>
    </w:r>
    <w:r w:rsidRPr="00B1368D">
      <w:rPr>
        <w:rFonts w:ascii="Times New Roman" w:hAnsi="Times New Roman"/>
        <w:sz w:val="24"/>
        <w:szCs w:val="24"/>
      </w:rPr>
      <w:t>02), 2016 года</w:t>
    </w:r>
    <w:bookmarkEnd w:id="10"/>
    <w:bookmarkEnd w:id="11"/>
  </w:p>
  <w:p w:rsidR="004B0177" w:rsidRDefault="004B01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26FD6"/>
    <w:multiLevelType w:val="hybridMultilevel"/>
    <w:tmpl w:val="E3D6198C"/>
    <w:lvl w:ilvl="0" w:tplc="D36A318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B712C58"/>
    <w:multiLevelType w:val="hybridMultilevel"/>
    <w:tmpl w:val="EF74D9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EA17073"/>
    <w:multiLevelType w:val="hybridMultilevel"/>
    <w:tmpl w:val="5FE4169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8E413E5"/>
    <w:multiLevelType w:val="hybridMultilevel"/>
    <w:tmpl w:val="F894E5B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B4822D2"/>
    <w:multiLevelType w:val="hybridMultilevel"/>
    <w:tmpl w:val="005ADFEC"/>
    <w:lvl w:ilvl="0" w:tplc="D36A3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792146"/>
    <w:multiLevelType w:val="hybridMultilevel"/>
    <w:tmpl w:val="82A0D5A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6EE178ED"/>
    <w:multiLevelType w:val="hybridMultilevel"/>
    <w:tmpl w:val="F04E88B8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7">
    <w:nsid w:val="7717780F"/>
    <w:multiLevelType w:val="hybridMultilevel"/>
    <w:tmpl w:val="62048702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7E630223"/>
    <w:multiLevelType w:val="hybridMultilevel"/>
    <w:tmpl w:val="585A0C82"/>
    <w:lvl w:ilvl="0" w:tplc="D36A3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7050"/>
    <w:rsid w:val="00001394"/>
    <w:rsid w:val="00007850"/>
    <w:rsid w:val="000078B9"/>
    <w:rsid w:val="00015EB4"/>
    <w:rsid w:val="0003063A"/>
    <w:rsid w:val="00063883"/>
    <w:rsid w:val="00067740"/>
    <w:rsid w:val="000A0244"/>
    <w:rsid w:val="000A49FA"/>
    <w:rsid w:val="000A539A"/>
    <w:rsid w:val="000A55B1"/>
    <w:rsid w:val="000A6A55"/>
    <w:rsid w:val="000B0DC6"/>
    <w:rsid w:val="000C3DA4"/>
    <w:rsid w:val="000D4F57"/>
    <w:rsid w:val="000E5487"/>
    <w:rsid w:val="000F2BD7"/>
    <w:rsid w:val="000F79E1"/>
    <w:rsid w:val="00103669"/>
    <w:rsid w:val="00124CEE"/>
    <w:rsid w:val="0016714A"/>
    <w:rsid w:val="00180707"/>
    <w:rsid w:val="002029B4"/>
    <w:rsid w:val="0020770C"/>
    <w:rsid w:val="00233FAF"/>
    <w:rsid w:val="00247C88"/>
    <w:rsid w:val="002538BF"/>
    <w:rsid w:val="00264D3D"/>
    <w:rsid w:val="002821DF"/>
    <w:rsid w:val="0028530A"/>
    <w:rsid w:val="002B21FC"/>
    <w:rsid w:val="002B39EF"/>
    <w:rsid w:val="002D18FE"/>
    <w:rsid w:val="002E7050"/>
    <w:rsid w:val="003026A8"/>
    <w:rsid w:val="003029BC"/>
    <w:rsid w:val="0034695E"/>
    <w:rsid w:val="00352719"/>
    <w:rsid w:val="003B7B66"/>
    <w:rsid w:val="00420E10"/>
    <w:rsid w:val="00421FF7"/>
    <w:rsid w:val="00467209"/>
    <w:rsid w:val="004754D0"/>
    <w:rsid w:val="00486CE8"/>
    <w:rsid w:val="00494C97"/>
    <w:rsid w:val="004A0ABA"/>
    <w:rsid w:val="004A396F"/>
    <w:rsid w:val="004A5441"/>
    <w:rsid w:val="004B0177"/>
    <w:rsid w:val="004C2C20"/>
    <w:rsid w:val="004C38EB"/>
    <w:rsid w:val="004C4E87"/>
    <w:rsid w:val="004D1D7F"/>
    <w:rsid w:val="004D752D"/>
    <w:rsid w:val="00511C2E"/>
    <w:rsid w:val="0052628F"/>
    <w:rsid w:val="00537A30"/>
    <w:rsid w:val="00537BF4"/>
    <w:rsid w:val="00556310"/>
    <w:rsid w:val="00570C04"/>
    <w:rsid w:val="00574418"/>
    <w:rsid w:val="00576CB5"/>
    <w:rsid w:val="005A59F3"/>
    <w:rsid w:val="005C722D"/>
    <w:rsid w:val="005E711F"/>
    <w:rsid w:val="00621C0A"/>
    <w:rsid w:val="0062398A"/>
    <w:rsid w:val="00644F4E"/>
    <w:rsid w:val="00650034"/>
    <w:rsid w:val="00660123"/>
    <w:rsid w:val="00665BEC"/>
    <w:rsid w:val="00674B5D"/>
    <w:rsid w:val="00681240"/>
    <w:rsid w:val="006B785B"/>
    <w:rsid w:val="006D15D1"/>
    <w:rsid w:val="006D3469"/>
    <w:rsid w:val="006E6481"/>
    <w:rsid w:val="006F39A8"/>
    <w:rsid w:val="00710903"/>
    <w:rsid w:val="00715FF6"/>
    <w:rsid w:val="00725D46"/>
    <w:rsid w:val="007262F9"/>
    <w:rsid w:val="00766473"/>
    <w:rsid w:val="00773F54"/>
    <w:rsid w:val="00776B6F"/>
    <w:rsid w:val="00784477"/>
    <w:rsid w:val="00796306"/>
    <w:rsid w:val="007A59DD"/>
    <w:rsid w:val="007C1703"/>
    <w:rsid w:val="007C268F"/>
    <w:rsid w:val="007D4EAD"/>
    <w:rsid w:val="007D534A"/>
    <w:rsid w:val="007E26E8"/>
    <w:rsid w:val="007F7E59"/>
    <w:rsid w:val="00810792"/>
    <w:rsid w:val="00826166"/>
    <w:rsid w:val="00836E99"/>
    <w:rsid w:val="008547DF"/>
    <w:rsid w:val="00881B94"/>
    <w:rsid w:val="00883952"/>
    <w:rsid w:val="008C716A"/>
    <w:rsid w:val="008D7ED5"/>
    <w:rsid w:val="0091024C"/>
    <w:rsid w:val="0092152B"/>
    <w:rsid w:val="00924A3D"/>
    <w:rsid w:val="00935FB8"/>
    <w:rsid w:val="00942DA7"/>
    <w:rsid w:val="009720CC"/>
    <w:rsid w:val="00997450"/>
    <w:rsid w:val="009E2DCB"/>
    <w:rsid w:val="009E5906"/>
    <w:rsid w:val="009F4AC3"/>
    <w:rsid w:val="00A40B26"/>
    <w:rsid w:val="00A51E71"/>
    <w:rsid w:val="00A6717C"/>
    <w:rsid w:val="00A7070B"/>
    <w:rsid w:val="00AC0FD0"/>
    <w:rsid w:val="00AE2F53"/>
    <w:rsid w:val="00B1368D"/>
    <w:rsid w:val="00B34101"/>
    <w:rsid w:val="00B35B58"/>
    <w:rsid w:val="00B51B3A"/>
    <w:rsid w:val="00B820B3"/>
    <w:rsid w:val="00B8447C"/>
    <w:rsid w:val="00B942D8"/>
    <w:rsid w:val="00BA1A7F"/>
    <w:rsid w:val="00BC5244"/>
    <w:rsid w:val="00C00B3A"/>
    <w:rsid w:val="00C3727E"/>
    <w:rsid w:val="00C468FD"/>
    <w:rsid w:val="00C53CDF"/>
    <w:rsid w:val="00C76753"/>
    <w:rsid w:val="00C82DA3"/>
    <w:rsid w:val="00CA2626"/>
    <w:rsid w:val="00CB263A"/>
    <w:rsid w:val="00CC6629"/>
    <w:rsid w:val="00CE7F6E"/>
    <w:rsid w:val="00D0308A"/>
    <w:rsid w:val="00D375F1"/>
    <w:rsid w:val="00D45322"/>
    <w:rsid w:val="00D70B64"/>
    <w:rsid w:val="00D820A5"/>
    <w:rsid w:val="00D9539F"/>
    <w:rsid w:val="00DB62A7"/>
    <w:rsid w:val="00DC7C77"/>
    <w:rsid w:val="00E027D2"/>
    <w:rsid w:val="00E341DA"/>
    <w:rsid w:val="00E4044C"/>
    <w:rsid w:val="00E67261"/>
    <w:rsid w:val="00E724D9"/>
    <w:rsid w:val="00E879CE"/>
    <w:rsid w:val="00F26E58"/>
    <w:rsid w:val="00F41DC4"/>
    <w:rsid w:val="00F70AEF"/>
    <w:rsid w:val="00FA052F"/>
    <w:rsid w:val="00FB28DE"/>
    <w:rsid w:val="00FC065F"/>
    <w:rsid w:val="00FE6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5D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6CB5"/>
    <w:pPr>
      <w:ind w:left="720"/>
      <w:contextualSpacing/>
    </w:pPr>
  </w:style>
  <w:style w:type="table" w:styleId="TableGrid">
    <w:name w:val="Table Grid"/>
    <w:basedOn w:val="TableNormal"/>
    <w:uiPriority w:val="99"/>
    <w:rsid w:val="003527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F79E1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F7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79E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4C38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B84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8447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84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8447C"/>
    <w:rPr>
      <w:rFonts w:cs="Times New Roman"/>
    </w:rPr>
  </w:style>
  <w:style w:type="character" w:styleId="PageNumber">
    <w:name w:val="page number"/>
    <w:basedOn w:val="DefaultParagraphFont"/>
    <w:uiPriority w:val="99"/>
    <w:rsid w:val="00B1368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0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00226">
          <w:marLeft w:val="6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16</Pages>
  <Words>3868</Words>
  <Characters>22053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Sergey</cp:lastModifiedBy>
  <cp:revision>19</cp:revision>
  <cp:lastPrinted>2016-01-27T18:40:00Z</cp:lastPrinted>
  <dcterms:created xsi:type="dcterms:W3CDTF">2016-01-25T20:58:00Z</dcterms:created>
  <dcterms:modified xsi:type="dcterms:W3CDTF">2016-02-27T06:04:00Z</dcterms:modified>
</cp:coreProperties>
</file>