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2A163E" w:rsidRPr="008A62E6" w:rsidTr="00CB24F2">
        <w:tc>
          <w:tcPr>
            <w:tcW w:w="4643" w:type="dxa"/>
          </w:tcPr>
          <w:p w:rsidR="002A163E" w:rsidRPr="008A62E6" w:rsidRDefault="002A163E" w:rsidP="008A62E6">
            <w:pPr>
              <w:spacing w:after="0" w:line="240" w:lineRule="auto"/>
              <w:rPr>
                <w:rFonts w:ascii="Times New Roman" w:eastAsia="Times-Roman" w:hAnsi="Times New Roman"/>
                <w:b/>
                <w:sz w:val="20"/>
                <w:szCs w:val="20"/>
                <w:lang w:eastAsia="ru-RU"/>
              </w:rPr>
            </w:pPr>
            <w:r w:rsidRPr="008A62E6">
              <w:rPr>
                <w:rFonts w:ascii="Times New Roman" w:eastAsia="Times-Roman" w:hAnsi="Times New Roman"/>
                <w:sz w:val="20"/>
                <w:szCs w:val="20"/>
                <w:lang w:eastAsia="ru-RU"/>
              </w:rPr>
              <w:t>УДК 343.98</w:t>
            </w:r>
          </w:p>
        </w:tc>
        <w:tc>
          <w:tcPr>
            <w:tcW w:w="4643" w:type="dxa"/>
          </w:tcPr>
          <w:p w:rsidR="002A163E" w:rsidRPr="008A62E6" w:rsidRDefault="002A163E" w:rsidP="008A62E6">
            <w:pPr>
              <w:spacing w:after="0" w:line="240" w:lineRule="auto"/>
              <w:rPr>
                <w:rFonts w:ascii="Times New Roman" w:eastAsia="Times-Roman" w:hAnsi="Times New Roman"/>
                <w:sz w:val="20"/>
                <w:szCs w:val="20"/>
                <w:lang w:eastAsia="ru-RU"/>
              </w:rPr>
            </w:pPr>
            <w:r w:rsidRPr="008A62E6">
              <w:rPr>
                <w:rFonts w:ascii="Times New Roman" w:eastAsia="Times-Roman" w:hAnsi="Times New Roman"/>
                <w:sz w:val="20"/>
                <w:szCs w:val="20"/>
                <w:lang w:val="en-US" w:eastAsia="ru-RU"/>
              </w:rPr>
              <w:t>UDC</w:t>
            </w:r>
            <w:r w:rsidRPr="008A62E6">
              <w:rPr>
                <w:rFonts w:ascii="Times New Roman" w:eastAsia="Times-Roman" w:hAnsi="Times New Roman"/>
                <w:sz w:val="20"/>
                <w:szCs w:val="20"/>
                <w:lang w:eastAsia="ru-RU"/>
              </w:rPr>
              <w:t xml:space="preserve"> 343.98</w:t>
            </w:r>
          </w:p>
          <w:p w:rsidR="002A163E" w:rsidRPr="008A62E6" w:rsidRDefault="002A163E" w:rsidP="008A62E6">
            <w:pPr>
              <w:spacing w:after="0" w:line="240" w:lineRule="auto"/>
              <w:rPr>
                <w:rFonts w:ascii="Times New Roman" w:eastAsia="Times-Roman" w:hAnsi="Times New Roman"/>
                <w:sz w:val="20"/>
                <w:szCs w:val="20"/>
                <w:lang w:eastAsia="ru-RU"/>
              </w:rPr>
            </w:pPr>
          </w:p>
        </w:tc>
      </w:tr>
      <w:tr w:rsidR="002A163E" w:rsidRPr="008A62E6" w:rsidTr="00CB24F2">
        <w:tc>
          <w:tcPr>
            <w:tcW w:w="4643" w:type="dxa"/>
          </w:tcPr>
          <w:p w:rsidR="002A163E" w:rsidRPr="008A62E6" w:rsidRDefault="002A163E" w:rsidP="008A62E6">
            <w:pPr>
              <w:spacing w:after="0" w:line="240" w:lineRule="auto"/>
              <w:rPr>
                <w:rFonts w:ascii="Times New Roman" w:eastAsia="Times-Roman" w:hAnsi="Times New Roman"/>
                <w:sz w:val="20"/>
                <w:szCs w:val="20"/>
                <w:lang w:eastAsia="ru-RU"/>
              </w:rPr>
            </w:pPr>
            <w:r w:rsidRPr="008A62E6">
              <w:rPr>
                <w:rFonts w:ascii="Times New Roman" w:eastAsia="Times-Roman" w:hAnsi="Times New Roman"/>
                <w:sz w:val="20"/>
                <w:szCs w:val="20"/>
                <w:lang w:eastAsia="ru-RU"/>
              </w:rPr>
              <w:t>12.00.00 Юридический науки</w:t>
            </w:r>
          </w:p>
        </w:tc>
        <w:tc>
          <w:tcPr>
            <w:tcW w:w="4643" w:type="dxa"/>
          </w:tcPr>
          <w:p w:rsidR="002A163E" w:rsidRPr="008A62E6" w:rsidRDefault="002A163E" w:rsidP="008A62E6">
            <w:pPr>
              <w:spacing w:after="0" w:line="240" w:lineRule="auto"/>
              <w:rPr>
                <w:rFonts w:ascii="Times New Roman" w:eastAsia="Times-Roman" w:hAnsi="Times New Roman"/>
                <w:sz w:val="20"/>
                <w:szCs w:val="20"/>
                <w:lang w:val="en-US" w:eastAsia="ru-RU"/>
              </w:rPr>
            </w:pPr>
            <w:r w:rsidRPr="008A62E6">
              <w:rPr>
                <w:rFonts w:ascii="Times New Roman" w:eastAsia="Times-Roman" w:hAnsi="Times New Roman"/>
                <w:sz w:val="20"/>
                <w:szCs w:val="20"/>
                <w:lang w:val="en-US" w:eastAsia="ru-RU"/>
              </w:rPr>
              <w:t>Legal sciences</w:t>
            </w:r>
          </w:p>
        </w:tc>
      </w:tr>
      <w:tr w:rsidR="002A163E" w:rsidRPr="008A62E6" w:rsidTr="00CB24F2">
        <w:tc>
          <w:tcPr>
            <w:tcW w:w="4643" w:type="dxa"/>
          </w:tcPr>
          <w:p w:rsidR="002A163E" w:rsidRPr="008A62E6" w:rsidRDefault="002A163E" w:rsidP="008A62E6">
            <w:pPr>
              <w:spacing w:after="0" w:line="240" w:lineRule="auto"/>
              <w:rPr>
                <w:rFonts w:ascii="Times New Roman" w:hAnsi="Times New Roman"/>
                <w:b/>
                <w:sz w:val="20"/>
                <w:szCs w:val="20"/>
                <w:lang w:eastAsia="ru-RU"/>
              </w:rPr>
            </w:pPr>
          </w:p>
          <w:p w:rsidR="002A163E" w:rsidRPr="008A62E6" w:rsidRDefault="002A163E" w:rsidP="008A62E6">
            <w:pPr>
              <w:spacing w:after="0" w:line="240" w:lineRule="auto"/>
              <w:rPr>
                <w:rFonts w:ascii="Times New Roman" w:hAnsi="Times New Roman"/>
                <w:sz w:val="20"/>
                <w:szCs w:val="20"/>
                <w:lang w:eastAsia="ru-RU"/>
              </w:rPr>
            </w:pPr>
            <w:r w:rsidRPr="008A62E6">
              <w:rPr>
                <w:rFonts w:ascii="Times New Roman" w:hAnsi="Times New Roman"/>
                <w:b/>
                <w:sz w:val="20"/>
                <w:szCs w:val="20"/>
                <w:lang w:eastAsia="ru-RU"/>
              </w:rPr>
              <w:t>ПОНЯТИЕ ГРУППОВОЙ МЕТОДИКИ РАССЛЕДОВАНИЯ ПРЕСТУПЛЕНИЙ ПРОТИВ СЕМЬИ И НЕСОВЕРШЕННОЛЕТНИХ</w:t>
            </w:r>
          </w:p>
          <w:p w:rsidR="002A163E" w:rsidRPr="008A62E6" w:rsidRDefault="002A163E" w:rsidP="008A62E6">
            <w:pPr>
              <w:spacing w:after="0" w:line="240" w:lineRule="auto"/>
              <w:rPr>
                <w:rFonts w:ascii="Times New Roman" w:eastAsia="Times-Roman" w:hAnsi="Times New Roman"/>
                <w:b/>
                <w:sz w:val="20"/>
                <w:szCs w:val="20"/>
                <w:lang w:eastAsia="ru-RU"/>
              </w:rPr>
            </w:pPr>
          </w:p>
        </w:tc>
        <w:tc>
          <w:tcPr>
            <w:tcW w:w="4643" w:type="dxa"/>
          </w:tcPr>
          <w:p w:rsidR="002A163E" w:rsidRPr="008A62E6" w:rsidRDefault="002A163E" w:rsidP="008A62E6">
            <w:pPr>
              <w:spacing w:after="0" w:line="240" w:lineRule="auto"/>
              <w:rPr>
                <w:rFonts w:ascii="Times New Roman" w:hAnsi="Times New Roman"/>
                <w:b/>
                <w:sz w:val="20"/>
                <w:szCs w:val="20"/>
                <w:lang w:eastAsia="ru-RU"/>
              </w:rPr>
            </w:pPr>
          </w:p>
          <w:p w:rsidR="002A163E" w:rsidRPr="008A62E6" w:rsidRDefault="002A163E" w:rsidP="008A62E6">
            <w:pPr>
              <w:spacing w:after="0" w:line="240" w:lineRule="auto"/>
              <w:rPr>
                <w:rFonts w:ascii="Times New Roman" w:eastAsia="Times-Roman" w:hAnsi="Times New Roman"/>
                <w:b/>
                <w:sz w:val="20"/>
                <w:szCs w:val="20"/>
                <w:lang w:val="en-US" w:eastAsia="ru-RU"/>
              </w:rPr>
            </w:pPr>
            <w:r w:rsidRPr="008A62E6">
              <w:rPr>
                <w:rFonts w:ascii="Times New Roman" w:hAnsi="Times New Roman"/>
                <w:b/>
                <w:sz w:val="20"/>
                <w:szCs w:val="20"/>
                <w:lang w:val="en-US" w:eastAsia="ru-RU"/>
              </w:rPr>
              <w:t>THE CONCEPT OF A GROUP OF INVESTIGATION OF CRIMES AGAINST FAMILY AND MINORS</w:t>
            </w:r>
          </w:p>
        </w:tc>
      </w:tr>
      <w:tr w:rsidR="002A163E" w:rsidRPr="008A62E6" w:rsidTr="00CB24F2">
        <w:tc>
          <w:tcPr>
            <w:tcW w:w="4643" w:type="dxa"/>
          </w:tcPr>
          <w:p w:rsidR="002A163E" w:rsidRPr="008A62E6" w:rsidRDefault="002A163E" w:rsidP="008A62E6">
            <w:pPr>
              <w:spacing w:after="0" w:line="240" w:lineRule="auto"/>
              <w:rPr>
                <w:rFonts w:ascii="Times New Roman" w:eastAsia="Times-Roman" w:hAnsi="Times New Roman"/>
                <w:sz w:val="20"/>
                <w:szCs w:val="20"/>
                <w:lang w:eastAsia="ru-RU"/>
              </w:rPr>
            </w:pPr>
            <w:r w:rsidRPr="008A62E6">
              <w:rPr>
                <w:rFonts w:ascii="Times New Roman" w:eastAsia="Times-Roman" w:hAnsi="Times New Roman"/>
                <w:sz w:val="20"/>
                <w:szCs w:val="20"/>
                <w:lang w:eastAsia="ru-RU"/>
              </w:rPr>
              <w:t>Куемжиева Светлана Александровна</w:t>
            </w:r>
          </w:p>
          <w:p w:rsidR="002A163E" w:rsidRPr="008A62E6" w:rsidRDefault="002A163E" w:rsidP="008A62E6">
            <w:pPr>
              <w:spacing w:after="0" w:line="240" w:lineRule="auto"/>
              <w:rPr>
                <w:rFonts w:ascii="Times New Roman" w:hAnsi="Times New Roman"/>
                <w:sz w:val="20"/>
                <w:szCs w:val="20"/>
                <w:lang w:eastAsia="ru-RU"/>
              </w:rPr>
            </w:pPr>
            <w:r w:rsidRPr="008A62E6">
              <w:rPr>
                <w:rFonts w:ascii="Times New Roman" w:hAnsi="Times New Roman"/>
                <w:sz w:val="20"/>
                <w:szCs w:val="20"/>
                <w:lang w:eastAsia="ru-RU"/>
              </w:rPr>
              <w:t xml:space="preserve">кандидат юридических наук, профессор, декан юридического факультета </w:t>
            </w:r>
          </w:p>
          <w:p w:rsidR="002A163E" w:rsidRPr="008A62E6" w:rsidRDefault="002A163E" w:rsidP="008A62E6">
            <w:pPr>
              <w:spacing w:after="0" w:line="240" w:lineRule="auto"/>
              <w:rPr>
                <w:rFonts w:ascii="Times New Roman" w:eastAsia="Times-Roman" w:hAnsi="Times New Roman"/>
                <w:i/>
                <w:sz w:val="20"/>
                <w:szCs w:val="20"/>
                <w:lang w:eastAsia="ru-RU"/>
              </w:rPr>
            </w:pPr>
            <w:r w:rsidRPr="008A62E6">
              <w:rPr>
                <w:rFonts w:ascii="Times New Roman" w:eastAsia="Times-Roman" w:hAnsi="Times New Roman"/>
                <w:i/>
                <w:sz w:val="20"/>
                <w:szCs w:val="20"/>
                <w:lang w:eastAsia="ru-RU"/>
              </w:rPr>
              <w:t>Кубанский государственный агарный университет, Краснодар, Россия</w:t>
            </w:r>
          </w:p>
          <w:p w:rsidR="002A163E" w:rsidRPr="008A62E6" w:rsidRDefault="002A163E" w:rsidP="008A62E6">
            <w:pPr>
              <w:spacing w:after="0" w:line="240" w:lineRule="auto"/>
              <w:rPr>
                <w:rFonts w:ascii="Times New Roman" w:eastAsia="Times-Roman" w:hAnsi="Times New Roman"/>
                <w:sz w:val="20"/>
                <w:szCs w:val="20"/>
                <w:lang w:eastAsia="ru-RU"/>
              </w:rPr>
            </w:pPr>
          </w:p>
        </w:tc>
        <w:tc>
          <w:tcPr>
            <w:tcW w:w="4643" w:type="dxa"/>
          </w:tcPr>
          <w:p w:rsidR="002A163E" w:rsidRPr="008A62E6" w:rsidRDefault="002A163E" w:rsidP="008A62E6">
            <w:pPr>
              <w:spacing w:after="0" w:line="240" w:lineRule="auto"/>
              <w:rPr>
                <w:rFonts w:ascii="Times New Roman" w:eastAsia="Times-Roman" w:hAnsi="Times New Roman"/>
                <w:sz w:val="20"/>
                <w:szCs w:val="20"/>
                <w:lang w:val="en-US" w:eastAsia="ru-RU"/>
              </w:rPr>
            </w:pPr>
            <w:r w:rsidRPr="008A62E6">
              <w:rPr>
                <w:rFonts w:ascii="Times New Roman" w:eastAsia="Times-Roman" w:hAnsi="Times New Roman"/>
                <w:sz w:val="20"/>
                <w:szCs w:val="20"/>
                <w:lang w:val="en-US" w:eastAsia="ru-RU"/>
              </w:rPr>
              <w:t xml:space="preserve">Kuyemzhiyeva Svetlana Aleksandrovna </w:t>
            </w:r>
          </w:p>
          <w:p w:rsidR="002A163E" w:rsidRPr="008A62E6" w:rsidRDefault="002A163E" w:rsidP="008A62E6">
            <w:pPr>
              <w:spacing w:after="0" w:line="240" w:lineRule="auto"/>
              <w:rPr>
                <w:rFonts w:ascii="Times New Roman" w:eastAsia="Times-Roman" w:hAnsi="Times New Roman"/>
                <w:sz w:val="20"/>
                <w:szCs w:val="20"/>
                <w:lang w:val="en-US" w:eastAsia="ru-RU"/>
              </w:rPr>
            </w:pPr>
            <w:r>
              <w:rPr>
                <w:rFonts w:ascii="Times New Roman" w:eastAsia="Times-Roman" w:hAnsi="Times New Roman"/>
                <w:sz w:val="20"/>
                <w:szCs w:val="20"/>
                <w:lang w:val="en-US" w:eastAsia="ru-RU"/>
              </w:rPr>
              <w:t>C</w:t>
            </w:r>
            <w:r w:rsidRPr="008A62E6">
              <w:rPr>
                <w:rFonts w:ascii="Times New Roman" w:eastAsia="Times-Roman" w:hAnsi="Times New Roman"/>
                <w:sz w:val="20"/>
                <w:szCs w:val="20"/>
                <w:lang w:val="en-US" w:eastAsia="ru-RU"/>
              </w:rPr>
              <w:t xml:space="preserve">andidate of law, professor, </w:t>
            </w:r>
            <w:r>
              <w:rPr>
                <w:rFonts w:ascii="Times New Roman" w:eastAsia="Times-Roman" w:hAnsi="Times New Roman"/>
                <w:sz w:val="20"/>
                <w:szCs w:val="20"/>
                <w:lang w:val="en-US" w:eastAsia="ru-RU"/>
              </w:rPr>
              <w:t>D</w:t>
            </w:r>
            <w:r w:rsidRPr="008A62E6">
              <w:rPr>
                <w:rFonts w:ascii="Times New Roman" w:eastAsia="Times-Roman" w:hAnsi="Times New Roman"/>
                <w:sz w:val="20"/>
                <w:szCs w:val="20"/>
                <w:lang w:val="en-US" w:eastAsia="ru-RU"/>
              </w:rPr>
              <w:t xml:space="preserve">ean of </w:t>
            </w:r>
            <w:r>
              <w:rPr>
                <w:rFonts w:ascii="Times New Roman" w:eastAsia="Times-Roman" w:hAnsi="Times New Roman"/>
                <w:sz w:val="20"/>
                <w:szCs w:val="20"/>
                <w:lang w:val="en-US" w:eastAsia="ru-RU"/>
              </w:rPr>
              <w:t>the L</w:t>
            </w:r>
            <w:r w:rsidRPr="008A62E6">
              <w:rPr>
                <w:rFonts w:ascii="Times New Roman" w:eastAsia="Times-Roman" w:hAnsi="Times New Roman"/>
                <w:sz w:val="20"/>
                <w:szCs w:val="20"/>
                <w:lang w:val="en-US" w:eastAsia="ru-RU"/>
              </w:rPr>
              <w:t>aw department</w:t>
            </w:r>
          </w:p>
          <w:p w:rsidR="002A163E" w:rsidRPr="008A62E6" w:rsidRDefault="002A163E" w:rsidP="008A62E6">
            <w:pPr>
              <w:spacing w:after="0" w:line="240" w:lineRule="auto"/>
              <w:rPr>
                <w:rFonts w:ascii="Times New Roman" w:eastAsia="Times-Roman" w:hAnsi="Times New Roman"/>
                <w:sz w:val="20"/>
                <w:szCs w:val="20"/>
                <w:lang w:val="en-US" w:eastAsia="ru-RU"/>
              </w:rPr>
            </w:pPr>
            <w:bookmarkStart w:id="0" w:name="_GoBack"/>
            <w:bookmarkEnd w:id="0"/>
            <w:r w:rsidRPr="008A62E6">
              <w:rPr>
                <w:rFonts w:ascii="Times New Roman" w:eastAsia="Times-Roman" w:hAnsi="Times New Roman"/>
                <w:i/>
                <w:sz w:val="20"/>
                <w:szCs w:val="20"/>
                <w:lang w:val="en-US" w:eastAsia="ru-RU"/>
              </w:rPr>
              <w:t>Kuban state agricultural university, Krasnodar, Russia</w:t>
            </w:r>
            <w:r w:rsidRPr="008A62E6">
              <w:rPr>
                <w:rFonts w:ascii="Times New Roman" w:eastAsia="Times-Roman" w:hAnsi="Times New Roman"/>
                <w:sz w:val="20"/>
                <w:szCs w:val="20"/>
                <w:lang w:val="en-US" w:eastAsia="ru-RU"/>
              </w:rPr>
              <w:t xml:space="preserve"> </w:t>
            </w:r>
          </w:p>
          <w:p w:rsidR="002A163E" w:rsidRPr="008A62E6" w:rsidRDefault="002A163E" w:rsidP="008A62E6">
            <w:pPr>
              <w:spacing w:after="0" w:line="240" w:lineRule="auto"/>
              <w:rPr>
                <w:rFonts w:ascii="Times New Roman" w:eastAsia="Times-Roman" w:hAnsi="Times New Roman"/>
                <w:sz w:val="20"/>
                <w:szCs w:val="20"/>
                <w:lang w:val="en-US" w:eastAsia="ru-RU"/>
              </w:rPr>
            </w:pPr>
          </w:p>
        </w:tc>
      </w:tr>
      <w:tr w:rsidR="002A163E" w:rsidRPr="008A62E6" w:rsidTr="00CB24F2">
        <w:tc>
          <w:tcPr>
            <w:tcW w:w="4643" w:type="dxa"/>
          </w:tcPr>
          <w:p w:rsidR="002A163E" w:rsidRPr="003135F1" w:rsidRDefault="002A163E" w:rsidP="008A62E6">
            <w:pPr>
              <w:spacing w:after="0" w:line="240" w:lineRule="auto"/>
              <w:rPr>
                <w:rFonts w:ascii="Times New Roman" w:hAnsi="Times New Roman"/>
                <w:sz w:val="20"/>
                <w:szCs w:val="20"/>
                <w:lang w:eastAsia="ru-RU"/>
              </w:rPr>
            </w:pPr>
            <w:r w:rsidRPr="008A62E6">
              <w:rPr>
                <w:rFonts w:ascii="Times New Roman" w:hAnsi="Times New Roman"/>
                <w:sz w:val="20"/>
                <w:szCs w:val="20"/>
                <w:lang w:eastAsia="ru-RU"/>
              </w:rPr>
              <w:t>В статье изложены вопросы понятия групповой методики расследования преступлений против семьи и несовершеннолетних. Кратко исследовано содержание уголовно – правовой характеристики отдельных составов преступлений против семьи, имеющих общие признаки. Рассмотрены общие для этих составов вопросы криминалистической характеристики. Обоснован вывод о сущности групповой методики расследования преступлений пр</w:t>
            </w:r>
            <w:r>
              <w:rPr>
                <w:rFonts w:ascii="Times New Roman" w:hAnsi="Times New Roman"/>
                <w:sz w:val="20"/>
                <w:szCs w:val="20"/>
                <w:lang w:eastAsia="ru-RU"/>
              </w:rPr>
              <w:t>отив семьи и несовершеннолетних</w:t>
            </w:r>
          </w:p>
          <w:p w:rsidR="002A163E" w:rsidRPr="008A62E6" w:rsidRDefault="002A163E" w:rsidP="008A62E6">
            <w:pPr>
              <w:spacing w:after="0" w:line="240" w:lineRule="auto"/>
              <w:rPr>
                <w:rFonts w:ascii="Times New Roman" w:eastAsia="Times-Roman" w:hAnsi="Times New Roman"/>
                <w:b/>
                <w:sz w:val="20"/>
                <w:szCs w:val="20"/>
                <w:lang w:eastAsia="ru-RU"/>
              </w:rPr>
            </w:pPr>
          </w:p>
        </w:tc>
        <w:tc>
          <w:tcPr>
            <w:tcW w:w="4643" w:type="dxa"/>
          </w:tcPr>
          <w:p w:rsidR="002A163E" w:rsidRPr="008A62E6" w:rsidRDefault="002A163E" w:rsidP="008A62E6">
            <w:pPr>
              <w:spacing w:after="0" w:line="240" w:lineRule="auto"/>
              <w:rPr>
                <w:rFonts w:ascii="Times New Roman" w:eastAsia="Times-Roman" w:hAnsi="Times New Roman"/>
                <w:sz w:val="20"/>
                <w:szCs w:val="20"/>
                <w:lang w:val="en-US" w:eastAsia="ru-RU"/>
              </w:rPr>
            </w:pPr>
            <w:r w:rsidRPr="008A62E6">
              <w:rPr>
                <w:rFonts w:ascii="Times New Roman" w:eastAsia="Times-Roman" w:hAnsi="Times New Roman"/>
                <w:sz w:val="20"/>
                <w:szCs w:val="20"/>
                <w:lang w:val="en-US" w:eastAsia="ru-RU"/>
              </w:rPr>
              <w:t xml:space="preserve">The article presents the concept of group methods of investigation of crimes against a family and minors. </w:t>
            </w:r>
            <w:r>
              <w:rPr>
                <w:rFonts w:ascii="Times New Roman" w:eastAsia="Times-Roman" w:hAnsi="Times New Roman"/>
                <w:sz w:val="20"/>
                <w:szCs w:val="20"/>
                <w:lang w:val="en-US" w:eastAsia="ru-RU"/>
              </w:rPr>
              <w:t>There was b</w:t>
            </w:r>
            <w:r w:rsidRPr="008A62E6">
              <w:rPr>
                <w:rFonts w:ascii="Times New Roman" w:eastAsia="Times-Roman" w:hAnsi="Times New Roman"/>
                <w:sz w:val="20"/>
                <w:szCs w:val="20"/>
                <w:lang w:val="en-US" w:eastAsia="ru-RU"/>
              </w:rPr>
              <w:t>riefly investigated the concept of criminal – legal characteristics of specific offences against the family, which are common. The general positions for the questions about criminalistic characteristics</w:t>
            </w:r>
            <w:r>
              <w:rPr>
                <w:rFonts w:ascii="Times New Roman" w:eastAsia="Times-Roman" w:hAnsi="Times New Roman"/>
                <w:sz w:val="20"/>
                <w:szCs w:val="20"/>
                <w:lang w:val="en-US" w:eastAsia="ru-RU"/>
              </w:rPr>
              <w:t xml:space="preserve"> were reviewed</w:t>
            </w:r>
            <w:r w:rsidRPr="008A62E6">
              <w:rPr>
                <w:rFonts w:ascii="Times New Roman" w:eastAsia="Times-Roman" w:hAnsi="Times New Roman"/>
                <w:sz w:val="20"/>
                <w:szCs w:val="20"/>
                <w:lang w:val="en-US" w:eastAsia="ru-RU"/>
              </w:rPr>
              <w:t xml:space="preserve">. </w:t>
            </w:r>
            <w:r>
              <w:rPr>
                <w:rFonts w:ascii="Times New Roman" w:eastAsia="Times-Roman" w:hAnsi="Times New Roman"/>
                <w:sz w:val="20"/>
                <w:szCs w:val="20"/>
                <w:lang w:val="en-US" w:eastAsia="ru-RU"/>
              </w:rPr>
              <w:t>We have</w:t>
            </w:r>
            <w:r w:rsidRPr="008A62E6">
              <w:rPr>
                <w:rFonts w:ascii="Times New Roman" w:eastAsia="Times-Roman" w:hAnsi="Times New Roman"/>
                <w:sz w:val="20"/>
                <w:szCs w:val="20"/>
                <w:lang w:val="en-US" w:eastAsia="ru-RU"/>
              </w:rPr>
              <w:t xml:space="preserve"> justified the conclusion about </w:t>
            </w:r>
            <w:r>
              <w:rPr>
                <w:rFonts w:ascii="Times New Roman" w:eastAsia="Times-Roman" w:hAnsi="Times New Roman"/>
                <w:sz w:val="20"/>
                <w:szCs w:val="20"/>
                <w:lang w:val="en-US" w:eastAsia="ru-RU"/>
              </w:rPr>
              <w:t xml:space="preserve">the </w:t>
            </w:r>
            <w:r w:rsidRPr="008A62E6">
              <w:rPr>
                <w:rFonts w:ascii="Times New Roman" w:eastAsia="Times-Roman" w:hAnsi="Times New Roman"/>
                <w:sz w:val="20"/>
                <w:szCs w:val="20"/>
                <w:lang w:val="en-US" w:eastAsia="ru-RU"/>
              </w:rPr>
              <w:t>essence of a group technique of investigation of cri</w:t>
            </w:r>
            <w:r>
              <w:rPr>
                <w:rFonts w:ascii="Times New Roman" w:eastAsia="Times-Roman" w:hAnsi="Times New Roman"/>
                <w:sz w:val="20"/>
                <w:szCs w:val="20"/>
                <w:lang w:val="en-US" w:eastAsia="ru-RU"/>
              </w:rPr>
              <w:t>mes against a family and minors</w:t>
            </w:r>
          </w:p>
        </w:tc>
      </w:tr>
      <w:tr w:rsidR="002A163E" w:rsidRPr="003135F1" w:rsidTr="00CB24F2">
        <w:tc>
          <w:tcPr>
            <w:tcW w:w="4643" w:type="dxa"/>
          </w:tcPr>
          <w:p w:rsidR="002A163E" w:rsidRPr="00923E65" w:rsidRDefault="002A163E" w:rsidP="008A62E6">
            <w:pPr>
              <w:spacing w:after="0" w:line="240" w:lineRule="auto"/>
              <w:rPr>
                <w:rFonts w:ascii="Times New Roman" w:eastAsia="Times-Roman" w:hAnsi="Times New Roman"/>
                <w:sz w:val="20"/>
                <w:szCs w:val="20"/>
                <w:lang w:eastAsia="ru-RU"/>
              </w:rPr>
            </w:pPr>
            <w:r w:rsidRPr="003135F1">
              <w:rPr>
                <w:rFonts w:ascii="Times New Roman" w:hAnsi="Times New Roman"/>
                <w:sz w:val="20"/>
                <w:szCs w:val="20"/>
                <w:lang w:eastAsia="ru-RU"/>
              </w:rPr>
              <w:t>Ключевые слова: ПРЕСТУПЛЕНИЯ ПРОТИВ СЕМЬИ; СОСТАВ ПРЕСТУПЛЕНИЯ; УГОЛОВНО – ПРАВОВАЯ ХАРАКТЕРИСТИКА ПРЕСТУПЛЕНИЯ; ОБЪЕКТ ПРЕСТУПНОГО ПОСЯГАТЕЛЬСТВА; КРИМИНАЛИСТИЧЕСКАЯ ХАРАКТЕРИСТИКА ПРЕСТУПЛЕНИЯ; ЧАСТНАЯ МЕТОДИКА; ГРУППОВАЯ МЕТОДИКА РАССЛЕДОВАНИЯ; СТРУКТУРА МЕТОДИКИ</w:t>
            </w:r>
          </w:p>
        </w:tc>
        <w:tc>
          <w:tcPr>
            <w:tcW w:w="4643" w:type="dxa"/>
          </w:tcPr>
          <w:p w:rsidR="002A163E" w:rsidRPr="003135F1" w:rsidRDefault="002A163E" w:rsidP="008A6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Roman" w:hAnsi="Times New Roman"/>
                <w:sz w:val="20"/>
                <w:szCs w:val="20"/>
                <w:lang w:val="en-US" w:eastAsia="ru-RU"/>
              </w:rPr>
            </w:pPr>
            <w:r>
              <w:rPr>
                <w:rFonts w:ascii="Times New Roman" w:hAnsi="Times New Roman" w:cs="Courier New"/>
                <w:sz w:val="20"/>
                <w:szCs w:val="20"/>
                <w:lang w:val="en-US" w:eastAsia="ru-RU"/>
              </w:rPr>
              <w:t>Key</w:t>
            </w:r>
            <w:r w:rsidRPr="003135F1">
              <w:rPr>
                <w:rFonts w:ascii="Times New Roman" w:hAnsi="Times New Roman" w:cs="Courier New"/>
                <w:sz w:val="20"/>
                <w:szCs w:val="20"/>
                <w:lang w:val="en-US" w:eastAsia="ru-RU"/>
              </w:rPr>
              <w:t>words: CRIMES AGAINST FAMILY; CRIME; CRIMINAL – LEGAL CHARACTERISTIC OF CRIME; OBJECT OF CRIMINAL ASSAULT; FORENSIC CHARACTERISTICS OF CRIMES; PRIVATE METHODS; GROUP METHODS OF INVESTIGATION; STRUCTURE OF METHODS</w:t>
            </w:r>
          </w:p>
        </w:tc>
      </w:tr>
    </w:tbl>
    <w:p w:rsidR="002A163E" w:rsidRPr="000109DF" w:rsidRDefault="002A163E">
      <w:pPr>
        <w:rPr>
          <w:rFonts w:ascii="Times New Roman" w:hAnsi="Times New Roman"/>
          <w:sz w:val="28"/>
          <w:lang w:val="en-US"/>
        </w:rPr>
      </w:pPr>
    </w:p>
    <w:p w:rsidR="002A163E" w:rsidRDefault="002A163E" w:rsidP="00BE192B">
      <w:pPr>
        <w:spacing w:after="0" w:line="360" w:lineRule="auto"/>
        <w:ind w:firstLine="708"/>
        <w:jc w:val="both"/>
        <w:rPr>
          <w:rFonts w:ascii="Times New Roman" w:hAnsi="Times New Roman"/>
          <w:sz w:val="28"/>
        </w:rPr>
      </w:pPr>
      <w:r>
        <w:rPr>
          <w:rFonts w:ascii="Times New Roman" w:hAnsi="Times New Roman"/>
          <w:sz w:val="28"/>
        </w:rPr>
        <w:t>Групповая методика – это система теоретических положений и научно – практических рекомендаций по расследованию нескольких однородных или разнородных видов преступлений, имеющих много общих уголовно – правовых и криминалистических признаков. Общее проявляется в содержании предмета расследования и в процессе установления его обстоятельств. Этот вид методики называют по – разному. М. В. Субботина вначале называла ее групповой методикой, затем уточнила название, определив ее как базовую методику</w:t>
      </w:r>
      <w:r w:rsidRPr="00A032D2">
        <w:rPr>
          <w:rFonts w:ascii="Times New Roman" w:hAnsi="Times New Roman"/>
          <w:sz w:val="28"/>
        </w:rPr>
        <w:t xml:space="preserve"> [</w:t>
      </w:r>
      <w:r>
        <w:rPr>
          <w:rFonts w:ascii="Times New Roman" w:hAnsi="Times New Roman"/>
          <w:sz w:val="28"/>
        </w:rPr>
        <w:t>1, 12 - 13</w:t>
      </w:r>
      <w:r w:rsidRPr="00A032D2">
        <w:rPr>
          <w:rFonts w:ascii="Times New Roman" w:hAnsi="Times New Roman"/>
          <w:sz w:val="28"/>
        </w:rPr>
        <w:t>]</w:t>
      </w:r>
      <w:r>
        <w:rPr>
          <w:rFonts w:ascii="Times New Roman" w:hAnsi="Times New Roman"/>
          <w:sz w:val="28"/>
        </w:rPr>
        <w:t xml:space="preserve">. Существует методика расследования групп преступлений </w:t>
      </w:r>
      <w:r w:rsidRPr="00A032D2">
        <w:rPr>
          <w:rFonts w:ascii="Times New Roman" w:hAnsi="Times New Roman"/>
          <w:sz w:val="28"/>
        </w:rPr>
        <w:t>[</w:t>
      </w:r>
      <w:r>
        <w:rPr>
          <w:rFonts w:ascii="Times New Roman" w:hAnsi="Times New Roman"/>
          <w:sz w:val="28"/>
        </w:rPr>
        <w:t>2</w:t>
      </w:r>
      <w:r w:rsidRPr="00A032D2">
        <w:rPr>
          <w:rFonts w:ascii="Times New Roman" w:hAnsi="Times New Roman"/>
          <w:sz w:val="28"/>
        </w:rPr>
        <w:t>]</w:t>
      </w:r>
      <w:r>
        <w:rPr>
          <w:rFonts w:ascii="Times New Roman" w:hAnsi="Times New Roman"/>
          <w:sz w:val="28"/>
        </w:rPr>
        <w:t xml:space="preserve">. Н. П. Яблоков называет групповые методики комплексными </w:t>
      </w:r>
      <w:r w:rsidRPr="00A032D2">
        <w:rPr>
          <w:rFonts w:ascii="Times New Roman" w:hAnsi="Times New Roman"/>
          <w:sz w:val="28"/>
        </w:rPr>
        <w:t>[</w:t>
      </w:r>
      <w:r>
        <w:rPr>
          <w:rFonts w:ascii="Times New Roman" w:hAnsi="Times New Roman"/>
          <w:sz w:val="28"/>
        </w:rPr>
        <w:t>3, 560</w:t>
      </w:r>
      <w:r w:rsidRPr="00A032D2">
        <w:rPr>
          <w:rFonts w:ascii="Times New Roman" w:hAnsi="Times New Roman"/>
          <w:sz w:val="28"/>
        </w:rPr>
        <w:t>]</w:t>
      </w:r>
      <w:r>
        <w:rPr>
          <w:rFonts w:ascii="Times New Roman" w:hAnsi="Times New Roman"/>
          <w:sz w:val="28"/>
        </w:rPr>
        <w:t>.</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Полагаем, что для выделения групповых методик в отдельную классификационную систему существуют несколько основнаний: сходство в уголовно – правовой характеристике отдельных видов преступлений; сходство в криминалистической характеристике преступлений; сходство в процессе расследования и в научно – практических рекомендациях по методике расследования.</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 xml:space="preserve">Попытаемся сделать краткий анализ понятия групповой методики расследования против семьи и несовершеннолетних. </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Преступления против семьи и детей представляют серьезную угрозу для общества и государства. Дети становятся жертвами противоправного поведения родителей, средством обогащения преступников, вовлекаться в антиобщественную деятельность по занятию попрошайничеством, оказанию услуг сексуального характера и т. п. Высокий уровень совершения торговли несовершеннолетними, незаконного усыновления, разглашения тайны усыновления, злостного уклонения от уплаты средств на содержание. Значительное количество преступлений указанной группы остается латентным.</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 xml:space="preserve">Преступления против семьи в уголовно – правовой литературе предлагалось дифференцировать на две группы: против несовершеннолетних (ст. 150 – 152, 156 УК РФ) и против семьи (ст. 153 – 155, 157 УК РФ) </w:t>
      </w:r>
      <w:r w:rsidRPr="00A032D2">
        <w:rPr>
          <w:rFonts w:ascii="Times New Roman" w:hAnsi="Times New Roman"/>
          <w:sz w:val="28"/>
        </w:rPr>
        <w:t>[</w:t>
      </w:r>
      <w:r>
        <w:rPr>
          <w:rFonts w:ascii="Times New Roman" w:hAnsi="Times New Roman"/>
          <w:sz w:val="28"/>
        </w:rPr>
        <w:t>1,</w:t>
      </w:r>
      <w:r w:rsidRPr="00A032D2">
        <w:rPr>
          <w:rFonts w:ascii="Times New Roman" w:hAnsi="Times New Roman"/>
          <w:sz w:val="28"/>
        </w:rPr>
        <w:t xml:space="preserve"> 91]</w:t>
      </w:r>
      <w:r>
        <w:rPr>
          <w:rFonts w:ascii="Times New Roman" w:hAnsi="Times New Roman"/>
          <w:sz w:val="28"/>
        </w:rPr>
        <w:t>. Можно отметить определенную условность такого деления. Прежде всего, преступления, объединенные в главу 20 УК РФ, в той или иной степени направлены на нарушение общности интересов как несовершеннолетнего, так и его семьи. Разграничить преступления против семьи и против несовершеннолетних сложно, но возможно. Анализ норм уголовного права и практики их применения показывает, что в подавляющем большинстве случаев преступления, объединенные в главе 20 УК РФ, непосредственно и опосредовано наносят ущерб законным интересам несовершеннолетнего; однако не все из этих преступлений прямо оказывают разрушающее воздействие на семью. С учетом особенностей доминантной направленности таких преступлений, по принципу дезорганизующе – разрушительного воздействия их можно выделить в группу преступлений против семьи. К ним относятся подмена ребенка (ст. 153 УК РФ); действия по незаконному усыновлению (ст. 154 УК РФ); разглашение тайны усыновления (ст. 155 УК РФ); неисполнение обязанностей по воспитанию несовершеннолетнего (ст. 156 УК РФ); злостное уклонение от уплаты средств на содержание детей (ст. 157 УК РФ).</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Основное направление преступных посягательств в перечисленных преступлениях является нарушение общественных отношений по нормальному функционированию семьи. Анализ элементов состава указанных преступлений и торговли несовершеннолетними (ст. 127</w:t>
      </w:r>
      <w:r>
        <w:rPr>
          <w:rFonts w:ascii="Times New Roman" w:hAnsi="Times New Roman"/>
          <w:sz w:val="28"/>
          <w:vertAlign w:val="superscript"/>
        </w:rPr>
        <w:t>1</w:t>
      </w:r>
      <w:r>
        <w:rPr>
          <w:rFonts w:ascii="Times New Roman" w:hAnsi="Times New Roman"/>
          <w:sz w:val="28"/>
        </w:rPr>
        <w:t xml:space="preserve"> п. «б» ч. 2 УК РФ) показывают их определенное сходство.</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Объект преступления – интересы родителей по воспитанию ребенка; интересы родителей, связанные с воспитанием и отношениям с ребенком; нормальное функционирование семьи; условия существования детей. Общим в объекте этих преступлений является нормальное функционирование семьи.</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Объективная сторона указанных преступлений выражается в действиях, характер которых определяется целью преступления: подмена ребенка, разглашение тайны, купля – продажа, отказ от выполнения обязанностей и др. При различии этих действий существует определенная общность их, выражающаяся в направленности на нормальное функционировании семьи.</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Субъект преступления имеет определенные отношения с семьей и несовершеннолетним: либо член семьи, либо у него  служебные отношения с членами семьи, либо выполняет какие – либо служебные действия в отношении несовершеннолетних и семьи.</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Субъективная сторона – умысел на совершение действий по нарушению нормального функционирования семьи. Мотив преступления: корыстные или иные низменные побуждения.</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Отметим вместе с тем, что та изначальная градация между рассмотренными составами и иными преступлениями, включенными в гл. 20 УК РФ, даже в уголовно – правовом плане дает зыбкое основание для деления всех преступлений этой главы. В таких составах как «Неисполнение обязанностей по воспитанию несовершеннолетних» (ст. 156 УК РФ), «Вовлечение несовершеннолетних в совершение преступлений» (ст. 150 УК РФ), в совершение антиобщественных действий (ст. 151 УК РФ) доминантная направленность оказывает дезорганизующее воздействие и на семью и на совершеннолетнего. Поэтому полагаем, что уголовно – правовая характеристика всех рассмотренных составов преступлений, включен в гл. 20 УК РФ, сходна, и они совершенно верно включаются в группу преступлений против семьи и несовершеннолетних. Это подтверждает и краткий анализ элементов состава преступлений.</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Итак, по элементам состава преступлений, уголовно – правовой характеристике есть определенное сходство следующих преступлений: вовлечение несовершеннолетнего в совершение преступления (ст. 150 УК РФ), вовлечение несовершеннолетнего в совершение антиобщественных действий (ст. 151 УК РФ), подмена ребенка (ст. 153 УК РФ), незаконное усыновление (удочерение) (ст. 154 УК РФ), разглашение тайны усыновления (ст. 155 УК РФ), неисполнение обязанностей по воспитанию несовершеннолетних (ст. 156 УК РФ), злостное уклонение от уплаты средств на содержание детей или нетрудоспособных родителей (ст. 157 УК РФ). Это группа преступлений против семьи и несовершеннолетних.</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Возникает вопрос – вся ли эта группа? Очевидно, что существуют преступления, посягающие на права и законные интересы несовершеннолетних, по своей уголовно – правовой характеристике отличных от рассмотренных выше составов, но все – таки сходных с ними. Попытаемся рассмотреть их.</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Торговля несовершеннолетними (ст. 127</w:t>
      </w:r>
      <w:r>
        <w:rPr>
          <w:rFonts w:ascii="Times New Roman" w:hAnsi="Times New Roman"/>
          <w:sz w:val="28"/>
          <w:vertAlign w:val="superscript"/>
        </w:rPr>
        <w:t>1</w:t>
      </w:r>
      <w:r>
        <w:rPr>
          <w:rFonts w:ascii="Times New Roman" w:hAnsi="Times New Roman"/>
          <w:sz w:val="28"/>
        </w:rPr>
        <w:t xml:space="preserve"> п. «б» ч.2). Объектом данного преступления является личная свобода несовершеннолетнего, его интересы в получении нормального воспитания, образования, общения с родителями и интересы родителей с положительным развитием семьи, с воспитанием и общением со своим ребенком.</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Под торговлей в данном случае понимается не только купля – продажа как сделка, но расширенные деяния по передаче, перевозке, укрывательство несовершеннолетнего с целью отчуждения его от семьи за плату (вознаграждение). Можно выделить такие факторы эксплуатации детей после отчуждения: использование для попрошайничества; предоставление несовершеннолетнего в пользовании с целью изготовления порнографических материалов; оказание услуг сексуального характера; с последующим использованием для получения донорских органов.</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Субъективная сторона рассматриваемого преступления заключается в умышленной форме вины в форме прямого умысла. Виновные: лицо, передавшее ребенка и лицо, принявшее и завладевшее им. Мотив – чаще корыстный. Мотив устанавливается раздельно для продавца и покупателя.</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Субъект преступления – общий.</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Анализ практики показывает, что преступная деятельность, направленная на возмездную передачу ребенка, сопряжена с другими преступлениями против семьи, чаще с незаконным усыновлением. Нередко незаконное усыновление прикрывает более тяжкое преступление – торговлю несовершеннолетними. Другая форма прикрытия торговли несовершеннолетними – это использование «коммерческого» суррогатного материнства. Передача ребенка в таких случаях начинается еще до момента появления его на свет. Действующий закон не защищает прав и не учитывает интересов еще не родившегося ребенка. Существующее положение способствует распространению данного преступления и создает условия для его безнаказанного совершения. Полагаем, что необходим федеральный закон о суррогатном материнстве, который регламентировал условия и правовые последствия передачи человеческого эмбриона.</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Изложенное показывает, что торговля несовершеннолетними безусловно относится к преступлениям против семьи.</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Определенное сходство по роду уголовно – правовых признаков к рассмотренному составу имеет похищение несовершеннолетнего и незаконное лишение свободы несовершеннолетнего (п. «д» ч. 2 ст. 126 УК РФ и др, ч. 2 ст. 127 УК РФ). Эти преступления направлены против законных прав и интересов не только несовершеннолетнего, но и семьи, в которой он воспитывается. Они нередко сопряжены с торговлей несовершеннолетними. Поэтому их также можно отнести к группе преступлений против семьи и несовершеннолетних.</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Преступления против несовершеннолетних «Вовлечение несовершеннолетнего в совершение преступления» (ст. 150 УК РФ) и «Вовлечение несовершеннолетнего в совершение антиобщественных действий» (ст. 151 УК РФ) направлены фактически и против семьи. К такому выводу приходим, потому, что в ч. 2 ст. 156 и ч. 2 ст. 151 указывают на родителя или лицо, на которое возлагает обязанности по воспитанию несовершеннолетнего – как на субъект этих преступлений.</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Таким образом, перечисленные составы преступлений сходны по объекту преступного посягательства, а также в определенной мере по объективной стороне. Это первый и основной фактор объединения их в одну группу.</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Вторым фактором является определенное сходство криминалистической характеристики указанных преступлений. Не рассматривая в данный момент этот вопрос подробно, отметим, что отдельные элементы криминалистической характеристики – способ совершения преступления, типичные следы и фактические данные, а также личность преступника сходны у любых перечисленных видов преступлений.</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Известно, что способ совершения преступления является важнейшим, подчас единственным связующим звеном между преступным замыслом и объективными последствиями преступления. Поэтому, в силу закона всеобщей связи и взаимозависимости явлений, способ совершения преступлений является основой механизма следообразования. В способе заключается основной объем ценной криминалистической информации о механизме совершения преступления, личности преступника и др. Знание типичных способов совершения преступлений против семьи и несовершеннолетних, выявление способа конкретного преступления является основой для построения следственных версий, формирования предмета расследования, установления подлинных обстоятельств совершения преступления.</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Способ совершения торговли детьми, незаконного усыновления, похищения несовершеннолетнего включают действия по подготовке этих преступлений, связи между лицами по отчуждению несовершеннолетнего и действиями по маскировке (сокрытию) преступления.</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Сходными являются элементы обстановки преступлений против семьи, включающей место, время совершения преступлений.</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В преступлениях против семьи особо выделяется еще два элемента их криминалистической характеристики: личность преступника и обстановка совершения преступления. Личность преступника во многом определяет мотивы преступления и цели его совершения. Как известно, мотивы побуждают человека действовать определенным образом. Руководствуясь своими познаниями и опытом, он исходит из предполагаемой обстановки и избирает способ совершения преступления. Как известно, обстановка совершения преступления – это характеристика места, времени совершения преступления, события, происходящие в этом месте до, в момент и после совершения преступления, участвующих в этих событиях лиц и их действий. Реальная обстановка чаще существенно отличается от предполагаемой. Реальная обстановка корректирует действия преступника, влияет на способ совершения преступления. Анализируя изложенные элементы криминалистической характеристики, можно сделать вывод о том, что в их реальном проявлении в конкретном преступлении личность имеет определяющую роль.</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Анализ производимого нами изучения и обобщения судебно – следственной практики показывает, что торговлю несовершеннолетними, незаконное усыновление, подмену ребенка, разглашение тайны усыновления в большинстве случаев совершают женщины, как правило, в возрасте 20 – 40 лет. Женщины более старшей возрастной группы, как правило, выступают в качестве должностных лиц, так или иначе способствующих совершению преступлений. Можно считать, что по указанным половым и возрастным признакам субъекты большинства преступлений против семьи сходны.</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Для преступлений против семьи характерна целенаправленная деятельность виновных по сокрытию следов или всего преступления в целом. Нередки случаи по обеспечению личной непричастности к содеянному. Сокрытие следов преступления можно определить как умышленную деятельность заинтересованных лиц по воспрепятствованию производства расследования посредством уничтожения, утаиванию, маскировке, фальсификации следов преступления. При совершении преступлений против семьи нередки попытки сокрытия преступления в целом как события. Необходимо учитывать, что большинство преступлений против семьи совершаются в условиях неочевидности, т. е. тайно, в отсутствии сведений. Если последние и есть, то они, как правило, скрывают факт преступления или дают ложные показания. По делам рассматриваемой категории нередка маскировка содеянного менее тяжким преступлением или административным правонарушением. Часто это прослеживается при расследовании торговли несовершеннолетними. Наиболее распространенный способ такого сокрытия – маскировка торговли мнимым или притворным усыновлением.</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 xml:space="preserve">Действия по обеспечению личной непричастности к совершаемому преступлению, выражается, как правило, в формулировании ложного алиби либо в инсценировке. </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Существует группа преступлений сексуального характера (гл. 18 УК РФ), которые также могут быть направлены против несовершеннолетних. Возникает вопрос, входят ли они в рассматриваемую группу преступлений. Попытаемся рассмотреть отдельные элементы уголовно – правового и криминалистического характера, содержание которых позволит сделать вывод об этом.</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Объектом указанных преступлений является половая неприкосновенность и половая свобода личности. Если любое из преступлений, входящих в в ч. 18 УК РФ, совершается в отношении несовершеннолетнего, то посягательство распространяется не только на несовершеннолетнего, но и на интересы семьи в которой этот несовершеннолетний воспитывается. По этому уголовно – правовому признаку сексуальные посягательства на несовершеннолетних можно отнести к группе преступлений против семьи и несовершеннолетних. Определенная часть сексуальных посягательств совершается в семье, либо учреждениях, где обучаются или воспитываются несовершеннолетний. Обстановка совершения таких преступлений имеет определенное сходство с обстановкой преступлений против семьи. Насильственные действия сексуального характера (ст. 132 УК РФ), понуждение к действиям сексуального характера (ст. 133 УК РФ), развратные действия (ст. 135 УК РФ), половое сношение и иные действия сексуального характера с лицом, не достигшим шестнадцатилетнего возраста (ст. 134 УК РФ), изнасилование несовершеннолетней (ст. 131 УК РФ) – все это преступления, помимо основного объекта, направлены против интересов семьи несовершеннолетнего.</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Таким образом, можно констатировать сходство в уголовно – правовой характеристике преступлений против семьи и посягательств на половую неприкосновенность и половую свободу несовершеннолетних. Уже одно это дает основание для объединения перечисленных преступлений в одну группу. Как отмечалось, криминалистическая характеристика указанных преступлений, такие ее элементы, как обстановка совершения, лица, осведомленные о совершенном, либо входящих в семью или ее окружение,  субъекты преступлений и другие также имеют определенное сходство. Что касается процесса расследования сексуальных посягательств, то он имеет не только различия с большинством преступлений против семьи, но и определенные сходства с ними, о чем скажем далее.</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Криминалистическая характеристика всех рассмотренных видов преступлений связана с особенностями процесса расследования. Расследование этих преступлений во многом детерминировано их уголовно – правовой и криминалистической характеристиками. Особенности расследования проявляются в возбуждении уголовного дела, видах следственных и иных действий и тактике их производства.</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 xml:space="preserve">Объект преступления предопределяет содержание предмета расследования. Предмет расследования – это сочетание обстоятельств, входящих в предмет доказывания (субъект преступления, виновность лица и др.), и промежуточных фактов – обстоятельств, прямо или косвенно обосновывающих обстоятельства предмета доказывания </w:t>
      </w:r>
      <w:r w:rsidRPr="00A032D2">
        <w:rPr>
          <w:rFonts w:ascii="Times New Roman" w:hAnsi="Times New Roman"/>
          <w:sz w:val="28"/>
        </w:rPr>
        <w:t>[</w:t>
      </w:r>
      <w:r>
        <w:rPr>
          <w:rFonts w:ascii="Times New Roman" w:hAnsi="Times New Roman"/>
          <w:sz w:val="28"/>
        </w:rPr>
        <w:t>3, 43 - 47</w:t>
      </w:r>
      <w:r w:rsidRPr="00A032D2">
        <w:rPr>
          <w:rFonts w:ascii="Times New Roman" w:hAnsi="Times New Roman"/>
          <w:sz w:val="28"/>
        </w:rPr>
        <w:t>]</w:t>
      </w:r>
      <w:r>
        <w:rPr>
          <w:rFonts w:ascii="Times New Roman" w:hAnsi="Times New Roman"/>
          <w:sz w:val="28"/>
        </w:rPr>
        <w:t>. Другими словами, предмет расследования – это совокупность обстоятельств, которые надо установить по уголовному делу.</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Преступления против семьи оставляют мало материально фиксированных следов. Объясняется это своеобразием механизма преступления, где большинство действий носит вербальный, идеальный характер. Место происшествия здесь не играет значительной роли в доказывании обстоятельств совершения преступления.</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 xml:space="preserve">Иной характер носит следообразование в событии преступлений против несовершеннолетних, особенно в социальных посягательствах. Известно, что в расследовании таких преступлений, как изнасилование, половые сношения с лицом, не достигшим шестнадцатилетнего возраста и других материально – фиксированные следы являются важнейшим доказательством. </w:t>
      </w:r>
    </w:p>
    <w:p w:rsidR="002A163E" w:rsidRDefault="002A163E" w:rsidP="00BE5042">
      <w:pPr>
        <w:spacing w:after="0" w:line="360" w:lineRule="auto"/>
        <w:jc w:val="both"/>
        <w:rPr>
          <w:rFonts w:ascii="Times New Roman" w:hAnsi="Times New Roman"/>
          <w:sz w:val="28"/>
        </w:rPr>
      </w:pPr>
      <w:r>
        <w:rPr>
          <w:rFonts w:ascii="Times New Roman" w:hAnsi="Times New Roman"/>
          <w:sz w:val="28"/>
        </w:rPr>
        <w:tab/>
        <w:t>В интересах повышения качества расследования целесообразно разрабатывать не только частные (видовые) методики, но и криминалистические методики, в определенной мере объединяющие различные виды преступлений по выделяемым общим признакам уголовно – правового и криминалистического характера. Такие методики – а это групповые методики – не простое объединение частных методик. Здесь речь идет об интеграции содержания частных методик и разработке научно – практических рекомендаций, применяемых в расследовании большинства, а чаще всех преступлений данной группы. Групповая методика расследования преступлений против семьи и несовершеннолетних включает именно такие научно – практические рекомендации по выявлению таких преступлений, возбуждению уголовных дел, формированию предмета расследования, особенностям доказывания отдельных обстоятельств преступлений и тактики производства различных следственный действий. Групповая методика исследует общие закономерности, присущие как механизму совершения преступлений данной группы, так и закономерностей расследования. Групповая методика, помимо общих, вырабатывает также связанные с этими рекомендациями, так и положения, которые можно использовать для расследования преступлений внутри группы, т. е. отдельного вида преступлений. Здесь трудно сделать четкое разграничение во всех сторонах, да оно и не нужно для практики расследования. Таким образом, групповая методика по своей структуре и по содержанию имеет сходство как с отдельными положениями криминалистической методики, так и соответствует требованиям, предъявляемым к частным методикам расследования.</w:t>
      </w:r>
    </w:p>
    <w:p w:rsidR="002A163E" w:rsidRDefault="002A163E" w:rsidP="00CB24F2">
      <w:pPr>
        <w:spacing w:after="0" w:line="240" w:lineRule="auto"/>
        <w:jc w:val="both"/>
        <w:rPr>
          <w:rFonts w:ascii="Times New Roman" w:hAnsi="Times New Roman"/>
          <w:sz w:val="28"/>
        </w:rPr>
      </w:pPr>
    </w:p>
    <w:p w:rsidR="002A163E" w:rsidRDefault="002A163E" w:rsidP="00CB24F2">
      <w:pPr>
        <w:spacing w:after="0" w:line="240" w:lineRule="auto"/>
        <w:jc w:val="center"/>
        <w:rPr>
          <w:rFonts w:ascii="Times New Roman" w:hAnsi="Times New Roman"/>
          <w:b/>
          <w:sz w:val="24"/>
          <w:szCs w:val="24"/>
          <w:lang w:val="en-US"/>
        </w:rPr>
      </w:pPr>
      <w:r>
        <w:rPr>
          <w:rFonts w:ascii="Times New Roman" w:hAnsi="Times New Roman"/>
          <w:b/>
          <w:sz w:val="24"/>
          <w:szCs w:val="24"/>
        </w:rPr>
        <w:t>Список литературы</w:t>
      </w:r>
    </w:p>
    <w:p w:rsidR="002A163E" w:rsidRPr="00923E65" w:rsidRDefault="002A163E" w:rsidP="00CB24F2">
      <w:pPr>
        <w:spacing w:after="0" w:line="240" w:lineRule="auto"/>
        <w:jc w:val="center"/>
        <w:rPr>
          <w:rFonts w:ascii="Times New Roman" w:hAnsi="Times New Roman"/>
          <w:b/>
          <w:sz w:val="24"/>
          <w:szCs w:val="24"/>
          <w:lang w:val="en-US"/>
        </w:rPr>
      </w:pPr>
    </w:p>
    <w:p w:rsidR="002A163E" w:rsidRPr="00A032D2" w:rsidRDefault="002A163E" w:rsidP="00CB24F2">
      <w:pPr>
        <w:pStyle w:val="ListParagraph"/>
        <w:numPr>
          <w:ilvl w:val="0"/>
          <w:numId w:val="1"/>
        </w:numPr>
        <w:tabs>
          <w:tab w:val="left" w:pos="851"/>
          <w:tab w:val="left" w:pos="993"/>
        </w:tabs>
        <w:spacing w:after="0" w:line="240" w:lineRule="auto"/>
        <w:ind w:left="0" w:firstLine="709"/>
        <w:jc w:val="both"/>
        <w:rPr>
          <w:rFonts w:ascii="Times New Roman" w:hAnsi="Times New Roman"/>
          <w:sz w:val="24"/>
          <w:szCs w:val="24"/>
        </w:rPr>
      </w:pPr>
      <w:r w:rsidRPr="00A032D2">
        <w:rPr>
          <w:rFonts w:ascii="Times New Roman" w:hAnsi="Times New Roman"/>
          <w:sz w:val="24"/>
          <w:szCs w:val="24"/>
        </w:rPr>
        <w:t>Бородин С. В. Преступления против семьи и несовершеннолетних. // Новое уголовное право Рос</w:t>
      </w:r>
      <w:r>
        <w:rPr>
          <w:rFonts w:ascii="Times New Roman" w:hAnsi="Times New Roman"/>
          <w:sz w:val="24"/>
          <w:szCs w:val="24"/>
        </w:rPr>
        <w:t>сии. Особенная часть. Под ред. Н</w:t>
      </w:r>
      <w:r w:rsidRPr="00A032D2">
        <w:rPr>
          <w:rFonts w:ascii="Times New Roman" w:hAnsi="Times New Roman"/>
          <w:sz w:val="24"/>
          <w:szCs w:val="24"/>
        </w:rPr>
        <w:t>. Ф. Кузнецовой. М. 1966. С. 91.</w:t>
      </w:r>
    </w:p>
    <w:p w:rsidR="002A163E" w:rsidRPr="00A032D2" w:rsidRDefault="002A163E" w:rsidP="00CB24F2">
      <w:pPr>
        <w:pStyle w:val="ListParagraph"/>
        <w:numPr>
          <w:ilvl w:val="0"/>
          <w:numId w:val="1"/>
        </w:numPr>
        <w:tabs>
          <w:tab w:val="left" w:pos="851"/>
          <w:tab w:val="left" w:pos="993"/>
        </w:tabs>
        <w:spacing w:after="0" w:line="240" w:lineRule="auto"/>
        <w:ind w:left="0" w:firstLine="709"/>
        <w:jc w:val="both"/>
        <w:rPr>
          <w:rFonts w:ascii="Times New Roman" w:hAnsi="Times New Roman"/>
          <w:sz w:val="24"/>
          <w:szCs w:val="24"/>
        </w:rPr>
      </w:pPr>
      <w:r w:rsidRPr="00A032D2">
        <w:rPr>
          <w:rFonts w:ascii="Times New Roman" w:hAnsi="Times New Roman"/>
          <w:sz w:val="24"/>
          <w:szCs w:val="24"/>
        </w:rPr>
        <w:t>Головин А. Ю., Поляков В. Д. Расследование вооруженных разбоев и бандитизма. С. 2004.</w:t>
      </w:r>
    </w:p>
    <w:p w:rsidR="002A163E" w:rsidRPr="00A032D2" w:rsidRDefault="002A163E" w:rsidP="00CB24F2">
      <w:pPr>
        <w:pStyle w:val="ListParagraph"/>
        <w:numPr>
          <w:ilvl w:val="0"/>
          <w:numId w:val="1"/>
        </w:numPr>
        <w:tabs>
          <w:tab w:val="left" w:pos="851"/>
          <w:tab w:val="left" w:pos="993"/>
        </w:tabs>
        <w:spacing w:after="0" w:line="240" w:lineRule="auto"/>
        <w:ind w:left="0" w:firstLine="709"/>
        <w:jc w:val="both"/>
        <w:rPr>
          <w:rFonts w:ascii="Times New Roman" w:hAnsi="Times New Roman"/>
          <w:sz w:val="24"/>
          <w:szCs w:val="24"/>
        </w:rPr>
      </w:pPr>
      <w:r w:rsidRPr="00A032D2">
        <w:rPr>
          <w:rFonts w:ascii="Times New Roman" w:hAnsi="Times New Roman"/>
          <w:sz w:val="24"/>
          <w:szCs w:val="24"/>
        </w:rPr>
        <w:t>О</w:t>
      </w:r>
      <w:r>
        <w:rPr>
          <w:rFonts w:ascii="Times New Roman" w:hAnsi="Times New Roman"/>
          <w:sz w:val="24"/>
          <w:szCs w:val="24"/>
        </w:rPr>
        <w:t xml:space="preserve"> понятии предмета расследования см.</w:t>
      </w:r>
      <w:r w:rsidRPr="00A032D2">
        <w:rPr>
          <w:rFonts w:ascii="Times New Roman" w:hAnsi="Times New Roman"/>
          <w:sz w:val="24"/>
          <w:szCs w:val="24"/>
        </w:rPr>
        <w:t xml:space="preserve"> С. А. Куемжиева, Зеленский В. Д. Общие положения криминалистической методики. Краснодар. 2015. С. 43 – 47.</w:t>
      </w:r>
    </w:p>
    <w:p w:rsidR="002A163E" w:rsidRPr="00A032D2" w:rsidRDefault="002A163E" w:rsidP="00CB24F2">
      <w:pPr>
        <w:pStyle w:val="ListParagraph"/>
        <w:numPr>
          <w:ilvl w:val="0"/>
          <w:numId w:val="1"/>
        </w:numPr>
        <w:tabs>
          <w:tab w:val="left" w:pos="851"/>
          <w:tab w:val="left" w:pos="993"/>
        </w:tabs>
        <w:spacing w:after="0" w:line="240" w:lineRule="auto"/>
        <w:ind w:left="0" w:firstLine="709"/>
        <w:jc w:val="both"/>
        <w:rPr>
          <w:rFonts w:ascii="Times New Roman" w:hAnsi="Times New Roman"/>
          <w:sz w:val="24"/>
          <w:szCs w:val="24"/>
        </w:rPr>
      </w:pPr>
      <w:r w:rsidRPr="00A032D2">
        <w:rPr>
          <w:rFonts w:ascii="Times New Roman" w:hAnsi="Times New Roman"/>
          <w:sz w:val="24"/>
          <w:szCs w:val="24"/>
        </w:rPr>
        <w:t>Субботина М. В. Теория и практика расследования хищений чужого имущества. Волгоград. 2002. С. 12 – 13.</w:t>
      </w:r>
    </w:p>
    <w:p w:rsidR="002A163E" w:rsidRPr="00A032D2" w:rsidRDefault="002A163E" w:rsidP="00CB24F2">
      <w:pPr>
        <w:pStyle w:val="ListParagraph"/>
        <w:numPr>
          <w:ilvl w:val="0"/>
          <w:numId w:val="1"/>
        </w:numPr>
        <w:tabs>
          <w:tab w:val="left" w:pos="851"/>
          <w:tab w:val="left" w:pos="993"/>
        </w:tabs>
        <w:spacing w:after="0" w:line="240" w:lineRule="auto"/>
        <w:ind w:left="0" w:firstLine="709"/>
        <w:jc w:val="both"/>
        <w:rPr>
          <w:rFonts w:ascii="Times New Roman" w:hAnsi="Times New Roman"/>
          <w:sz w:val="24"/>
          <w:szCs w:val="24"/>
        </w:rPr>
      </w:pPr>
      <w:r w:rsidRPr="00A032D2">
        <w:rPr>
          <w:rFonts w:ascii="Times New Roman" w:hAnsi="Times New Roman"/>
          <w:sz w:val="24"/>
          <w:szCs w:val="24"/>
        </w:rPr>
        <w:t>Яблоков Н. П. Общие положения методики расследования отдельных видов преступлений. // Криминалистика. Учебник под ред. А. Ф. Вольского, В. П. Лаврова. М. 2008. С. 560.</w:t>
      </w:r>
    </w:p>
    <w:p w:rsidR="002A163E" w:rsidRPr="00A032D2" w:rsidRDefault="002A163E" w:rsidP="00CB24F2">
      <w:pPr>
        <w:spacing w:after="0" w:line="240" w:lineRule="auto"/>
        <w:ind w:firstLine="708"/>
        <w:jc w:val="both"/>
        <w:rPr>
          <w:rFonts w:ascii="Times New Roman" w:hAnsi="Times New Roman"/>
          <w:sz w:val="24"/>
          <w:szCs w:val="24"/>
        </w:rPr>
      </w:pPr>
    </w:p>
    <w:p w:rsidR="002A163E" w:rsidRDefault="002A163E" w:rsidP="00CB24F2">
      <w:pPr>
        <w:spacing w:after="0" w:line="240" w:lineRule="auto"/>
        <w:ind w:firstLine="708"/>
        <w:jc w:val="center"/>
        <w:rPr>
          <w:rFonts w:ascii="Times New Roman" w:hAnsi="Times New Roman"/>
          <w:b/>
          <w:sz w:val="24"/>
          <w:szCs w:val="24"/>
          <w:lang w:val="en-US"/>
        </w:rPr>
      </w:pPr>
      <w:r>
        <w:rPr>
          <w:rFonts w:ascii="Times New Roman" w:hAnsi="Times New Roman"/>
          <w:b/>
          <w:sz w:val="24"/>
          <w:szCs w:val="24"/>
          <w:lang w:val="en-US"/>
        </w:rPr>
        <w:t>References</w:t>
      </w:r>
    </w:p>
    <w:p w:rsidR="002A163E" w:rsidRPr="00A032D2" w:rsidRDefault="002A163E" w:rsidP="00CB24F2">
      <w:pPr>
        <w:spacing w:after="0" w:line="240" w:lineRule="auto"/>
        <w:ind w:firstLine="708"/>
        <w:jc w:val="center"/>
        <w:rPr>
          <w:rFonts w:ascii="Times New Roman" w:hAnsi="Times New Roman"/>
          <w:b/>
          <w:sz w:val="24"/>
          <w:szCs w:val="24"/>
          <w:lang w:val="en-US"/>
        </w:rPr>
      </w:pPr>
    </w:p>
    <w:p w:rsidR="002A163E" w:rsidRPr="00BC7D8B" w:rsidRDefault="002A163E" w:rsidP="00BC7D8B">
      <w:pPr>
        <w:spacing w:after="0" w:line="240" w:lineRule="auto"/>
        <w:ind w:firstLine="708"/>
        <w:jc w:val="both"/>
        <w:rPr>
          <w:rFonts w:ascii="Times New Roman" w:hAnsi="Times New Roman"/>
          <w:sz w:val="24"/>
          <w:szCs w:val="24"/>
          <w:lang w:val="en-US"/>
        </w:rPr>
      </w:pPr>
      <w:r w:rsidRPr="00BC7D8B">
        <w:rPr>
          <w:rFonts w:ascii="Times New Roman" w:hAnsi="Times New Roman"/>
          <w:sz w:val="24"/>
          <w:szCs w:val="24"/>
          <w:lang w:val="en-US"/>
        </w:rPr>
        <w:t>1.</w:t>
      </w:r>
      <w:r w:rsidRPr="00BC7D8B">
        <w:rPr>
          <w:rFonts w:ascii="Times New Roman" w:hAnsi="Times New Roman"/>
          <w:sz w:val="24"/>
          <w:szCs w:val="24"/>
          <w:lang w:val="en-US"/>
        </w:rPr>
        <w:tab/>
        <w:t>Borodin S. V. Prestuplenija protiv sem'i i nesovershennoletnih. // Novoe ugolovnoe pravo Rossii. Osobennaja chast'. Pod red. N. F. Kuznecovoj. M. 1966. S. 91.</w:t>
      </w:r>
    </w:p>
    <w:p w:rsidR="002A163E" w:rsidRPr="00BC7D8B" w:rsidRDefault="002A163E" w:rsidP="00BC7D8B">
      <w:pPr>
        <w:spacing w:after="0" w:line="240" w:lineRule="auto"/>
        <w:ind w:firstLine="708"/>
        <w:jc w:val="both"/>
        <w:rPr>
          <w:rFonts w:ascii="Times New Roman" w:hAnsi="Times New Roman"/>
          <w:sz w:val="24"/>
          <w:szCs w:val="24"/>
          <w:lang w:val="en-US"/>
        </w:rPr>
      </w:pPr>
      <w:r w:rsidRPr="00BC7D8B">
        <w:rPr>
          <w:rFonts w:ascii="Times New Roman" w:hAnsi="Times New Roman"/>
          <w:sz w:val="24"/>
          <w:szCs w:val="24"/>
          <w:lang w:val="en-US"/>
        </w:rPr>
        <w:t>2.</w:t>
      </w:r>
      <w:r w:rsidRPr="00BC7D8B">
        <w:rPr>
          <w:rFonts w:ascii="Times New Roman" w:hAnsi="Times New Roman"/>
          <w:sz w:val="24"/>
          <w:szCs w:val="24"/>
          <w:lang w:val="en-US"/>
        </w:rPr>
        <w:tab/>
        <w:t>Golovin A. Ju., Poljakov V. D. Rassledovanie vooruzhennyh razboev i banditizma. S. 2004.</w:t>
      </w:r>
    </w:p>
    <w:p w:rsidR="002A163E" w:rsidRPr="00BC7D8B" w:rsidRDefault="002A163E" w:rsidP="00BC7D8B">
      <w:pPr>
        <w:spacing w:after="0" w:line="240" w:lineRule="auto"/>
        <w:ind w:firstLine="708"/>
        <w:jc w:val="both"/>
        <w:rPr>
          <w:rFonts w:ascii="Times New Roman" w:hAnsi="Times New Roman"/>
          <w:sz w:val="24"/>
          <w:szCs w:val="24"/>
          <w:lang w:val="en-US"/>
        </w:rPr>
      </w:pPr>
      <w:r w:rsidRPr="00BC7D8B">
        <w:rPr>
          <w:rFonts w:ascii="Times New Roman" w:hAnsi="Times New Roman"/>
          <w:sz w:val="24"/>
          <w:szCs w:val="24"/>
          <w:lang w:val="en-US"/>
        </w:rPr>
        <w:t>3.</w:t>
      </w:r>
      <w:r w:rsidRPr="00BC7D8B">
        <w:rPr>
          <w:rFonts w:ascii="Times New Roman" w:hAnsi="Times New Roman"/>
          <w:sz w:val="24"/>
          <w:szCs w:val="24"/>
          <w:lang w:val="en-US"/>
        </w:rPr>
        <w:tab/>
        <w:t>O ponjatii predmeta rassledovanija sm. S. A. Kuemzhieva, Zelenskij V. D. Obshhie polozhenija kriminalisticheskoj metodiki. Krasnodar. 2015. S. 43 – 47.</w:t>
      </w:r>
    </w:p>
    <w:p w:rsidR="002A163E" w:rsidRPr="00BC7D8B" w:rsidRDefault="002A163E" w:rsidP="00BC7D8B">
      <w:pPr>
        <w:spacing w:after="0" w:line="240" w:lineRule="auto"/>
        <w:ind w:firstLine="708"/>
        <w:jc w:val="both"/>
        <w:rPr>
          <w:rFonts w:ascii="Times New Roman" w:hAnsi="Times New Roman"/>
          <w:sz w:val="24"/>
          <w:szCs w:val="24"/>
          <w:lang w:val="en-US"/>
        </w:rPr>
      </w:pPr>
      <w:r w:rsidRPr="00BC7D8B">
        <w:rPr>
          <w:rFonts w:ascii="Times New Roman" w:hAnsi="Times New Roman"/>
          <w:sz w:val="24"/>
          <w:szCs w:val="24"/>
          <w:lang w:val="en-US"/>
        </w:rPr>
        <w:t>4.</w:t>
      </w:r>
      <w:r w:rsidRPr="00BC7D8B">
        <w:rPr>
          <w:rFonts w:ascii="Times New Roman" w:hAnsi="Times New Roman"/>
          <w:sz w:val="24"/>
          <w:szCs w:val="24"/>
          <w:lang w:val="en-US"/>
        </w:rPr>
        <w:tab/>
        <w:t>Subbotina M. V. Teorija i praktika rassledovanija hishhenij chuzhogo imushhestva. Volgograd. 2002. S. 12 – 13.</w:t>
      </w:r>
    </w:p>
    <w:p w:rsidR="002A163E" w:rsidRPr="00BC7D8B" w:rsidRDefault="002A163E" w:rsidP="00BC7D8B">
      <w:pPr>
        <w:spacing w:after="0" w:line="240" w:lineRule="auto"/>
        <w:ind w:firstLine="708"/>
        <w:jc w:val="both"/>
        <w:rPr>
          <w:rFonts w:ascii="Times New Roman" w:hAnsi="Times New Roman"/>
          <w:sz w:val="24"/>
          <w:szCs w:val="24"/>
          <w:lang w:val="en-US"/>
        </w:rPr>
      </w:pPr>
      <w:r w:rsidRPr="00BC7D8B">
        <w:rPr>
          <w:rFonts w:ascii="Times New Roman" w:hAnsi="Times New Roman"/>
          <w:sz w:val="24"/>
          <w:szCs w:val="24"/>
          <w:lang w:val="en-US"/>
        </w:rPr>
        <w:t>5.</w:t>
      </w:r>
      <w:r w:rsidRPr="00BC7D8B">
        <w:rPr>
          <w:rFonts w:ascii="Times New Roman" w:hAnsi="Times New Roman"/>
          <w:sz w:val="24"/>
          <w:szCs w:val="24"/>
          <w:lang w:val="en-US"/>
        </w:rPr>
        <w:tab/>
        <w:t>Jablokov N. P. Obshhie polozhenija metodiki rassledovanija otdel'nyh vidov prestuplenij. // Kriminalistika. Uchebnik pod red. A. F. Vol'skogo, V. P. Lavrova. M. 2008. S. 560.</w:t>
      </w:r>
    </w:p>
    <w:sectPr w:rsidR="002A163E" w:rsidRPr="00BC7D8B" w:rsidSect="00CB24F2">
      <w:headerReference w:type="even" r:id="rId7"/>
      <w:headerReference w:type="default" r:id="rId8"/>
      <w:footerReference w:type="default" r:id="rId9"/>
      <w:footnotePr>
        <w:numRestart w:val="eachPage"/>
      </w:footnotePr>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163E" w:rsidRDefault="002A163E" w:rsidP="00D83AEE">
      <w:pPr>
        <w:spacing w:after="0" w:line="240" w:lineRule="auto"/>
      </w:pPr>
      <w:r>
        <w:separator/>
      </w:r>
    </w:p>
  </w:endnote>
  <w:endnote w:type="continuationSeparator" w:id="0">
    <w:p w:rsidR="002A163E" w:rsidRDefault="002A163E" w:rsidP="00D83A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63E" w:rsidRDefault="002A163E">
    <w:pPr>
      <w:pStyle w:val="Footer"/>
    </w:pPr>
    <w:r w:rsidRPr="008F116B">
      <w:rPr>
        <w:rFonts w:ascii="Times New Roman" w:hAnsi="Times New Roman"/>
        <w:sz w:val="24"/>
        <w:szCs w:val="24"/>
      </w:rPr>
      <w:t>http://ej.kubagro.ru/2016/01/pdf/</w:t>
    </w:r>
    <w:r>
      <w:rPr>
        <w:rFonts w:ascii="Times New Roman" w:hAnsi="Times New Roman"/>
        <w:sz w:val="24"/>
        <w:szCs w:val="24"/>
      </w:rPr>
      <w:t>66</w:t>
    </w:r>
    <w:r w:rsidRPr="008F116B">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163E" w:rsidRDefault="002A163E" w:rsidP="00D83AEE">
      <w:pPr>
        <w:spacing w:after="0" w:line="240" w:lineRule="auto"/>
      </w:pPr>
      <w:r>
        <w:separator/>
      </w:r>
    </w:p>
  </w:footnote>
  <w:footnote w:type="continuationSeparator" w:id="0">
    <w:p w:rsidR="002A163E" w:rsidRDefault="002A163E" w:rsidP="00D83AE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63E" w:rsidRDefault="002A163E" w:rsidP="0021562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A163E" w:rsidRDefault="002A163E" w:rsidP="008A62E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63E" w:rsidRPr="008A62E6" w:rsidRDefault="002A163E" w:rsidP="00215627">
    <w:pPr>
      <w:pStyle w:val="Header"/>
      <w:framePr w:wrap="around" w:vAnchor="text" w:hAnchor="margin" w:xAlign="right" w:y="1"/>
      <w:rPr>
        <w:rStyle w:val="PageNumber"/>
        <w:rFonts w:ascii="Times New Roman" w:hAnsi="Times New Roman"/>
        <w:sz w:val="28"/>
        <w:szCs w:val="28"/>
      </w:rPr>
    </w:pPr>
    <w:r w:rsidRPr="008A62E6">
      <w:rPr>
        <w:rStyle w:val="PageNumber"/>
        <w:rFonts w:ascii="Times New Roman" w:hAnsi="Times New Roman"/>
        <w:sz w:val="28"/>
        <w:szCs w:val="28"/>
      </w:rPr>
      <w:fldChar w:fldCharType="begin"/>
    </w:r>
    <w:r w:rsidRPr="008A62E6">
      <w:rPr>
        <w:rStyle w:val="PageNumber"/>
        <w:rFonts w:ascii="Times New Roman" w:hAnsi="Times New Roman"/>
        <w:sz w:val="28"/>
        <w:szCs w:val="28"/>
      </w:rPr>
      <w:instrText xml:space="preserve">PAGE  </w:instrText>
    </w:r>
    <w:r w:rsidRPr="008A62E6">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8A62E6">
      <w:rPr>
        <w:rStyle w:val="PageNumber"/>
        <w:rFonts w:ascii="Times New Roman" w:hAnsi="Times New Roman"/>
        <w:sz w:val="28"/>
        <w:szCs w:val="28"/>
      </w:rPr>
      <w:fldChar w:fldCharType="end"/>
    </w:r>
  </w:p>
  <w:p w:rsidR="002A163E" w:rsidRDefault="002A163E" w:rsidP="008A62E6">
    <w:pPr>
      <w:pStyle w:val="Header"/>
      <w:ind w:right="360"/>
    </w:pPr>
    <w:r w:rsidRPr="00173496">
      <w:rPr>
        <w:rFonts w:ascii="Times New Roman" w:hAnsi="Times New Roman"/>
        <w:sz w:val="24"/>
        <w:szCs w:val="24"/>
      </w:rPr>
      <w:t>Научный журнал КубГАУ, №115</w:t>
    </w:r>
    <w:r w:rsidRPr="00173496">
      <w:rPr>
        <w:rFonts w:ascii="Times New Roman" w:hAnsi="Times New Roman"/>
        <w:sz w:val="24"/>
        <w:szCs w:val="24"/>
        <w:lang w:val="en-US"/>
      </w:rPr>
      <w:t>(</w:t>
    </w:r>
    <w:r w:rsidRPr="00173496">
      <w:rPr>
        <w:rFonts w:ascii="Times New Roman" w:hAnsi="Times New Roman"/>
        <w:sz w:val="24"/>
        <w:szCs w:val="24"/>
      </w:rPr>
      <w:t>01), 2016 года</w:t>
    </w:r>
  </w:p>
  <w:p w:rsidR="002A163E" w:rsidRDefault="002A163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9A6750"/>
    <w:multiLevelType w:val="hybridMultilevel"/>
    <w:tmpl w:val="63CCE8DE"/>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319D"/>
    <w:rsid w:val="000109DF"/>
    <w:rsid w:val="00045202"/>
    <w:rsid w:val="00173496"/>
    <w:rsid w:val="001C0F5E"/>
    <w:rsid w:val="00215627"/>
    <w:rsid w:val="002A163E"/>
    <w:rsid w:val="003035F9"/>
    <w:rsid w:val="003135F1"/>
    <w:rsid w:val="00377EEF"/>
    <w:rsid w:val="00414129"/>
    <w:rsid w:val="00426476"/>
    <w:rsid w:val="0043608F"/>
    <w:rsid w:val="00440CF8"/>
    <w:rsid w:val="0051244B"/>
    <w:rsid w:val="00544767"/>
    <w:rsid w:val="005A66D3"/>
    <w:rsid w:val="005F0EE1"/>
    <w:rsid w:val="006C00AF"/>
    <w:rsid w:val="00726C0F"/>
    <w:rsid w:val="00742422"/>
    <w:rsid w:val="007E4166"/>
    <w:rsid w:val="007F4266"/>
    <w:rsid w:val="00834968"/>
    <w:rsid w:val="008A62E6"/>
    <w:rsid w:val="008C1501"/>
    <w:rsid w:val="008F116B"/>
    <w:rsid w:val="008F14C9"/>
    <w:rsid w:val="0090319D"/>
    <w:rsid w:val="00906830"/>
    <w:rsid w:val="00923E65"/>
    <w:rsid w:val="00940D43"/>
    <w:rsid w:val="00970DA3"/>
    <w:rsid w:val="00971163"/>
    <w:rsid w:val="009F019D"/>
    <w:rsid w:val="00A032D2"/>
    <w:rsid w:val="00A065E0"/>
    <w:rsid w:val="00A370A0"/>
    <w:rsid w:val="00A6645C"/>
    <w:rsid w:val="00AA421A"/>
    <w:rsid w:val="00B67ACD"/>
    <w:rsid w:val="00B85DF7"/>
    <w:rsid w:val="00B92B8E"/>
    <w:rsid w:val="00BC4574"/>
    <w:rsid w:val="00BC7D8B"/>
    <w:rsid w:val="00BE192B"/>
    <w:rsid w:val="00BE5042"/>
    <w:rsid w:val="00C07F3B"/>
    <w:rsid w:val="00C14B32"/>
    <w:rsid w:val="00C25F57"/>
    <w:rsid w:val="00C261C3"/>
    <w:rsid w:val="00C93C4F"/>
    <w:rsid w:val="00C97CDF"/>
    <w:rsid w:val="00CB24F2"/>
    <w:rsid w:val="00CB7944"/>
    <w:rsid w:val="00D83AEE"/>
    <w:rsid w:val="00D84262"/>
    <w:rsid w:val="00EB1982"/>
    <w:rsid w:val="00F009FD"/>
    <w:rsid w:val="00FC3D0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F3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D83AE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D83AEE"/>
    <w:rPr>
      <w:rFonts w:cs="Times New Roman"/>
      <w:sz w:val="20"/>
      <w:szCs w:val="20"/>
    </w:rPr>
  </w:style>
  <w:style w:type="character" w:styleId="FootnoteReference">
    <w:name w:val="footnote reference"/>
    <w:basedOn w:val="DefaultParagraphFont"/>
    <w:uiPriority w:val="99"/>
    <w:semiHidden/>
    <w:rsid w:val="00D83AEE"/>
    <w:rPr>
      <w:rFonts w:cs="Times New Roman"/>
      <w:vertAlign w:val="superscript"/>
    </w:rPr>
  </w:style>
  <w:style w:type="paragraph" w:styleId="HTMLPreformatted">
    <w:name w:val="HTML Preformatted"/>
    <w:basedOn w:val="Normal"/>
    <w:link w:val="HTMLPreformattedChar"/>
    <w:uiPriority w:val="99"/>
    <w:semiHidden/>
    <w:rsid w:val="000109D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locked/>
    <w:rsid w:val="000109DF"/>
    <w:rPr>
      <w:rFonts w:ascii="Consolas" w:hAnsi="Consolas" w:cs="Times New Roman"/>
      <w:sz w:val="20"/>
      <w:szCs w:val="20"/>
    </w:rPr>
  </w:style>
  <w:style w:type="paragraph" w:styleId="ListParagraph">
    <w:name w:val="List Paragraph"/>
    <w:basedOn w:val="Normal"/>
    <w:uiPriority w:val="99"/>
    <w:qFormat/>
    <w:rsid w:val="00A032D2"/>
    <w:pPr>
      <w:ind w:left="720"/>
      <w:contextualSpacing/>
    </w:pPr>
  </w:style>
  <w:style w:type="paragraph" w:styleId="Header">
    <w:name w:val="header"/>
    <w:basedOn w:val="Normal"/>
    <w:link w:val="HeaderChar"/>
    <w:uiPriority w:val="99"/>
    <w:rsid w:val="00CB24F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B24F2"/>
    <w:rPr>
      <w:rFonts w:cs="Times New Roman"/>
    </w:rPr>
  </w:style>
  <w:style w:type="paragraph" w:styleId="Footer">
    <w:name w:val="footer"/>
    <w:basedOn w:val="Normal"/>
    <w:link w:val="FooterChar"/>
    <w:uiPriority w:val="99"/>
    <w:rsid w:val="00CB24F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B24F2"/>
    <w:rPr>
      <w:rFonts w:cs="Times New Roman"/>
    </w:rPr>
  </w:style>
  <w:style w:type="character" w:styleId="PageNumber">
    <w:name w:val="page number"/>
    <w:basedOn w:val="DefaultParagraphFont"/>
    <w:uiPriority w:val="99"/>
    <w:rsid w:val="008A62E6"/>
    <w:rPr>
      <w:rFonts w:cs="Times New Roman"/>
    </w:rPr>
  </w:style>
</w:styles>
</file>

<file path=word/webSettings.xml><?xml version="1.0" encoding="utf-8"?>
<w:webSettings xmlns:r="http://schemas.openxmlformats.org/officeDocument/2006/relationships" xmlns:w="http://schemas.openxmlformats.org/wordprocessingml/2006/main">
  <w:divs>
    <w:div w:id="993947188">
      <w:marLeft w:val="0"/>
      <w:marRight w:val="0"/>
      <w:marTop w:val="0"/>
      <w:marBottom w:val="0"/>
      <w:divBdr>
        <w:top w:val="none" w:sz="0" w:space="0" w:color="auto"/>
        <w:left w:val="none" w:sz="0" w:space="0" w:color="auto"/>
        <w:bottom w:val="none" w:sz="0" w:space="0" w:color="auto"/>
        <w:right w:val="none" w:sz="0" w:space="0" w:color="auto"/>
      </w:divBdr>
    </w:div>
    <w:div w:id="9939471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607</TotalTime>
  <Pages>12</Pages>
  <Words>3319</Words>
  <Characters>18923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Асичка (поцелуйчик)</dc:creator>
  <cp:keywords/>
  <dc:description/>
  <cp:lastModifiedBy>Sergey</cp:lastModifiedBy>
  <cp:revision>14</cp:revision>
  <cp:lastPrinted>2016-01-14T06:59:00Z</cp:lastPrinted>
  <dcterms:created xsi:type="dcterms:W3CDTF">2016-01-11T06:50:00Z</dcterms:created>
  <dcterms:modified xsi:type="dcterms:W3CDTF">2016-01-17T08:43:00Z</dcterms:modified>
</cp:coreProperties>
</file>