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03823" w:rsidRPr="00373BF1" w:rsidTr="00F85B34">
        <w:trPr>
          <w:trHeight w:val="3826"/>
        </w:trPr>
        <w:tc>
          <w:tcPr>
            <w:tcW w:w="4643" w:type="dxa"/>
          </w:tcPr>
          <w:p w:rsidR="00D03823" w:rsidRPr="00F85B34" w:rsidRDefault="00D03823" w:rsidP="00373BF1">
            <w:pPr>
              <w:tabs>
                <w:tab w:val="left" w:pos="5949"/>
              </w:tabs>
              <w:spacing w:after="0" w:line="240" w:lineRule="auto"/>
              <w:rPr>
                <w:rFonts w:ascii="Times New Roman" w:hAnsi="Times New Roman" w:cs="Times New Roman"/>
                <w:sz w:val="20"/>
                <w:szCs w:val="20"/>
              </w:rPr>
            </w:pPr>
            <w:r w:rsidRPr="00F85B34">
              <w:rPr>
                <w:rFonts w:ascii="Times New Roman" w:hAnsi="Times New Roman" w:cs="Times New Roman"/>
                <w:sz w:val="20"/>
                <w:szCs w:val="20"/>
              </w:rPr>
              <w:t>УДК 005.336.1:663.2</w:t>
            </w:r>
          </w:p>
          <w:p w:rsidR="00D03823" w:rsidRPr="00F85B34" w:rsidRDefault="00D03823" w:rsidP="00373BF1">
            <w:pPr>
              <w:tabs>
                <w:tab w:val="left" w:pos="5949"/>
              </w:tabs>
              <w:spacing w:after="0" w:line="240" w:lineRule="auto"/>
              <w:rPr>
                <w:rFonts w:ascii="Times New Roman" w:hAnsi="Times New Roman" w:cs="Times New Roman"/>
                <w:sz w:val="20"/>
                <w:szCs w:val="20"/>
              </w:rPr>
            </w:pPr>
          </w:p>
          <w:p w:rsidR="00D03823" w:rsidRPr="00F85B34" w:rsidRDefault="00D03823" w:rsidP="00373BF1">
            <w:pPr>
              <w:tabs>
                <w:tab w:val="left" w:pos="5949"/>
              </w:tabs>
              <w:spacing w:after="0" w:line="240" w:lineRule="auto"/>
              <w:rPr>
                <w:rFonts w:ascii="Times New Roman" w:hAnsi="Times New Roman" w:cs="Times New Roman"/>
                <w:sz w:val="20"/>
                <w:szCs w:val="20"/>
              </w:rPr>
            </w:pPr>
            <w:r w:rsidRPr="00F85B34">
              <w:rPr>
                <w:rFonts w:ascii="Times New Roman" w:hAnsi="Times New Roman" w:cs="Times New Roman"/>
                <w:sz w:val="20"/>
                <w:szCs w:val="20"/>
              </w:rPr>
              <w:t>08.00.00 Экономические науки</w:t>
            </w:r>
          </w:p>
          <w:p w:rsidR="00D03823" w:rsidRPr="00F85B34" w:rsidRDefault="00D03823" w:rsidP="00373BF1">
            <w:pPr>
              <w:tabs>
                <w:tab w:val="left" w:pos="5949"/>
              </w:tabs>
              <w:spacing w:after="0" w:line="240" w:lineRule="auto"/>
              <w:rPr>
                <w:rFonts w:ascii="Times New Roman" w:hAnsi="Times New Roman" w:cs="Times New Roman"/>
                <w:sz w:val="20"/>
                <w:szCs w:val="20"/>
              </w:rPr>
            </w:pPr>
          </w:p>
          <w:p w:rsidR="00D03823" w:rsidRPr="00F85B34" w:rsidRDefault="00D03823" w:rsidP="00373BF1">
            <w:pPr>
              <w:pStyle w:val="msonormalbullet2gifbullet2gif"/>
              <w:widowControl w:val="0"/>
              <w:shd w:val="clear" w:color="auto" w:fill="FFFFFF"/>
              <w:spacing w:before="0" w:beforeAutospacing="0" w:after="0" w:afterAutospacing="0"/>
              <w:contextualSpacing/>
              <w:rPr>
                <w:b/>
                <w:color w:val="000000"/>
                <w:sz w:val="20"/>
                <w:szCs w:val="20"/>
              </w:rPr>
            </w:pPr>
            <w:r w:rsidRPr="00F85B34">
              <w:rPr>
                <w:b/>
                <w:color w:val="000000"/>
                <w:sz w:val="20"/>
                <w:szCs w:val="20"/>
              </w:rPr>
              <w:t>АНАЛИЗ ЭФФЕКТИВНОСТИ ДЕЯТЕЛЬНОСТИ ХОЗЯЙСТВУЮЩЕГО СУБЪЕКТА ОТРАСЛИ ВИНОДЕЛИЯ</w:t>
            </w:r>
          </w:p>
          <w:p w:rsidR="00D03823" w:rsidRPr="00F85B34" w:rsidRDefault="00D03823" w:rsidP="00373BF1">
            <w:pPr>
              <w:tabs>
                <w:tab w:val="left" w:pos="5949"/>
              </w:tabs>
              <w:spacing w:after="0" w:line="240" w:lineRule="auto"/>
              <w:rPr>
                <w:rFonts w:ascii="Times New Roman" w:hAnsi="Times New Roman" w:cs="Times New Roman"/>
                <w:b/>
                <w:sz w:val="20"/>
                <w:szCs w:val="20"/>
              </w:rPr>
            </w:pPr>
          </w:p>
          <w:p w:rsidR="00D03823" w:rsidRPr="00F85B34" w:rsidRDefault="00D03823" w:rsidP="00373BF1">
            <w:pPr>
              <w:tabs>
                <w:tab w:val="left" w:pos="5949"/>
              </w:tabs>
              <w:spacing w:after="0" w:line="240" w:lineRule="auto"/>
              <w:rPr>
                <w:rFonts w:ascii="Times New Roman" w:hAnsi="Times New Roman" w:cs="Times New Roman"/>
                <w:sz w:val="20"/>
                <w:szCs w:val="20"/>
              </w:rPr>
            </w:pPr>
            <w:r w:rsidRPr="00F85B34">
              <w:rPr>
                <w:rFonts w:ascii="Times New Roman" w:hAnsi="Times New Roman" w:cs="Times New Roman"/>
                <w:sz w:val="20"/>
                <w:szCs w:val="20"/>
              </w:rPr>
              <w:t>Прудников Анатолий Григорьевич</w:t>
            </w:r>
          </w:p>
          <w:p w:rsidR="00D03823" w:rsidRPr="00F85B34" w:rsidRDefault="00D03823" w:rsidP="00373BF1">
            <w:pPr>
              <w:tabs>
                <w:tab w:val="left" w:pos="5949"/>
              </w:tabs>
              <w:spacing w:after="0" w:line="240" w:lineRule="auto"/>
              <w:rPr>
                <w:rFonts w:ascii="Times New Roman" w:hAnsi="Times New Roman" w:cs="Times New Roman"/>
                <w:sz w:val="20"/>
                <w:szCs w:val="20"/>
              </w:rPr>
            </w:pPr>
            <w:r w:rsidRPr="00F85B34">
              <w:rPr>
                <w:rFonts w:ascii="Times New Roman" w:hAnsi="Times New Roman" w:cs="Times New Roman"/>
                <w:sz w:val="20"/>
                <w:szCs w:val="20"/>
              </w:rPr>
              <w:t>д-р.экон. наук, профессор кафедры экономического анализа</w:t>
            </w:r>
          </w:p>
          <w:p w:rsidR="00D03823" w:rsidRDefault="00D03823" w:rsidP="00373BF1">
            <w:pPr>
              <w:tabs>
                <w:tab w:val="left" w:pos="5949"/>
              </w:tabs>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rPr>
              <w:t>РИНЦ SPIN-код:  9720-2140</w:t>
            </w:r>
          </w:p>
          <w:p w:rsidR="00D03823" w:rsidRPr="00DF308A" w:rsidRDefault="00D03823" w:rsidP="00373BF1">
            <w:pPr>
              <w:tabs>
                <w:tab w:val="left" w:pos="5949"/>
              </w:tabs>
              <w:spacing w:after="0" w:line="240" w:lineRule="auto"/>
              <w:rPr>
                <w:rFonts w:ascii="Times New Roman" w:hAnsi="Times New Roman" w:cs="Times New Roman"/>
                <w:sz w:val="20"/>
                <w:szCs w:val="20"/>
                <w:lang w:val="en-US"/>
              </w:rPr>
            </w:pPr>
          </w:p>
          <w:p w:rsidR="00D03823" w:rsidRPr="00DF308A" w:rsidRDefault="00D03823" w:rsidP="00DF308A">
            <w:pPr>
              <w:spacing w:after="0" w:line="240" w:lineRule="auto"/>
              <w:rPr>
                <w:rFonts w:ascii="Times New Roman" w:hAnsi="Times New Roman" w:cs="Times New Roman"/>
                <w:sz w:val="20"/>
                <w:szCs w:val="20"/>
              </w:rPr>
            </w:pPr>
            <w:r w:rsidRPr="00F85B34">
              <w:rPr>
                <w:rFonts w:ascii="Times New Roman" w:hAnsi="Times New Roman" w:cs="Times New Roman"/>
                <w:sz w:val="20"/>
                <w:szCs w:val="20"/>
              </w:rPr>
              <w:t xml:space="preserve">Журова Ольга Ивановна </w:t>
            </w:r>
          </w:p>
          <w:p w:rsidR="00D03823" w:rsidRPr="00F85B34" w:rsidRDefault="00D03823" w:rsidP="00DF308A">
            <w:pPr>
              <w:spacing w:after="0" w:line="240" w:lineRule="auto"/>
              <w:rPr>
                <w:rFonts w:ascii="Times New Roman" w:hAnsi="Times New Roman" w:cs="Times New Roman"/>
                <w:sz w:val="20"/>
                <w:szCs w:val="20"/>
              </w:rPr>
            </w:pPr>
            <w:r w:rsidRPr="00F85B34">
              <w:rPr>
                <w:rFonts w:ascii="Times New Roman" w:hAnsi="Times New Roman" w:cs="Times New Roman"/>
                <w:sz w:val="20"/>
                <w:szCs w:val="20"/>
              </w:rPr>
              <w:t>магистрант</w:t>
            </w:r>
          </w:p>
          <w:p w:rsidR="00D03823" w:rsidRPr="00F85B34" w:rsidRDefault="00D03823" w:rsidP="00373BF1">
            <w:pPr>
              <w:spacing w:after="0" w:line="240" w:lineRule="auto"/>
              <w:rPr>
                <w:rFonts w:ascii="Times New Roman" w:hAnsi="Times New Roman" w:cs="Times New Roman"/>
                <w:i/>
                <w:sz w:val="20"/>
                <w:szCs w:val="20"/>
              </w:rPr>
            </w:pPr>
            <w:r w:rsidRPr="00F85B34">
              <w:rPr>
                <w:rFonts w:ascii="Times New Roman" w:hAnsi="Times New Roman" w:cs="Times New Roman"/>
                <w:i/>
                <w:sz w:val="20"/>
                <w:szCs w:val="20"/>
              </w:rPr>
              <w:t>Кубанский государственный аграрный университет, Краснодар, Россия</w:t>
            </w:r>
          </w:p>
          <w:p w:rsidR="00D03823" w:rsidRPr="00F85B34" w:rsidRDefault="00D03823" w:rsidP="00373BF1">
            <w:pPr>
              <w:spacing w:after="0" w:line="240" w:lineRule="auto"/>
              <w:rPr>
                <w:rFonts w:ascii="Times New Roman" w:hAnsi="Times New Roman" w:cs="Times New Roman"/>
                <w:sz w:val="20"/>
                <w:szCs w:val="20"/>
              </w:rPr>
            </w:pPr>
          </w:p>
          <w:p w:rsidR="00D03823" w:rsidRPr="003A3079" w:rsidRDefault="00D03823" w:rsidP="00373BF1">
            <w:pPr>
              <w:pStyle w:val="msonormalbullet2gifbullet2gif"/>
              <w:widowControl w:val="0"/>
              <w:shd w:val="clear" w:color="auto" w:fill="FFFFFF"/>
              <w:spacing w:before="0" w:beforeAutospacing="0" w:after="0" w:afterAutospacing="0"/>
              <w:contextualSpacing/>
              <w:rPr>
                <w:sz w:val="20"/>
                <w:szCs w:val="20"/>
              </w:rPr>
            </w:pPr>
            <w:r w:rsidRPr="00F85B34">
              <w:rPr>
                <w:color w:val="000000"/>
                <w:sz w:val="20"/>
                <w:szCs w:val="20"/>
              </w:rPr>
              <w:t xml:space="preserve">Для анализа </w:t>
            </w:r>
            <w:r w:rsidRPr="00F85B34">
              <w:rPr>
                <w:sz w:val="20"/>
                <w:szCs w:val="20"/>
              </w:rPr>
              <w:t xml:space="preserve">результативности и эффективности предпринимательской деятельности организаций применяют систему показателей, характеризующих уровень </w:t>
            </w:r>
            <w:r w:rsidRPr="00F85B34">
              <w:rPr>
                <w:color w:val="000000"/>
                <w:sz w:val="20"/>
                <w:szCs w:val="20"/>
              </w:rPr>
              <w:t>использования</w:t>
            </w:r>
            <w:r w:rsidRPr="00F85B34">
              <w:rPr>
                <w:sz w:val="20"/>
                <w:szCs w:val="20"/>
              </w:rPr>
              <w:t xml:space="preserve"> производственных ресурсов: труда, производственной площади, среднегодовой стоимости</w:t>
            </w:r>
            <w:r w:rsidRPr="00F85B34">
              <w:rPr>
                <w:color w:val="000000"/>
                <w:sz w:val="20"/>
                <w:szCs w:val="20"/>
              </w:rPr>
              <w:t xml:space="preserve"> совокупных активов, </w:t>
            </w:r>
            <w:r w:rsidRPr="00F85B34">
              <w:rPr>
                <w:sz w:val="20"/>
                <w:szCs w:val="20"/>
              </w:rPr>
              <w:t>среднегодовой стоимости</w:t>
            </w:r>
            <w:r w:rsidRPr="00F85B34">
              <w:rPr>
                <w:color w:val="000000"/>
                <w:sz w:val="20"/>
                <w:szCs w:val="20"/>
              </w:rPr>
              <w:t xml:space="preserve"> оборотных активов, в том числе запасов,</w:t>
            </w:r>
            <w:r w:rsidRPr="00F85B34">
              <w:rPr>
                <w:sz w:val="20"/>
                <w:szCs w:val="20"/>
              </w:rPr>
              <w:t xml:space="preserve"> среднегодовой стоимости</w:t>
            </w:r>
            <w:r w:rsidRPr="00F85B34">
              <w:rPr>
                <w:color w:val="000000"/>
                <w:sz w:val="20"/>
                <w:szCs w:val="20"/>
              </w:rPr>
              <w:t xml:space="preserve"> собственного капитала, </w:t>
            </w:r>
            <w:r w:rsidRPr="00F85B34">
              <w:rPr>
                <w:sz w:val="20"/>
                <w:szCs w:val="20"/>
              </w:rPr>
              <w:t>производственных затрат, в том числе материальных затрат. Количественными результатами деятельности хозяйствующего субъекта используют объемные стоимостные показатели, характеризующие эффект: валовую продукцию в текущих ценах; выручку от продаж; валовую прибыль; прибыль от продаж; прибыль до налогообложения; чистую прибыль. Качественными показателями эффективности использования производственных ресурсов являются: валовая продукция в текущих ценах на среднегодового работника; выручка от продаж на среднегодового работника; валовая прибыль на среднегодового работника; прибыль от продаж на среднегодового работника; прибыль до налогообложения на среднегодового работника; чистая прибыль на среднегодового работника. Аналогичный набор показателей</w:t>
            </w:r>
            <w:r w:rsidRPr="00F85B34">
              <w:rPr>
                <w:color w:val="000000"/>
                <w:sz w:val="20"/>
                <w:szCs w:val="20"/>
              </w:rPr>
              <w:t xml:space="preserve"> эффективности применяют, определяя </w:t>
            </w:r>
            <w:r w:rsidRPr="00F85B34">
              <w:rPr>
                <w:sz w:val="20"/>
                <w:szCs w:val="20"/>
              </w:rPr>
              <w:t xml:space="preserve">соотношение различных видов эффекта и других ресурсов. То есть определяют показатель, характеризующий соотношение валовой продукции в текущих ценах и производственной площади (в сельскохозяйственных организациях используют </w:t>
            </w:r>
            <w:smartTag w:uri="urn:schemas-microsoft-com:office:smarttags" w:element="metricconverter">
              <w:smartTagPr>
                <w:attr w:name="ProductID" w:val="1 га"/>
              </w:smartTagPr>
              <w:r w:rsidRPr="00F85B34">
                <w:rPr>
                  <w:sz w:val="20"/>
                  <w:szCs w:val="20"/>
                </w:rPr>
                <w:t>1 га</w:t>
              </w:r>
            </w:smartTag>
            <w:r w:rsidRPr="00F85B34">
              <w:rPr>
                <w:sz w:val="20"/>
                <w:szCs w:val="20"/>
              </w:rPr>
              <w:t xml:space="preserve"> сельхозугодий, в торговых – </w:t>
            </w:r>
            <w:smartTag w:uri="urn:schemas-microsoft-com:office:smarttags" w:element="metricconverter">
              <w:smartTagPr>
                <w:attr w:name="ProductID" w:val="1 м2"/>
              </w:smartTagPr>
              <w:r w:rsidRPr="00F85B34">
                <w:rPr>
                  <w:sz w:val="20"/>
                  <w:szCs w:val="20"/>
                </w:rPr>
                <w:t>1 м</w:t>
              </w:r>
              <w:r w:rsidRPr="00F85B34">
                <w:rPr>
                  <w:sz w:val="20"/>
                  <w:szCs w:val="20"/>
                  <w:vertAlign w:val="superscript"/>
                </w:rPr>
                <w:t>2</w:t>
              </w:r>
            </w:smartTag>
            <w:r w:rsidRPr="00F85B34">
              <w:rPr>
                <w:sz w:val="20"/>
                <w:szCs w:val="20"/>
              </w:rPr>
              <w:t xml:space="preserve"> торговой площади, в промышленности – </w:t>
            </w:r>
            <w:smartTag w:uri="urn:schemas-microsoft-com:office:smarttags" w:element="metricconverter">
              <w:smartTagPr>
                <w:attr w:name="ProductID" w:val="1 м2"/>
              </w:smartTagPr>
              <w:r w:rsidRPr="00F85B34">
                <w:rPr>
                  <w:sz w:val="20"/>
                  <w:szCs w:val="20"/>
                </w:rPr>
                <w:t>1 м</w:t>
              </w:r>
              <w:r w:rsidRPr="00F85B34">
                <w:rPr>
                  <w:sz w:val="20"/>
                  <w:szCs w:val="20"/>
                  <w:vertAlign w:val="superscript"/>
                </w:rPr>
                <w:t>2</w:t>
              </w:r>
            </w:smartTag>
            <w:r w:rsidRPr="00F85B34">
              <w:rPr>
                <w:sz w:val="20"/>
                <w:szCs w:val="20"/>
                <w:vertAlign w:val="superscript"/>
              </w:rPr>
              <w:t xml:space="preserve"> </w:t>
            </w:r>
            <w:r w:rsidRPr="00F85B34">
              <w:rPr>
                <w:sz w:val="20"/>
                <w:szCs w:val="20"/>
              </w:rPr>
              <w:t>производственной площади завода, фабрики, цеха); соотношение выручки от продаж и производственной площади; соотношение различных видов прибыли и производственной площади. Затем определяют показатели, характеризующие соотношение различных видов эффекта и среднегодовой стоимости совокупных активов, соотношение различных видов эффекта и среднегодовой стоимости оборотных активов, производственных запасов, собственного капитала, производственных затрат, материальных затрат. Согласно методическим положениям анализа показателей, характеризующих результаты деятельности хозяйствующих субъектов, исследуют динамику показателей за последние 3 – 5 лет с целью выявления ее тенденции и прогнозирования. Важным в исследовании показателей эффективности предпринимательской деятельности является использование факторного анализа, позволяющего определить количественную меру влияния факторов на изменение анализируемого показателя, обосновать р</w:t>
            </w:r>
            <w:r>
              <w:rPr>
                <w:sz w:val="20"/>
                <w:szCs w:val="20"/>
              </w:rPr>
              <w:t>езервы повышения эффективности</w:t>
            </w:r>
          </w:p>
          <w:p w:rsidR="00D03823" w:rsidRPr="00F85B34" w:rsidRDefault="00D03823" w:rsidP="00373BF1">
            <w:pPr>
              <w:spacing w:after="0" w:line="240" w:lineRule="auto"/>
              <w:rPr>
                <w:rFonts w:ascii="Times New Roman" w:hAnsi="Times New Roman" w:cs="Times New Roman"/>
                <w:sz w:val="20"/>
                <w:szCs w:val="20"/>
              </w:rPr>
            </w:pPr>
          </w:p>
          <w:p w:rsidR="00D03823" w:rsidRPr="00F85B34" w:rsidRDefault="00D03823" w:rsidP="00373BF1">
            <w:pPr>
              <w:spacing w:after="0" w:line="240" w:lineRule="auto"/>
              <w:rPr>
                <w:rFonts w:ascii="Times New Roman" w:hAnsi="Times New Roman" w:cs="Times New Roman"/>
                <w:sz w:val="20"/>
                <w:szCs w:val="20"/>
              </w:rPr>
            </w:pPr>
            <w:r w:rsidRPr="00F85B34">
              <w:rPr>
                <w:rFonts w:ascii="Times New Roman" w:hAnsi="Times New Roman" w:cs="Times New Roman"/>
                <w:sz w:val="20"/>
                <w:szCs w:val="20"/>
              </w:rPr>
              <w:t>Ключевые слова: МЕТОДИКА АНАЛИЗА, ПОКАЗАТЕЛИ РЕСУРСООСНАЩЕННОСТИ,</w:t>
            </w:r>
            <w:r w:rsidRPr="00DF308A">
              <w:rPr>
                <w:rFonts w:ascii="Times New Roman" w:hAnsi="Times New Roman" w:cs="Times New Roman"/>
                <w:sz w:val="20"/>
                <w:szCs w:val="20"/>
              </w:rPr>
              <w:t xml:space="preserve"> </w:t>
            </w:r>
            <w:r w:rsidRPr="00F85B34">
              <w:rPr>
                <w:rFonts w:ascii="Times New Roman" w:hAnsi="Times New Roman" w:cs="Times New Roman"/>
                <w:sz w:val="20"/>
                <w:szCs w:val="20"/>
              </w:rPr>
              <w:t>ФИНАНСОВЫЕ РЕЗУЛЬТАТЫ ДЕЯТЕЛЬНОСТИ,</w:t>
            </w:r>
            <w:r w:rsidRPr="00DF308A">
              <w:rPr>
                <w:rFonts w:ascii="Times New Roman" w:hAnsi="Times New Roman" w:cs="Times New Roman"/>
                <w:sz w:val="20"/>
                <w:szCs w:val="20"/>
              </w:rPr>
              <w:t xml:space="preserve"> </w:t>
            </w:r>
            <w:r w:rsidRPr="00F85B34">
              <w:rPr>
                <w:rFonts w:ascii="Times New Roman" w:hAnsi="Times New Roman" w:cs="Times New Roman"/>
                <w:sz w:val="20"/>
                <w:szCs w:val="20"/>
              </w:rPr>
              <w:t>ФАКТОРНЫЙ АНАЛИЗ ЭФФЕКТИВНОСТИ, ЭКОНОМИЧЕСКАЯ ЭФФЕКТИВНОСТЬ РЕСУРСОВ, РЕЗЕРВЫ ПОВЫШЕНИЯ ЭФФЕКТИВНОСТИ</w:t>
            </w:r>
          </w:p>
        </w:tc>
        <w:tc>
          <w:tcPr>
            <w:tcW w:w="4643" w:type="dxa"/>
          </w:tcPr>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UDC 005.336.1:663.2</w:t>
            </w: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Economical sciences</w:t>
            </w: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b/>
                <w:sz w:val="20"/>
                <w:szCs w:val="20"/>
                <w:lang w:val="en-US"/>
              </w:rPr>
              <w:t xml:space="preserve">ANALYSIS OF EFFICIENCY OF ACTIVITY OF MANAGING SUBJECT OF VINE INDUSTRY </w:t>
            </w:r>
          </w:p>
          <w:p w:rsidR="00D03823"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Prudnikov Anatoliy Grigorievich</w:t>
            </w:r>
          </w:p>
          <w:p w:rsidR="00D03823" w:rsidRPr="00F85B34" w:rsidRDefault="00D03823" w:rsidP="00373BF1">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Dr.Sci.</w:t>
            </w:r>
            <w:r w:rsidRPr="00F85B34">
              <w:rPr>
                <w:rFonts w:ascii="Times New Roman" w:hAnsi="Times New Roman" w:cs="Times New Roman"/>
                <w:sz w:val="20"/>
                <w:szCs w:val="20"/>
                <w:lang w:val="en-US"/>
              </w:rPr>
              <w:t>Econ., Professor</w:t>
            </w:r>
            <w:r>
              <w:rPr>
                <w:rFonts w:ascii="Times New Roman" w:hAnsi="Times New Roman" w:cs="Times New Roman"/>
                <w:sz w:val="20"/>
                <w:szCs w:val="20"/>
                <w:lang w:val="en-US"/>
              </w:rPr>
              <w:t xml:space="preserve"> of the</w:t>
            </w:r>
            <w:r w:rsidRPr="00F85B34">
              <w:rPr>
                <w:rFonts w:ascii="Times New Roman" w:hAnsi="Times New Roman" w:cs="Times New Roman"/>
                <w:sz w:val="20"/>
                <w:szCs w:val="20"/>
                <w:lang w:val="en-US"/>
              </w:rPr>
              <w:t xml:space="preserve"> chair of economic analysis</w:t>
            </w:r>
          </w:p>
          <w:p w:rsidR="00D03823" w:rsidRDefault="00D03823" w:rsidP="00DF308A">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RSCI SPIN- code: 9720-2140</w:t>
            </w:r>
            <w:r w:rsidRPr="00DF308A">
              <w:rPr>
                <w:rFonts w:ascii="Times New Roman" w:hAnsi="Times New Roman" w:cs="Times New Roman"/>
                <w:sz w:val="20"/>
                <w:szCs w:val="20"/>
                <w:lang w:val="en-US"/>
              </w:rPr>
              <w:t xml:space="preserve"> </w:t>
            </w:r>
          </w:p>
          <w:p w:rsidR="00D03823" w:rsidRDefault="00D03823" w:rsidP="00DF308A">
            <w:pPr>
              <w:spacing w:after="0" w:line="240" w:lineRule="auto"/>
              <w:rPr>
                <w:rFonts w:ascii="Times New Roman" w:hAnsi="Times New Roman" w:cs="Times New Roman"/>
                <w:sz w:val="20"/>
                <w:szCs w:val="20"/>
                <w:lang w:val="en-US"/>
              </w:rPr>
            </w:pPr>
          </w:p>
          <w:p w:rsidR="00D03823" w:rsidRDefault="00D03823" w:rsidP="00DF308A">
            <w:pPr>
              <w:spacing w:after="0" w:line="240" w:lineRule="auto"/>
              <w:rPr>
                <w:rFonts w:ascii="Times New Roman" w:hAnsi="Times New Roman" w:cs="Times New Roman"/>
                <w:sz w:val="20"/>
                <w:szCs w:val="20"/>
                <w:lang w:val="en-US"/>
              </w:rPr>
            </w:pPr>
            <w:r w:rsidRPr="00DF308A">
              <w:rPr>
                <w:rFonts w:ascii="Times New Roman" w:hAnsi="Times New Roman" w:cs="Times New Roman"/>
                <w:sz w:val="20"/>
                <w:szCs w:val="20"/>
                <w:lang w:val="en-US"/>
              </w:rPr>
              <w:t xml:space="preserve">Zhurova Olga Ivanovna </w:t>
            </w:r>
          </w:p>
          <w:p w:rsidR="00D03823" w:rsidRPr="00F85B34" w:rsidRDefault="00D03823" w:rsidP="00373BF1">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master student</w:t>
            </w:r>
          </w:p>
          <w:p w:rsidR="00D03823" w:rsidRPr="00F85B34" w:rsidRDefault="00D03823" w:rsidP="00373BF1">
            <w:pPr>
              <w:spacing w:after="0" w:line="240" w:lineRule="auto"/>
              <w:rPr>
                <w:rFonts w:ascii="Times New Roman" w:hAnsi="Times New Roman" w:cs="Times New Roman"/>
                <w:i/>
                <w:sz w:val="20"/>
                <w:szCs w:val="20"/>
                <w:lang w:val="en-US"/>
              </w:rPr>
            </w:pPr>
            <w:r w:rsidRPr="00F85B34">
              <w:rPr>
                <w:rFonts w:ascii="Times New Roman" w:hAnsi="Times New Roman" w:cs="Times New Roman"/>
                <w:i/>
                <w:sz w:val="20"/>
                <w:szCs w:val="20"/>
                <w:lang w:val="en-US"/>
              </w:rPr>
              <w:t xml:space="preserve">Kuban state agrarian University, Krasnodar, </w:t>
            </w:r>
            <w:smartTag w:uri="urn:schemas-microsoft-com:office:smarttags" w:element="country-region">
              <w:smartTag w:uri="urn:schemas-microsoft-com:office:smarttags" w:element="place">
                <w:r w:rsidRPr="00F85B34">
                  <w:rPr>
                    <w:rFonts w:ascii="Times New Roman" w:hAnsi="Times New Roman" w:cs="Times New Roman"/>
                    <w:i/>
                    <w:sz w:val="20"/>
                    <w:szCs w:val="20"/>
                    <w:lang w:val="en-US"/>
                  </w:rPr>
                  <w:t>Russia</w:t>
                </w:r>
              </w:smartTag>
            </w:smartTag>
          </w:p>
          <w:p w:rsidR="00D03823" w:rsidRDefault="00D03823" w:rsidP="00373BF1">
            <w:pPr>
              <w:spacing w:after="0" w:line="240" w:lineRule="auto"/>
              <w:rPr>
                <w:rFonts w:ascii="Times New Roman" w:hAnsi="Times New Roman" w:cs="Times New Roman"/>
                <w:i/>
                <w:sz w:val="20"/>
                <w:szCs w:val="20"/>
                <w:lang w:val="en-US"/>
              </w:rPr>
            </w:pPr>
          </w:p>
          <w:p w:rsidR="00D03823" w:rsidRPr="00F85B34" w:rsidRDefault="00D03823" w:rsidP="00373BF1">
            <w:pPr>
              <w:spacing w:after="0" w:line="240" w:lineRule="auto"/>
              <w:rPr>
                <w:rFonts w:ascii="Times New Roman" w:hAnsi="Times New Roman" w:cs="Times New Roman"/>
                <w:i/>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 xml:space="preserve">For the analysis of </w:t>
            </w:r>
            <w:r>
              <w:rPr>
                <w:rFonts w:ascii="Times New Roman" w:hAnsi="Times New Roman" w:cs="Times New Roman"/>
                <w:sz w:val="20"/>
                <w:szCs w:val="20"/>
                <w:lang w:val="en-US"/>
              </w:rPr>
              <w:t xml:space="preserve">the </w:t>
            </w:r>
            <w:r w:rsidRPr="00F85B34">
              <w:rPr>
                <w:rFonts w:ascii="Times New Roman" w:hAnsi="Times New Roman" w:cs="Times New Roman"/>
                <w:sz w:val="20"/>
                <w:szCs w:val="20"/>
                <w:lang w:val="en-US"/>
              </w:rPr>
              <w:t xml:space="preserve">effectiveness and </w:t>
            </w:r>
            <w:r>
              <w:rPr>
                <w:rFonts w:ascii="Times New Roman" w:hAnsi="Times New Roman" w:cs="Times New Roman"/>
                <w:sz w:val="20"/>
                <w:szCs w:val="20"/>
                <w:lang w:val="en-US"/>
              </w:rPr>
              <w:t xml:space="preserve">the </w:t>
            </w:r>
            <w:r w:rsidRPr="00F85B34">
              <w:rPr>
                <w:rFonts w:ascii="Times New Roman" w:hAnsi="Times New Roman" w:cs="Times New Roman"/>
                <w:sz w:val="20"/>
                <w:szCs w:val="20"/>
                <w:lang w:val="en-US"/>
              </w:rPr>
              <w:t>efficiency of entrepreneurial activity of organizations</w:t>
            </w:r>
            <w:r>
              <w:rPr>
                <w:rFonts w:ascii="Times New Roman" w:hAnsi="Times New Roman" w:cs="Times New Roman"/>
                <w:sz w:val="20"/>
                <w:szCs w:val="20"/>
                <w:lang w:val="en-US"/>
              </w:rPr>
              <w:t xml:space="preserve"> we </w:t>
            </w:r>
            <w:r w:rsidRPr="00F85B34">
              <w:rPr>
                <w:rFonts w:ascii="Times New Roman" w:hAnsi="Times New Roman" w:cs="Times New Roman"/>
                <w:sz w:val="20"/>
                <w:szCs w:val="20"/>
                <w:lang w:val="en-US"/>
              </w:rPr>
              <w:t xml:space="preserve">apply </w:t>
            </w:r>
            <w:r>
              <w:rPr>
                <w:rFonts w:ascii="Times New Roman" w:hAnsi="Times New Roman" w:cs="Times New Roman"/>
                <w:sz w:val="20"/>
                <w:szCs w:val="20"/>
                <w:lang w:val="en-US"/>
              </w:rPr>
              <w:t>a</w:t>
            </w:r>
            <w:r w:rsidRPr="00F85B34">
              <w:rPr>
                <w:rFonts w:ascii="Times New Roman" w:hAnsi="Times New Roman" w:cs="Times New Roman"/>
                <w:sz w:val="20"/>
                <w:szCs w:val="20"/>
                <w:lang w:val="en-US"/>
              </w:rPr>
              <w:t xml:space="preserve"> system of indexes, characterizing the level of the use of production resources: labor, floorspace, average annual cost of the combined assets, average annual cost of circulating assets, including supplies, average annual cost of own capital, production expenses, including financial expenses. As a quantitative result of activity of managing subject </w:t>
            </w:r>
            <w:r>
              <w:rPr>
                <w:rFonts w:ascii="Times New Roman" w:hAnsi="Times New Roman" w:cs="Times New Roman"/>
                <w:sz w:val="20"/>
                <w:szCs w:val="20"/>
                <w:lang w:val="en-US"/>
              </w:rPr>
              <w:t xml:space="preserve">we </w:t>
            </w:r>
            <w:r w:rsidRPr="00F85B34">
              <w:rPr>
                <w:rFonts w:ascii="Times New Roman" w:hAnsi="Times New Roman" w:cs="Times New Roman"/>
                <w:sz w:val="20"/>
                <w:szCs w:val="20"/>
                <w:lang w:val="en-US"/>
              </w:rPr>
              <w:t xml:space="preserve">use volume cost indexes, characterizing an effect: gross products are in current prices; profit yield from sales; gross revenue; income from sales; income to taxation; net income [1, 2, 3]. The high-quality indexes of efficiency of the use of production resources: gross products in current prices on an average annual worker; profit yield from sales on an average annual worker; gross. The analogical set of indexes of efficiency is applied, determining correlation of different types of effect and other resources. That determine an index, characterizing correlation of gross products in current prices and floorspace (in agricultural organizations </w:t>
            </w:r>
            <w:r>
              <w:rPr>
                <w:rFonts w:ascii="Times New Roman" w:hAnsi="Times New Roman" w:cs="Times New Roman"/>
                <w:sz w:val="20"/>
                <w:szCs w:val="20"/>
                <w:lang w:val="en-US"/>
              </w:rPr>
              <w:t xml:space="preserve">we </w:t>
            </w:r>
            <w:r w:rsidRPr="00F85B34">
              <w:rPr>
                <w:rFonts w:ascii="Times New Roman" w:hAnsi="Times New Roman" w:cs="Times New Roman"/>
                <w:sz w:val="20"/>
                <w:szCs w:val="20"/>
                <w:lang w:val="en-US"/>
              </w:rPr>
              <w:t xml:space="preserve">use 1 ga of </w:t>
            </w:r>
            <w:r>
              <w:rPr>
                <w:rFonts w:ascii="Times New Roman" w:hAnsi="Times New Roman" w:cs="Times New Roman"/>
                <w:sz w:val="20"/>
                <w:szCs w:val="20"/>
                <w:lang w:val="en-US"/>
              </w:rPr>
              <w:t>lands</w:t>
            </w:r>
            <w:r w:rsidRPr="00F85B34">
              <w:rPr>
                <w:rFonts w:ascii="Times New Roman" w:hAnsi="Times New Roman" w:cs="Times New Roman"/>
                <w:sz w:val="20"/>
                <w:szCs w:val="20"/>
                <w:lang w:val="en-US"/>
              </w:rPr>
              <w:t xml:space="preserve">, in point-of-sale – </w:t>
            </w:r>
            <w:smartTag w:uri="urn:schemas-microsoft-com:office:smarttags" w:element="metricconverter">
              <w:smartTagPr>
                <w:attr w:name="ProductID" w:val="2014 г"/>
              </w:smartTagPr>
              <w:r w:rsidRPr="00F85B34">
                <w:rPr>
                  <w:rFonts w:ascii="Times New Roman" w:hAnsi="Times New Roman" w:cs="Times New Roman"/>
                  <w:sz w:val="20"/>
                  <w:szCs w:val="20"/>
                  <w:lang w:val="en-US"/>
                </w:rPr>
                <w:t>1 m</w:t>
              </w:r>
              <w:r w:rsidRPr="00F85B34">
                <w:rPr>
                  <w:rFonts w:ascii="Times New Roman" w:hAnsi="Times New Roman" w:cs="Times New Roman"/>
                  <w:sz w:val="20"/>
                  <w:szCs w:val="20"/>
                  <w:vertAlign w:val="superscript"/>
                  <w:lang w:val="en-US"/>
                </w:rPr>
                <w:t>2</w:t>
              </w:r>
            </w:smartTag>
            <w:r w:rsidRPr="00F85B34">
              <w:rPr>
                <w:rFonts w:ascii="Times New Roman" w:hAnsi="Times New Roman" w:cs="Times New Roman"/>
                <w:sz w:val="20"/>
                <w:szCs w:val="20"/>
                <w:lang w:val="en-US"/>
              </w:rPr>
              <w:t xml:space="preserve"> of point-of-sale area, in industry – </w:t>
            </w:r>
            <w:smartTag w:uri="urn:schemas-microsoft-com:office:smarttags" w:element="metricconverter">
              <w:smartTagPr>
                <w:attr w:name="ProductID" w:val="2014 г"/>
              </w:smartTagPr>
              <w:r w:rsidRPr="00F85B34">
                <w:rPr>
                  <w:rFonts w:ascii="Times New Roman" w:hAnsi="Times New Roman" w:cs="Times New Roman"/>
                  <w:sz w:val="20"/>
                  <w:szCs w:val="20"/>
                  <w:lang w:val="en-US"/>
                </w:rPr>
                <w:t>1 m</w:t>
              </w:r>
              <w:r w:rsidRPr="00F85B34">
                <w:rPr>
                  <w:rFonts w:ascii="Times New Roman" w:hAnsi="Times New Roman" w:cs="Times New Roman"/>
                  <w:sz w:val="20"/>
                  <w:szCs w:val="20"/>
                  <w:vertAlign w:val="superscript"/>
                  <w:lang w:val="en-US"/>
                </w:rPr>
                <w:t>2</w:t>
              </w:r>
            </w:smartTag>
            <w:r w:rsidRPr="00F85B34">
              <w:rPr>
                <w:rFonts w:ascii="Times New Roman" w:hAnsi="Times New Roman" w:cs="Times New Roman"/>
                <w:sz w:val="20"/>
                <w:szCs w:val="20"/>
                <w:lang w:val="en-US"/>
              </w:rPr>
              <w:t xml:space="preserve"> of floorspace of factory, factory, workshop); correlation of profit yield from sales and floorspace; correlation of different. Then</w:t>
            </w:r>
            <w:r>
              <w:rPr>
                <w:rFonts w:ascii="Times New Roman" w:hAnsi="Times New Roman" w:cs="Times New Roman"/>
                <w:sz w:val="20"/>
                <w:szCs w:val="20"/>
                <w:lang w:val="en-US"/>
              </w:rPr>
              <w:t xml:space="preserve"> we </w:t>
            </w:r>
            <w:r w:rsidRPr="00F85B34">
              <w:rPr>
                <w:rFonts w:ascii="Times New Roman" w:hAnsi="Times New Roman" w:cs="Times New Roman"/>
                <w:sz w:val="20"/>
                <w:szCs w:val="20"/>
                <w:lang w:val="en-US"/>
              </w:rPr>
              <w:t xml:space="preserve">determine indexes, characterizing correlation of different types of effect and average annual cost of the combined assets, correlation of different types of effect and average annual cost of circulating assets, production supplies, property asset, production expenses, and financial expenses. In obedience to methodical positions of analysis of indexes, characterizing the results of activity of managing subjects, </w:t>
            </w:r>
            <w:r>
              <w:rPr>
                <w:rFonts w:ascii="Times New Roman" w:hAnsi="Times New Roman" w:cs="Times New Roman"/>
                <w:sz w:val="20"/>
                <w:szCs w:val="20"/>
                <w:lang w:val="en-US"/>
              </w:rPr>
              <w:t xml:space="preserve">we </w:t>
            </w:r>
            <w:r w:rsidRPr="00F85B34">
              <w:rPr>
                <w:rFonts w:ascii="Times New Roman" w:hAnsi="Times New Roman" w:cs="Times New Roman"/>
                <w:sz w:val="20"/>
                <w:szCs w:val="20"/>
                <w:lang w:val="en-US"/>
              </w:rPr>
              <w:t xml:space="preserve">probe the dynamics of indexes for the last 3 – 5 years with the purpose of exposure of it. Important in research of indexes and efficiency of entrepreneurial activity is the use of factor analysis, allowing defining a quantitative measure influence of factors on the change of analyzable index, to ground backlogs of increase of efficiency. Most acceptable in the analysis of influence of factors there is a reception of chain substitution on the dynamics of indexes of efficiency of </w:t>
            </w:r>
            <w:r>
              <w:rPr>
                <w:rFonts w:ascii="Times New Roman" w:hAnsi="Times New Roman" w:cs="Times New Roman"/>
                <w:sz w:val="20"/>
                <w:szCs w:val="20"/>
                <w:lang w:val="en-US"/>
              </w:rPr>
              <w:t>the use of production resources</w:t>
            </w: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Default="00D03823" w:rsidP="00373BF1">
            <w:pPr>
              <w:spacing w:after="0" w:line="240" w:lineRule="auto"/>
              <w:rPr>
                <w:rFonts w:ascii="Times New Roman" w:hAnsi="Times New Roman" w:cs="Times New Roman"/>
                <w:sz w:val="20"/>
                <w:szCs w:val="20"/>
                <w:lang w:val="en-US"/>
              </w:rPr>
            </w:pPr>
          </w:p>
          <w:p w:rsidR="00D03823" w:rsidRDefault="00D03823" w:rsidP="00373BF1">
            <w:pPr>
              <w:spacing w:after="0" w:line="240" w:lineRule="auto"/>
              <w:rPr>
                <w:rFonts w:ascii="Times New Roman" w:hAnsi="Times New Roman" w:cs="Times New Roman"/>
                <w:sz w:val="20"/>
                <w:szCs w:val="20"/>
                <w:lang w:val="en-US"/>
              </w:rPr>
            </w:pPr>
          </w:p>
          <w:p w:rsidR="00D03823"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p>
          <w:p w:rsidR="00D03823" w:rsidRPr="00F85B34" w:rsidRDefault="00D03823" w:rsidP="00373BF1">
            <w:pPr>
              <w:spacing w:after="0" w:line="240" w:lineRule="auto"/>
              <w:rPr>
                <w:rFonts w:ascii="Times New Roman" w:hAnsi="Times New Roman" w:cs="Times New Roman"/>
                <w:sz w:val="20"/>
                <w:szCs w:val="20"/>
                <w:lang w:val="en-US"/>
              </w:rPr>
            </w:pPr>
            <w:r w:rsidRPr="00F85B34">
              <w:rPr>
                <w:rFonts w:ascii="Times New Roman" w:hAnsi="Times New Roman" w:cs="Times New Roman"/>
                <w:sz w:val="20"/>
                <w:szCs w:val="20"/>
                <w:lang w:val="en-US"/>
              </w:rPr>
              <w:t>Keywords: METHOD OF ANALYSIS, INDEXES OF RES</w:t>
            </w:r>
            <w:r>
              <w:rPr>
                <w:rFonts w:ascii="Times New Roman" w:hAnsi="Times New Roman" w:cs="Times New Roman"/>
                <w:sz w:val="20"/>
                <w:szCs w:val="20"/>
                <w:lang w:val="en-US"/>
              </w:rPr>
              <w:t>OURCES</w:t>
            </w:r>
            <w:r w:rsidRPr="00F85B34">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F85B34">
              <w:rPr>
                <w:rFonts w:ascii="Times New Roman" w:hAnsi="Times New Roman" w:cs="Times New Roman"/>
                <w:sz w:val="20"/>
                <w:szCs w:val="20"/>
                <w:lang w:val="en-US"/>
              </w:rPr>
              <w:t>FINAN</w:t>
            </w:r>
            <w:r>
              <w:rPr>
                <w:rFonts w:ascii="Times New Roman" w:hAnsi="Times New Roman" w:cs="Times New Roman"/>
                <w:sz w:val="20"/>
                <w:szCs w:val="20"/>
                <w:lang w:val="en-US"/>
              </w:rPr>
              <w:t>CE</w:t>
            </w:r>
            <w:r w:rsidRPr="00F85B34">
              <w:rPr>
                <w:rFonts w:ascii="Times New Roman" w:hAnsi="Times New Roman" w:cs="Times New Roman"/>
                <w:sz w:val="20"/>
                <w:szCs w:val="20"/>
                <w:lang w:val="en-US"/>
              </w:rPr>
              <w:t xml:space="preserve"> RESULTS OF ACTIVITY, FACTOR ANALYSIS OF EFFICIENCY, ECONOMIC EFFICIENCY OF RESOURCES, BACKLOGS OF INCREASE OF EFFICIENCY</w:t>
            </w:r>
          </w:p>
        </w:tc>
      </w:tr>
    </w:tbl>
    <w:p w:rsidR="00D03823" w:rsidRDefault="00D03823" w:rsidP="00526E1F">
      <w:pPr>
        <w:spacing w:line="240" w:lineRule="auto"/>
        <w:rPr>
          <w:sz w:val="20"/>
          <w:szCs w:val="20"/>
          <w:lang w:val="en-US"/>
        </w:rPr>
      </w:pP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A748E8">
        <w:rPr>
          <w:sz w:val="28"/>
          <w:szCs w:val="28"/>
        </w:rPr>
        <w:t>Наиболее приемлемым в анализе влияния факторов на динамику показателей эффективности использования производственных ресурсов является прием цепной подстановки. Сущность</w:t>
      </w:r>
      <w:r>
        <w:rPr>
          <w:sz w:val="28"/>
          <w:szCs w:val="28"/>
        </w:rPr>
        <w:t xml:space="preserve"> приема цепной подстановки состоит в следующем. После определения фактической величины показателей эффективности в базисном и отчетном периодах, и подсчета абсолютного значения изменения отчетного показателя от базисного, исчисляют его расчетную (или условную) величину. Затем определяют количественную меру влияния факторов первого порядка на изменение показателя эффективности </w:t>
      </w:r>
      <w:r>
        <w:rPr>
          <w:color w:val="000000"/>
          <w:sz w:val="28"/>
          <w:szCs w:val="28"/>
        </w:rPr>
        <w:t xml:space="preserve">использования ресурса. Раскроем методику </w:t>
      </w:r>
      <w:r>
        <w:rPr>
          <w:sz w:val="28"/>
          <w:szCs w:val="28"/>
        </w:rPr>
        <w:t>определения количественной меры влияния факторов первого порядка на изменение показателя эффективности использования трудовых ресурсов как соотношения выручки от продаж и среднегодовой численности персонала.</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lang w:val="en-US"/>
        </w:rPr>
      </w:pPr>
      <w:r>
        <w:rPr>
          <w:sz w:val="28"/>
          <w:szCs w:val="28"/>
        </w:rPr>
        <w:t>Базисную фактическую величину этого показателя эффективности определим соотношением:</w:t>
      </w:r>
    </w:p>
    <w:p w:rsidR="00D03823" w:rsidRPr="003A3079"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lang w:val="en-US"/>
        </w:rPr>
      </w:pP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F85B34">
        <w:rPr>
          <w:sz w:val="28"/>
          <w:szCs w:val="28"/>
        </w:rPr>
        <w:fldChar w:fldCharType="begin"/>
      </w:r>
      <w:r w:rsidRPr="00F85B34">
        <w:rPr>
          <w:sz w:val="28"/>
          <w:szCs w:val="28"/>
        </w:rPr>
        <w:instrText xml:space="preserve"> QUOTE </w:instrText>
      </w:r>
      <w:r w:rsidRPr="00F85B3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6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84B4C&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284B4C&quot;&gt;&lt;m:oMathPara&gt;&lt;m:oMath&gt;&lt;m:r&gt;&lt;w:rPr&gt;&lt;w:rFonts w:ascii=&quot;Cambria Math&quot; w:h-ansi=&quot;Cambria Math&quot;/&gt;&lt;wx:font wx:val=&quot;Cambria Math&quot;/&gt;&lt;w:i/&gt;&lt;w:sz w:val=&quot;28&quot;/&gt;&lt;w:sz-cs w:val=&quot;28&quot;/&gt;&lt;/w:rPr&gt;&lt;m:t&gt;Р­ Р±Р°Р·.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Р°Р·РёСЃ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Р°Р·РёСЃ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F85B34">
        <w:rPr>
          <w:sz w:val="28"/>
          <w:szCs w:val="28"/>
        </w:rPr>
        <w:instrText xml:space="preserve"> </w:instrText>
      </w:r>
      <w:r w:rsidRPr="00F85B34">
        <w:rPr>
          <w:sz w:val="28"/>
          <w:szCs w:val="28"/>
        </w:rPr>
        <w:fldChar w:fldCharType="separate"/>
      </w:r>
      <w:r w:rsidRPr="00F85B34">
        <w:pict>
          <v:shape id="_x0000_i1026" type="#_x0000_t75" style="width:357.6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84B4C&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284B4C&quot;&gt;&lt;m:oMathPara&gt;&lt;m:oMath&gt;&lt;m:r&gt;&lt;w:rPr&gt;&lt;w:rFonts w:ascii=&quot;Cambria Math&quot; w:h-ansi=&quot;Cambria Math&quot;/&gt;&lt;wx:font wx:val=&quot;Cambria Math&quot;/&gt;&lt;w:i/&gt;&lt;w:sz w:val=&quot;28&quot;/&gt;&lt;w:sz-cs w:val=&quot;28&quot;/&gt;&lt;/w:rPr&gt;&lt;m:t&gt;Р­ Р±Р°Р·.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Р°Р·РёСЃ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Р°Р·РёСЃ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F85B34">
        <w:rPr>
          <w:sz w:val="28"/>
          <w:szCs w:val="28"/>
        </w:rPr>
        <w:fldChar w:fldCharType="end"/>
      </w:r>
      <w:r>
        <w:rPr>
          <w:sz w:val="28"/>
          <w:szCs w:val="28"/>
        </w:rPr>
        <w:t xml:space="preserve"> .                               (1)</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Pr>
          <w:sz w:val="28"/>
          <w:szCs w:val="28"/>
        </w:rPr>
        <w:t>Фактическую величину показателей в отчетном году определим соотношением:</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F85B34">
        <w:rPr>
          <w:sz w:val="28"/>
          <w:szCs w:val="28"/>
        </w:rPr>
        <w:fldChar w:fldCharType="begin"/>
      </w:r>
      <w:r w:rsidRPr="00F85B34">
        <w:rPr>
          <w:sz w:val="28"/>
          <w:szCs w:val="28"/>
        </w:rPr>
        <w:instrText xml:space="preserve"> QUOTE </w:instrText>
      </w:r>
      <w:r w:rsidRPr="00F85B34">
        <w:pict>
          <v:shape id="_x0000_i1027" type="#_x0000_t75" style="width:359.4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57DC4&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757DC4&quot;&gt;&lt;m:oMathPara&gt;&lt;m:oMath&gt;&lt;m:r&gt;&lt;w:rPr&gt;&lt;w:rFonts w:ascii=&quot;Cambria Math&quot; w:h-ansi=&quot;Cambria Math&quot;/&gt;&lt;wx:font wx:val=&quot;Cambria Math&quot;/&gt;&lt;w:i/&gt;&lt;w:sz w:val=&quot;28&quot;/&gt;&lt;w:sz-cs w:val=&quot;28&quot;/&gt;&lt;/w:rPr&gt;&lt;m:t&gt;Р­ РѕС‚С‡.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ѕС‚С‡РµС‚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ѕС‚С‡РµС‚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F85B34">
        <w:rPr>
          <w:sz w:val="28"/>
          <w:szCs w:val="28"/>
        </w:rPr>
        <w:instrText xml:space="preserve"> </w:instrText>
      </w:r>
      <w:r w:rsidRPr="00F85B34">
        <w:rPr>
          <w:sz w:val="28"/>
          <w:szCs w:val="28"/>
        </w:rPr>
        <w:fldChar w:fldCharType="separate"/>
      </w:r>
      <w:r w:rsidRPr="00F85B34">
        <w:pict>
          <v:shape id="_x0000_i1028" type="#_x0000_t75" style="width:359.4pt;height:33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57DC4&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757DC4&quot;&gt;&lt;m:oMathPara&gt;&lt;m:oMath&gt;&lt;m:r&gt;&lt;w:rPr&gt;&lt;w:rFonts w:ascii=&quot;Cambria Math&quot; w:h-ansi=&quot;Cambria Math&quot;/&gt;&lt;wx:font wx:val=&quot;Cambria Math&quot;/&gt;&lt;w:i/&gt;&lt;w:sz w:val=&quot;28&quot;/&gt;&lt;w:sz-cs w:val=&quot;28&quot;/&gt;&lt;/w:rPr&gt;&lt;m:t&gt;Р­ РѕС‚С‡.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ѕС‚С‡РµС‚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ѕС‚С‡РµС‚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F85B34">
        <w:rPr>
          <w:sz w:val="28"/>
          <w:szCs w:val="28"/>
        </w:rPr>
        <w:fldChar w:fldCharType="end"/>
      </w:r>
      <w:r>
        <w:rPr>
          <w:sz w:val="28"/>
          <w:szCs w:val="28"/>
        </w:rPr>
        <w:t xml:space="preserve"> .                               (2)</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Pr>
          <w:sz w:val="28"/>
          <w:szCs w:val="28"/>
        </w:rPr>
        <w:t>Расчетная величина показателя эффективности использования трудовых ресурсов равна:</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F85B34">
        <w:rPr>
          <w:sz w:val="28"/>
          <w:szCs w:val="28"/>
        </w:rPr>
        <w:fldChar w:fldCharType="begin"/>
      </w:r>
      <w:r w:rsidRPr="00F85B34">
        <w:rPr>
          <w:sz w:val="28"/>
          <w:szCs w:val="28"/>
        </w:rPr>
        <w:instrText xml:space="preserve"> QUOTE </w:instrText>
      </w:r>
      <w:r w:rsidRPr="00F85B34">
        <w:pict>
          <v:shape id="_x0000_i1029" type="#_x0000_t75" style="width:379.2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4369&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204369&quot;&gt;&lt;m:oMathPara&gt;&lt;m:oMath&gt;&lt;m:r&gt;&lt;w:rPr&gt;&lt;w:rFonts w:ascii=&quot;Cambria Math&quot; w:h-ansi=&quot;Cambria Math&quot;/&gt;&lt;wx:font wx:val=&quot;Cambria Math&quot;/&gt;&lt;w:i/&gt;&lt;w:sz w:val=&quot;28&quot;/&gt;&lt;w:sz-cs w:val=&quot;28&quot;/&gt;&lt;/w:rPr&gt;&lt;m:t&gt;Р­ СЂР°СЃС‡РµС‚.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Р°Р·РёСЃ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ѕС‚С‡РµС‚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F85B34">
        <w:rPr>
          <w:sz w:val="28"/>
          <w:szCs w:val="28"/>
        </w:rPr>
        <w:instrText xml:space="preserve"> </w:instrText>
      </w:r>
      <w:r w:rsidRPr="00F85B34">
        <w:rPr>
          <w:sz w:val="28"/>
          <w:szCs w:val="28"/>
        </w:rPr>
        <w:fldChar w:fldCharType="separate"/>
      </w:r>
      <w:r w:rsidRPr="00F85B34">
        <w:pict>
          <v:shape id="_x0000_i1030" type="#_x0000_t75" style="width:379.2pt;height:33.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4369&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204369&quot;&gt;&lt;m:oMathPara&gt;&lt;m:oMath&gt;&lt;m:r&gt;&lt;w:rPr&gt;&lt;w:rFonts w:ascii=&quot;Cambria Math&quot; w:h-ansi=&quot;Cambria Math&quot;/&gt;&lt;wx:font wx:val=&quot;Cambria Math&quot;/&gt;&lt;w:i/&gt;&lt;w:sz w:val=&quot;28&quot;/&gt;&lt;w:sz-cs w:val=&quot;28&quot;/&gt;&lt;/w:rPr&gt;&lt;m:t&gt;Р­ СЂР°СЃС‡РµС‚. = &lt;/m:t&gt;&lt;/m:r&gt;&lt;m:f&gt;&lt;m:fPr&gt;&lt;m:ctrlPr&gt;&lt;w:rPr&gt;&lt;w:rFonts w:ascii=&quot;Cambria Math&quot; w:h-ansi=&quot;Cambria Math&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Р’С‹СЂСѓС‡РєР° РѕС‚ РїСЂРѕРґР°Р¶ Р±Р°Р·РёСЃРЅР°СЏ&lt;/m:t&gt;&lt;/m:r&gt;&lt;/m:num&gt;&lt;m:den&gt;&lt;m:r&gt;&lt;w:rPr&gt;&lt;w:rFonts w:ascii=&quot;Cambria Math&quot; w:h-ansi=&quot;Cambria Math&quot;/&gt;&lt;wx:font wx:val=&quot;Cambria Math&quot;/&gt;&lt;w:i/&gt;&lt;w:sz w:val=&quot;28&quot;/&gt;&lt;w:sz-cs w:val=&quot;28&quot;/&gt;&lt;/w:rPr&gt;&lt;m:t&gt;РЎСЂРµРґРЅРµРіРѕРґРѕРІР°СЏ С‡РёСЃР»РµРЅРЅРѕСЃС‚СЊ РїРµСЂСЃРѕРЅР°Р»Р° РѕС‚С‡РµС‚РЅР°СЏ&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F85B34">
        <w:rPr>
          <w:sz w:val="28"/>
          <w:szCs w:val="28"/>
        </w:rPr>
        <w:fldChar w:fldCharType="end"/>
      </w:r>
      <w:r>
        <w:rPr>
          <w:sz w:val="28"/>
          <w:szCs w:val="28"/>
        </w:rPr>
        <w:t xml:space="preserve"> .                          (3)</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Pr>
          <w:sz w:val="28"/>
          <w:szCs w:val="28"/>
        </w:rPr>
        <w:t>Влияние среднегодовой численности персонала на эффективность его использования определим по формуле:</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F85B34">
        <w:rPr>
          <w:sz w:val="28"/>
          <w:szCs w:val="28"/>
        </w:rPr>
        <w:fldChar w:fldCharType="begin"/>
      </w:r>
      <w:r w:rsidRPr="00F85B34">
        <w:rPr>
          <w:sz w:val="28"/>
          <w:szCs w:val="28"/>
        </w:rPr>
        <w:instrText xml:space="preserve"> QUOTE </w:instrText>
      </w:r>
      <w:r w:rsidRPr="00F85B34">
        <w:pict>
          <v:shape id="_x0000_i1031"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A195C&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BA195C&quot;&gt;&lt;m:oMathPara&gt;&lt;m:oMath&gt;&lt;m:r&gt;&lt;w:rPr&gt;&lt;w:rFonts w:ascii=&quot;Cambria Math&quot; w:h-ansi=&quot;Cambria Math&quot;/&gt;&lt;wx:font wx:val=&quot;Cambria Math&quot;/&gt;&lt;w:i/&gt;&lt;w:sz w:val=&quot;28&quot;/&gt;&lt;w:sz-cs w:val=&quot;28&quot;/&gt;&lt;/w:rPr&gt;&lt;m:t&gt;В±в€†Р­ Р·Р° СЃС‡РµС‚ СЃСЂРµРґРЅ. С‡РёСЃР». РїРµСЂСЃРѕРЅР°Р»Р° = Р­ СЂР°СЃС‡РµС‚. -Р­ Р±Р°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F85B34">
        <w:rPr>
          <w:sz w:val="28"/>
          <w:szCs w:val="28"/>
        </w:rPr>
        <w:instrText xml:space="preserve"> </w:instrText>
      </w:r>
      <w:r w:rsidRPr="00F85B34">
        <w:rPr>
          <w:sz w:val="28"/>
          <w:szCs w:val="28"/>
        </w:rPr>
        <w:fldChar w:fldCharType="separate"/>
      </w:r>
      <w:r w:rsidRPr="00F85B34">
        <w:pict>
          <v:shape id="_x0000_i1032" type="#_x0000_t75" style="width:342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A195C&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BA195C&quot;&gt;&lt;m:oMathPara&gt;&lt;m:oMath&gt;&lt;m:r&gt;&lt;w:rPr&gt;&lt;w:rFonts w:ascii=&quot;Cambria Math&quot; w:h-ansi=&quot;Cambria Math&quot;/&gt;&lt;wx:font wx:val=&quot;Cambria Math&quot;/&gt;&lt;w:i/&gt;&lt;w:sz w:val=&quot;28&quot;/&gt;&lt;w:sz-cs w:val=&quot;28&quot;/&gt;&lt;/w:rPr&gt;&lt;m:t&gt;В±в€†Р­ Р·Р° СЃС‡РµС‚ СЃСЂРµРґРЅ. С‡РёСЃР». РїРµСЂСЃРѕРЅР°Р»Р° = Р­ СЂР°СЃС‡РµС‚. -Р­ Р±Р°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F85B34">
        <w:rPr>
          <w:sz w:val="28"/>
          <w:szCs w:val="28"/>
        </w:rPr>
        <w:fldChar w:fldCharType="end"/>
      </w:r>
      <w:r>
        <w:rPr>
          <w:sz w:val="28"/>
          <w:szCs w:val="28"/>
        </w:rPr>
        <w:t xml:space="preserve"> .            (4)</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Pr>
          <w:sz w:val="28"/>
          <w:szCs w:val="28"/>
        </w:rPr>
        <w:t>Влияние выручки на изменение эффективности использования персонала определим по формуле:</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sidRPr="00F85B34">
        <w:rPr>
          <w:sz w:val="28"/>
          <w:szCs w:val="28"/>
        </w:rPr>
        <w:fldChar w:fldCharType="begin"/>
      </w:r>
      <w:r w:rsidRPr="00F85B34">
        <w:rPr>
          <w:sz w:val="28"/>
          <w:szCs w:val="28"/>
        </w:rPr>
        <w:instrText xml:space="preserve"> QUOTE </w:instrText>
      </w:r>
      <w:r w:rsidRPr="00F85B34">
        <w:pict>
          <v:shape id="_x0000_i1033" type="#_x0000_t75" style="width:27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3095D&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43095D&quot;&gt;&lt;m:oMathPara&gt;&lt;m:oMath&gt;&lt;m:r&gt;&lt;w:rPr&gt;&lt;w:rFonts w:ascii=&quot;Cambria Math&quot; w:h-ansi=&quot;Cambria Math&quot;/&gt;&lt;wx:font wx:val=&quot;Cambria Math&quot;/&gt;&lt;w:i/&gt;&lt;w:sz w:val=&quot;28&quot;/&gt;&lt;w:sz-cs w:val=&quot;28&quot;/&gt;&lt;/w:rPr&gt;&lt;m:t&gt;В±в€†Р­ Р·Р° СЃС‡РµС‚ РІС‹СЂСѓС‡РєРё = Р­ РѕС‚С‡РµС‚. -Р­ СЂР°СЃС‡Рµ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F85B34">
        <w:rPr>
          <w:sz w:val="28"/>
          <w:szCs w:val="28"/>
        </w:rPr>
        <w:instrText xml:space="preserve"> </w:instrText>
      </w:r>
      <w:r w:rsidRPr="00F85B34">
        <w:rPr>
          <w:sz w:val="28"/>
          <w:szCs w:val="28"/>
        </w:rPr>
        <w:fldChar w:fldCharType="separate"/>
      </w:r>
      <w:r w:rsidRPr="00F85B34">
        <w:pict>
          <v:shape id="_x0000_i1034" type="#_x0000_t75" style="width:271.8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9&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B61E38&quot;/&gt;&lt;wsp:rsid wsp:val=&quot;00043E83&quot;/&gt;&lt;wsp:rsid wsp:val=&quot;00207FA5&quot;/&gt;&lt;wsp:rsid wsp:val=&quot;00245FB9&quot;/&gt;&lt;wsp:rsid wsp:val=&quot;002568A2&quot;/&gt;&lt;wsp:rsid wsp:val=&quot;002919B2&quot;/&gt;&lt;wsp:rsid wsp:val=&quot;002F3DE4&quot;/&gt;&lt;wsp:rsid wsp:val=&quot;00320424&quot;/&gt;&lt;wsp:rsid wsp:val=&quot;00320AF4&quot;/&gt;&lt;wsp:rsid wsp:val=&quot;003363B5&quot;/&gt;&lt;wsp:rsid wsp:val=&quot;003F3FD7&quot;/&gt;&lt;wsp:rsid wsp:val=&quot;0043095D&quot;/&gt;&lt;wsp:rsid wsp:val=&quot;00465B5F&quot;/&gt;&lt;wsp:rsid wsp:val=&quot;00472B91&quot;/&gt;&lt;wsp:rsid wsp:val=&quot;00491DA1&quot;/&gt;&lt;wsp:rsid wsp:val=&quot;004C7839&quot;/&gt;&lt;wsp:rsid wsp:val=&quot;00525B2C&quot;/&gt;&lt;wsp:rsid wsp:val=&quot;00526E1F&quot;/&gt;&lt;wsp:rsid wsp:val=&quot;00627679&quot;/&gt;&lt;wsp:rsid wsp:val=&quot;00727499&quot;/&gt;&lt;wsp:rsid wsp:val=&quot;00784670&quot;/&gt;&lt;wsp:rsid wsp:val=&quot;007A0CC2&quot;/&gt;&lt;wsp:rsid wsp:val=&quot;007B5356&quot;/&gt;&lt;wsp:rsid wsp:val=&quot;00814BAE&quot;/&gt;&lt;wsp:rsid wsp:val=&quot;00817974&quot;/&gt;&lt;wsp:rsid wsp:val=&quot;0087308D&quot;/&gt;&lt;wsp:rsid wsp:val=&quot;00895855&quot;/&gt;&lt;wsp:rsid wsp:val=&quot;008B0EAA&quot;/&gt;&lt;wsp:rsid wsp:val=&quot;008C4BDC&quot;/&gt;&lt;wsp:rsid wsp:val=&quot;009657CC&quot;/&gt;&lt;wsp:rsid wsp:val=&quot;009F3BF4&quot;/&gt;&lt;wsp:rsid wsp:val=&quot;00A5576C&quot;/&gt;&lt;wsp:rsid wsp:val=&quot;00A748E8&quot;/&gt;&lt;wsp:rsid wsp:val=&quot;00AE15F5&quot;/&gt;&lt;wsp:rsid wsp:val=&quot;00B61E38&quot;/&gt;&lt;wsp:rsid wsp:val=&quot;00B739F9&quot;/&gt;&lt;wsp:rsid wsp:val=&quot;00BB11B7&quot;/&gt;&lt;wsp:rsid wsp:val=&quot;00D272A2&quot;/&gt;&lt;wsp:rsid wsp:val=&quot;00DA4BA5&quot;/&gt;&lt;wsp:rsid wsp:val=&quot;00DC1D94&quot;/&gt;&lt;wsp:rsid wsp:val=&quot;00DC4483&quot;/&gt;&lt;wsp:rsid wsp:val=&quot;00E47EFC&quot;/&gt;&lt;wsp:rsid wsp:val=&quot;00E5258A&quot;/&gt;&lt;wsp:rsid wsp:val=&quot;00ED7EEE&quot;/&gt;&lt;wsp:rsid wsp:val=&quot;00EE65A4&quot;/&gt;&lt;wsp:rsid wsp:val=&quot;00F32587&quot;/&gt;&lt;wsp:rsid wsp:val=&quot;00F34498&quot;/&gt;&lt;wsp:rsid wsp:val=&quot;00F3494A&quot;/&gt;&lt;wsp:rsid wsp:val=&quot;00F85B34&quot;/&gt;&lt;wsp:rsid wsp:val=&quot;00FF0734&quot;/&gt;&lt;/wsp:rsids&gt;&lt;/w:docPr&gt;&lt;w:body&gt;&lt;w:p wsp:rsidR=&quot;00000000&quot; wsp:rsidRDefault=&quot;0043095D&quot;&gt;&lt;m:oMathPara&gt;&lt;m:oMath&gt;&lt;m:r&gt;&lt;w:rPr&gt;&lt;w:rFonts w:ascii=&quot;Cambria Math&quot; w:h-ansi=&quot;Cambria Math&quot;/&gt;&lt;wx:font wx:val=&quot;Cambria Math&quot;/&gt;&lt;w:i/&gt;&lt;w:sz w:val=&quot;28&quot;/&gt;&lt;w:sz-cs w:val=&quot;28&quot;/&gt;&lt;/w:rPr&gt;&lt;m:t&gt;В±в€†Р­ Р·Р° СЃС‡РµС‚ РІС‹СЂСѓС‡РєРё = Р­ РѕС‚С‡РµС‚. -Р­ СЂР°СЃС‡РµС‚.&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F85B34">
        <w:rPr>
          <w:sz w:val="28"/>
          <w:szCs w:val="28"/>
        </w:rPr>
        <w:fldChar w:fldCharType="end"/>
      </w:r>
      <w:r>
        <w:rPr>
          <w:sz w:val="28"/>
          <w:szCs w:val="28"/>
        </w:rPr>
        <w:t xml:space="preserve"> .                                 (5)</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sz w:val="28"/>
          <w:szCs w:val="28"/>
        </w:rPr>
      </w:pPr>
      <w:r>
        <w:rPr>
          <w:sz w:val="28"/>
          <w:szCs w:val="28"/>
        </w:rPr>
        <w:t>Проверка правильности расчетов определяется сопоставлением алгебраической суммы факторов и величины изменения показателя эффективности в отчетном году по сравнению с базисной величиной. Используем рассмотренные методические положения в анализе динамики ресурсов, основных результатов деятельности и эффективности ресурсов ООО «Кубань-Вино».</w:t>
      </w:r>
    </w:p>
    <w:p w:rsidR="00D03823" w:rsidRDefault="00D03823" w:rsidP="00472B91">
      <w:pPr>
        <w:pStyle w:val="msonormalbullet2gifbullet2gif"/>
        <w:widowControl w:val="0"/>
        <w:shd w:val="clear" w:color="auto" w:fill="FFFFFF"/>
        <w:spacing w:before="0" w:beforeAutospacing="0" w:after="0" w:afterAutospacing="0" w:line="360" w:lineRule="auto"/>
        <w:ind w:firstLine="720"/>
        <w:contextualSpacing/>
        <w:jc w:val="both"/>
        <w:rPr>
          <w:color w:val="000000"/>
          <w:sz w:val="28"/>
          <w:szCs w:val="28"/>
        </w:rPr>
      </w:pPr>
      <w:r>
        <w:rPr>
          <w:color w:val="000000"/>
          <w:sz w:val="28"/>
          <w:szCs w:val="28"/>
        </w:rPr>
        <w:t xml:space="preserve">Основное производство организации представлено цехами: </w:t>
      </w:r>
      <w:r>
        <w:rPr>
          <w:sz w:val="28"/>
          <w:szCs w:val="28"/>
        </w:rPr>
        <w:t>розлива, тихих вин, игристых вин и коньяка. Качество вин и коньяка осуществляют собственная лаборатория и отдел контроля качества. Вспомогательные и обслуживающие производства включают: хранение, ремонт, транспорт, энергетику и строительство, столовую, охранную службу.</w:t>
      </w: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lang w:eastAsia="en-US"/>
        </w:rPr>
      </w:pPr>
      <w:r>
        <w:rPr>
          <w:rFonts w:ascii="Times New Roman" w:hAnsi="Times New Roman" w:cs="Times New Roman"/>
          <w:sz w:val="28"/>
          <w:szCs w:val="28"/>
        </w:rPr>
        <w:t xml:space="preserve">Анализируя динамику показателей, характеризующих ресурсы и производственные затраты, отметим тенденцию роста в </w:t>
      </w:r>
      <w:smartTag w:uri="urn:schemas-microsoft-com:office:smarttags" w:element="metricconverter">
        <w:smartTagPr>
          <w:attr w:name="ProductID" w:val="2014 г"/>
        </w:smartTagPr>
        <w:r>
          <w:rPr>
            <w:rFonts w:ascii="Times New Roman" w:hAnsi="Times New Roman" w:cs="Times New Roman"/>
            <w:sz w:val="28"/>
            <w:szCs w:val="28"/>
          </w:rPr>
          <w:t>2014 г</w:t>
        </w:r>
      </w:smartTag>
      <w:r>
        <w:rPr>
          <w:rFonts w:ascii="Times New Roman" w:hAnsi="Times New Roman" w:cs="Times New Roman"/>
          <w:sz w:val="28"/>
          <w:szCs w:val="28"/>
        </w:rPr>
        <w:t>. по сравнению с 2012 – 2013 гг. (табл</w:t>
      </w:r>
      <w:r w:rsidRPr="00F3494A">
        <w:rPr>
          <w:rFonts w:ascii="Times New Roman" w:hAnsi="Times New Roman" w:cs="Times New Roman"/>
          <w:sz w:val="28"/>
          <w:szCs w:val="28"/>
        </w:rPr>
        <w:t>.</w:t>
      </w:r>
      <w:r>
        <w:rPr>
          <w:rFonts w:ascii="Times New Roman" w:hAnsi="Times New Roman" w:cs="Times New Roman"/>
          <w:sz w:val="28"/>
          <w:szCs w:val="28"/>
        </w:rPr>
        <w:t xml:space="preserve"> 1). </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Так, </w:t>
      </w:r>
      <w:r>
        <w:rPr>
          <w:rFonts w:ascii="Times New Roman" w:hAnsi="Times New Roman" w:cs="Times New Roman"/>
          <w:sz w:val="28"/>
          <w:szCs w:val="28"/>
          <w:lang w:eastAsia="en-US"/>
        </w:rPr>
        <w:t>среднегодовая численность работников</w:t>
      </w:r>
      <w:r>
        <w:rPr>
          <w:rFonts w:ascii="Times New Roman" w:hAnsi="Times New Roman" w:cs="Times New Roman"/>
          <w:sz w:val="28"/>
          <w:szCs w:val="28"/>
        </w:rPr>
        <w:t xml:space="preserve"> ООО «Кубань-Вино» за исследуемый период увеличилась на 29 – 15 человек или на 5,4 – 2,7 % соответственно. </w:t>
      </w:r>
      <w:r>
        <w:rPr>
          <w:rFonts w:ascii="Times New Roman" w:hAnsi="Times New Roman" w:cs="Times New Roman"/>
          <w:sz w:val="28"/>
          <w:szCs w:val="28"/>
          <w:lang w:eastAsia="en-US"/>
        </w:rPr>
        <w:t>Среднегодовая стоимость основных средств</w:t>
      </w:r>
      <w:r>
        <w:rPr>
          <w:rFonts w:ascii="Times New Roman" w:hAnsi="Times New Roman" w:cs="Times New Roman"/>
          <w:sz w:val="28"/>
          <w:szCs w:val="28"/>
        </w:rPr>
        <w:t xml:space="preserve"> возросла на 50298 – 37709 </w:t>
      </w:r>
      <w:r>
        <w:rPr>
          <w:rFonts w:ascii="Times New Roman" w:hAnsi="Times New Roman" w:cs="Times New Roman"/>
          <w:sz w:val="28"/>
          <w:szCs w:val="28"/>
          <w:lang w:eastAsia="en-US"/>
        </w:rPr>
        <w:t xml:space="preserve">тыс. руб. или на 30,4 – 21,2 %. Среднегодовая стоимость </w:t>
      </w:r>
      <w:r>
        <w:rPr>
          <w:rFonts w:ascii="Times New Roman" w:hAnsi="Times New Roman" w:cs="Times New Roman"/>
          <w:sz w:val="28"/>
          <w:szCs w:val="28"/>
        </w:rPr>
        <w:t xml:space="preserve">производственных запасов возросла на 59539 – 62768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17,7 – 18,8 % соответственно.</w:t>
      </w:r>
      <w:r>
        <w:rPr>
          <w:rFonts w:ascii="Times New Roman" w:hAnsi="Times New Roman" w:cs="Times New Roman"/>
          <w:sz w:val="28"/>
          <w:szCs w:val="28"/>
          <w:lang w:eastAsia="en-US"/>
        </w:rPr>
        <w:t xml:space="preserve"> </w:t>
      </w: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rPr>
        <w:t>Таблица 1 – Ресурсы и производственные затраты ООО «Кубань-Вино»</w:t>
      </w: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rPr>
      </w:pPr>
    </w:p>
    <w:tbl>
      <w:tblPr>
        <w:tblW w:w="9645" w:type="dxa"/>
        <w:tblInd w:w="40" w:type="dxa"/>
        <w:tblLayout w:type="fixed"/>
        <w:tblCellMar>
          <w:left w:w="40" w:type="dxa"/>
          <w:right w:w="40" w:type="dxa"/>
        </w:tblCellMar>
        <w:tblLook w:val="00A0"/>
      </w:tblPr>
      <w:tblGrid>
        <w:gridCol w:w="3403"/>
        <w:gridCol w:w="1040"/>
        <w:gridCol w:w="1041"/>
        <w:gridCol w:w="1041"/>
        <w:gridCol w:w="851"/>
        <w:gridCol w:w="709"/>
        <w:gridCol w:w="852"/>
        <w:gridCol w:w="708"/>
      </w:tblGrid>
      <w:tr w:rsidR="00D03823" w:rsidTr="00472B91">
        <w:trPr>
          <w:trHeight w:hRule="exact" w:val="602"/>
        </w:trPr>
        <w:tc>
          <w:tcPr>
            <w:tcW w:w="3402"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Показатель</w:t>
            </w:r>
          </w:p>
        </w:tc>
        <w:tc>
          <w:tcPr>
            <w:tcW w:w="3119"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Год</w:t>
            </w:r>
          </w:p>
        </w:tc>
        <w:tc>
          <w:tcPr>
            <w:tcW w:w="3118"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Изменение (+,–) в 2014 г. по сравнению с</w:t>
            </w:r>
          </w:p>
        </w:tc>
      </w:tr>
      <w:tr w:rsidR="00D03823" w:rsidTr="00472B91">
        <w:trPr>
          <w:trHeight w:hRule="exact" w:val="357"/>
        </w:trPr>
        <w:tc>
          <w:tcPr>
            <w:tcW w:w="3402" w:type="dxa"/>
            <w:vMerge/>
            <w:tcBorders>
              <w:top w:val="single" w:sz="6" w:space="0" w:color="auto"/>
              <w:left w:val="single" w:sz="6" w:space="0" w:color="auto"/>
              <w:bottom w:val="single" w:sz="6" w:space="0" w:color="auto"/>
              <w:right w:val="single" w:sz="6"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3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2012</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2013</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2014</w:t>
            </w:r>
          </w:p>
        </w:tc>
        <w:tc>
          <w:tcPr>
            <w:tcW w:w="1559" w:type="dxa"/>
            <w:gridSpan w:val="2"/>
            <w:tcBorders>
              <w:top w:val="single" w:sz="6"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2012 г.</w:t>
            </w:r>
          </w:p>
        </w:tc>
        <w:tc>
          <w:tcPr>
            <w:tcW w:w="155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2013 г.</w:t>
            </w:r>
          </w:p>
        </w:tc>
      </w:tr>
      <w:tr w:rsidR="00D03823" w:rsidTr="00472B91">
        <w:trPr>
          <w:trHeight w:hRule="exact" w:val="971"/>
        </w:trPr>
        <w:tc>
          <w:tcPr>
            <w:tcW w:w="3402" w:type="dxa"/>
            <w:vMerge/>
            <w:tcBorders>
              <w:top w:val="single" w:sz="6" w:space="0" w:color="auto"/>
              <w:left w:val="single" w:sz="6" w:space="0" w:color="auto"/>
              <w:bottom w:val="single" w:sz="6" w:space="0" w:color="auto"/>
              <w:right w:val="single" w:sz="6"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абсолютная величина</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абсолютная величина</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r w:rsidR="00D03823" w:rsidTr="00472B91">
        <w:trPr>
          <w:trHeight w:hRule="exact" w:val="658"/>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rPr>
              <w:br w:type="page"/>
            </w:r>
            <w:r>
              <w:rPr>
                <w:rFonts w:ascii="Times New Roman" w:hAnsi="Times New Roman" w:cs="Times New Roman"/>
                <w:sz w:val="24"/>
                <w:szCs w:val="24"/>
                <w:lang w:eastAsia="en-US"/>
              </w:rPr>
              <w:t>Среднегодовая численность работников, чел.</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536</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550</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565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w:t>
            </w:r>
          </w:p>
        </w:tc>
      </w:tr>
      <w:tr w:rsidR="00D03823" w:rsidTr="00472B91">
        <w:trPr>
          <w:trHeight w:hRule="exact" w:val="568"/>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из них занятых в цехах производства вина и коньяка</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290</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293</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297</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w:t>
            </w:r>
          </w:p>
        </w:tc>
      </w:tr>
      <w:tr w:rsidR="00D03823" w:rsidTr="00472B91">
        <w:trPr>
          <w:trHeight w:hRule="exact" w:val="578"/>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Среднегодовая стоимость основных средств,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165387</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177976</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215685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50298</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30,4</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37709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21,2</w:t>
            </w:r>
          </w:p>
        </w:tc>
      </w:tr>
      <w:tr w:rsidR="00D03823" w:rsidTr="00472B91">
        <w:trPr>
          <w:trHeight w:hRule="exact" w:val="847"/>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Среднегодовая стоимость оборотных активов - всего,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783065</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896634</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1163318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380253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266684</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29,7</w:t>
            </w:r>
          </w:p>
        </w:tc>
      </w:tr>
      <w:tr w:rsidR="00D03823" w:rsidTr="00472B91">
        <w:trPr>
          <w:trHeight w:hRule="exact" w:val="302"/>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в том числе: запасов</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336855</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333626</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396394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59539</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62768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18,8</w:t>
            </w:r>
          </w:p>
        </w:tc>
      </w:tr>
      <w:tr w:rsidR="00D03823" w:rsidTr="00472B91">
        <w:trPr>
          <w:trHeight w:hRule="exact" w:val="568"/>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Среднегодовая стоимость всех активов,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992597</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1127140</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1456621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464024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46,7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329481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29,2</w:t>
            </w:r>
          </w:p>
        </w:tc>
      </w:tr>
      <w:tr w:rsidR="00D03823" w:rsidTr="00472B91">
        <w:trPr>
          <w:trHeight w:hRule="exact" w:val="842"/>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Среднегодовая величина собственного капитала,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139857</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200272</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292221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152364</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108,9</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91949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45,9</w:t>
            </w:r>
          </w:p>
        </w:tc>
      </w:tr>
      <w:tr w:rsidR="00D03823" w:rsidTr="00472B91">
        <w:trPr>
          <w:trHeight w:hRule="exact" w:val="694"/>
        </w:trPr>
        <w:tc>
          <w:tcPr>
            <w:tcW w:w="3402"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Производственные затраты -всего,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1385944</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1456254</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1796721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410777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340467</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23,4</w:t>
            </w:r>
          </w:p>
        </w:tc>
      </w:tr>
      <w:tr w:rsidR="00D03823" w:rsidTr="00472B91">
        <w:trPr>
          <w:trHeight w:val="400"/>
        </w:trPr>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 том числе: материальные </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912673</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886475</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1161316</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248643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27,2</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274841</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31,0</w:t>
            </w:r>
          </w:p>
        </w:tc>
      </w:tr>
      <w:tr w:rsidR="00D03823" w:rsidTr="00472B91">
        <w:trPr>
          <w:trHeight w:val="298"/>
        </w:trPr>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расходы на оплату труда</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116737</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131816</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195694</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78957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67,6</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63878</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48,5</w:t>
            </w:r>
          </w:p>
        </w:tc>
      </w:tr>
      <w:tr w:rsidR="00D03823" w:rsidTr="00472B91">
        <w:trPr>
          <w:trHeight w:val="687"/>
        </w:trPr>
        <w:tc>
          <w:tcPr>
            <w:tcW w:w="3402" w:type="dxa"/>
            <w:tcBorders>
              <w:top w:val="single" w:sz="6" w:space="0" w:color="auto"/>
              <w:left w:val="single" w:sz="6" w:space="0" w:color="auto"/>
              <w:bottom w:val="single" w:sz="4"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отчисления на социальные нужды</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29185</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39333</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49635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20450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70,1</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10302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26,2</w:t>
            </w:r>
          </w:p>
        </w:tc>
      </w:tr>
      <w:tr w:rsidR="00D03823" w:rsidTr="00472B91">
        <w:trPr>
          <w:trHeight w:val="872"/>
        </w:trPr>
        <w:tc>
          <w:tcPr>
            <w:tcW w:w="3402" w:type="dxa"/>
            <w:tcBorders>
              <w:top w:val="single" w:sz="4" w:space="0" w:color="auto"/>
              <w:left w:val="single" w:sz="6" w:space="0" w:color="auto"/>
              <w:bottom w:val="single" w:sz="4"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Годовая оплата труда среднегодового работника,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231,6</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239,7</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346,3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114,7</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106,6</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44,5</w:t>
            </w:r>
          </w:p>
        </w:tc>
      </w:tr>
      <w:tr w:rsidR="00D03823" w:rsidTr="00472B91">
        <w:trPr>
          <w:trHeight w:val="701"/>
        </w:trPr>
        <w:tc>
          <w:tcPr>
            <w:tcW w:w="3402" w:type="dxa"/>
            <w:tcBorders>
              <w:top w:val="single" w:sz="4" w:space="0" w:color="auto"/>
              <w:left w:val="single" w:sz="6" w:space="0" w:color="auto"/>
              <w:bottom w:val="single" w:sz="4"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Среднемесячная оплата труда работника, тыс. руб.</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19,3</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20,0</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28,9</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9,6</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49,7</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8,9</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44,5</w:t>
            </w:r>
          </w:p>
        </w:tc>
      </w:tr>
    </w:tbl>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lang w:eastAsia="en-US"/>
        </w:rPr>
        <w:t xml:space="preserve">Среднегодовая стоимость всех активов </w:t>
      </w:r>
      <w:r>
        <w:rPr>
          <w:rFonts w:ascii="Times New Roman" w:hAnsi="Times New Roman" w:cs="Times New Roman"/>
          <w:sz w:val="28"/>
          <w:szCs w:val="28"/>
        </w:rPr>
        <w:t xml:space="preserve">увеличилась на 464024 – 329481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46,7 – 29,2 %, а </w:t>
      </w:r>
      <w:r>
        <w:rPr>
          <w:rFonts w:ascii="Times New Roman" w:hAnsi="Times New Roman" w:cs="Times New Roman"/>
          <w:sz w:val="28"/>
          <w:szCs w:val="28"/>
          <w:lang w:eastAsia="en-US"/>
        </w:rPr>
        <w:t xml:space="preserve">среднегодовая величина собственного капитала </w:t>
      </w:r>
      <w:r>
        <w:rPr>
          <w:rFonts w:ascii="Times New Roman" w:hAnsi="Times New Roman" w:cs="Times New Roman"/>
          <w:sz w:val="28"/>
          <w:szCs w:val="28"/>
        </w:rPr>
        <w:t xml:space="preserve">возросла на 152364 – 91949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или на 108,9 – 45,9 % соответственно. Рост </w:t>
      </w:r>
      <w:r>
        <w:rPr>
          <w:rFonts w:ascii="Times New Roman" w:hAnsi="Times New Roman" w:cs="Times New Roman"/>
          <w:sz w:val="28"/>
          <w:szCs w:val="28"/>
          <w:lang w:eastAsia="en-US"/>
        </w:rPr>
        <w:t xml:space="preserve">стоимости ресурсов надо рассматривать как позитивную тенденцию, укрепляющую </w:t>
      </w:r>
      <w:r>
        <w:rPr>
          <w:rFonts w:ascii="Times New Roman" w:hAnsi="Times New Roman" w:cs="Times New Roman"/>
          <w:sz w:val="28"/>
        </w:rPr>
        <w:t>финансовое состояние</w:t>
      </w:r>
      <w:r>
        <w:rPr>
          <w:rFonts w:ascii="Times New Roman" w:hAnsi="Times New Roman" w:cs="Times New Roman"/>
          <w:sz w:val="28"/>
          <w:szCs w:val="28"/>
        </w:rPr>
        <w:t xml:space="preserve"> ООО «Кубань-Вино».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Анализ динамики производственных затрат также характеризуется тенденцией роста в 2014 г. по сравнению с 2012 г. на 410777</w:t>
      </w:r>
      <w:r>
        <w:rPr>
          <w:rFonts w:ascii="Times New Roman" w:hAnsi="Times New Roman" w:cs="Times New Roman"/>
          <w:sz w:val="28"/>
          <w:szCs w:val="28"/>
          <w:lang w:eastAsia="en-US"/>
        </w:rPr>
        <w:t xml:space="preserve"> тыс. руб.</w:t>
      </w:r>
      <w:r>
        <w:rPr>
          <w:rFonts w:ascii="Times New Roman" w:hAnsi="Times New Roman" w:cs="Times New Roman"/>
          <w:sz w:val="28"/>
          <w:szCs w:val="28"/>
        </w:rPr>
        <w:t xml:space="preserve"> или на 29,6 %, в сравнении с 2013 г. затраты увеличились на 340467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23,4%. Материальные затраты как основная составляющая производственных затрат увеличилась за этот период на 248643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27,2 % и на 274841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31 % соответственно. Главным фактором роста </w:t>
      </w:r>
      <w:r>
        <w:rPr>
          <w:rFonts w:ascii="Times New Roman" w:hAnsi="Times New Roman" w:cs="Times New Roman"/>
          <w:sz w:val="28"/>
          <w:szCs w:val="28"/>
          <w:lang w:eastAsia="en-US"/>
        </w:rPr>
        <w:t xml:space="preserve">стоимости </w:t>
      </w:r>
      <w:r>
        <w:rPr>
          <w:rFonts w:ascii="Times New Roman" w:hAnsi="Times New Roman" w:cs="Times New Roman"/>
          <w:sz w:val="28"/>
          <w:szCs w:val="28"/>
        </w:rPr>
        <w:t>материальных затрат был ценовой, обусловленный инфляцией, а также повышение себестоимости сырья, увеличение объемов производства продукции.</w:t>
      </w: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Заметно увеличились расходы на оплату труда работников: в 2014 г. по сравнению с 2012 – 2013 гг. затраты возросли на 78957 – 63878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67,6 – 48,5 % соответственно. Отчисления на социальные нужды возросли с 29185 до 49635</w:t>
      </w:r>
      <w:r>
        <w:rPr>
          <w:rFonts w:ascii="Times New Roman" w:hAnsi="Times New Roman" w:cs="Times New Roman"/>
          <w:sz w:val="28"/>
          <w:szCs w:val="28"/>
          <w:lang w:eastAsia="en-US"/>
        </w:rPr>
        <w:t xml:space="preserve"> тыс. руб.</w:t>
      </w:r>
      <w:r>
        <w:rPr>
          <w:rFonts w:ascii="Times New Roman" w:hAnsi="Times New Roman" w:cs="Times New Roman"/>
          <w:sz w:val="28"/>
          <w:szCs w:val="28"/>
        </w:rPr>
        <w:t xml:space="preserve"> или на 70,1 – 26,2 %. Годовая оплата труда</w:t>
      </w:r>
      <w:r>
        <w:rPr>
          <w:rFonts w:ascii="Times New Roman" w:hAnsi="Times New Roman" w:cs="Times New Roman"/>
          <w:sz w:val="28"/>
          <w:szCs w:val="28"/>
          <w:lang w:eastAsia="en-US"/>
        </w:rPr>
        <w:t xml:space="preserve"> среднегодового работника</w:t>
      </w:r>
      <w:r>
        <w:rPr>
          <w:rFonts w:ascii="Times New Roman" w:hAnsi="Times New Roman" w:cs="Times New Roman"/>
          <w:sz w:val="28"/>
          <w:szCs w:val="28"/>
        </w:rPr>
        <w:t xml:space="preserve"> ООО «Кубань-Вино» увеличилась за этот период с 231,6 до 346,3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49,5 – 44,5 %, а среднемесячная оплата возросла с 19,3 до 28,9 </w:t>
      </w:r>
      <w:r>
        <w:rPr>
          <w:rFonts w:ascii="Times New Roman" w:hAnsi="Times New Roman" w:cs="Times New Roman"/>
          <w:sz w:val="28"/>
          <w:szCs w:val="28"/>
          <w:lang w:eastAsia="en-US"/>
        </w:rPr>
        <w:t xml:space="preserve">тыс. руб., что позитивно </w:t>
      </w:r>
      <w:r>
        <w:rPr>
          <w:rFonts w:ascii="Times New Roman" w:hAnsi="Times New Roman" w:cs="Times New Roman"/>
          <w:sz w:val="28"/>
          <w:szCs w:val="28"/>
        </w:rPr>
        <w:t>характеризует социальную политику организации.</w:t>
      </w: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основных результатов деятельности (табл</w:t>
      </w:r>
      <w:r w:rsidRPr="00F3494A">
        <w:rPr>
          <w:rFonts w:ascii="Times New Roman" w:hAnsi="Times New Roman" w:cs="Times New Roman"/>
          <w:sz w:val="28"/>
          <w:szCs w:val="28"/>
        </w:rPr>
        <w:t>.</w:t>
      </w:r>
      <w:r>
        <w:rPr>
          <w:rFonts w:ascii="Times New Roman" w:hAnsi="Times New Roman" w:cs="Times New Roman"/>
          <w:sz w:val="28"/>
          <w:szCs w:val="28"/>
        </w:rPr>
        <w:t xml:space="preserve"> 2) показал, что их динамика характеризуется тенденцией значительного роста в 2014 г. по сравнению с 2012 – 2013 гг. Так, выручка увеличилась до 2105217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540120 – 408156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(на 34,5 – 24,1 %) соответственно. Валовая прибыль достигла 899599 </w:t>
      </w:r>
      <w:r>
        <w:rPr>
          <w:rFonts w:ascii="Times New Roman" w:hAnsi="Times New Roman" w:cs="Times New Roman"/>
          <w:sz w:val="28"/>
          <w:szCs w:val="28"/>
          <w:lang w:eastAsia="en-US"/>
        </w:rPr>
        <w:t xml:space="preserve">тыс. руб. и </w:t>
      </w:r>
      <w:r>
        <w:rPr>
          <w:rFonts w:ascii="Times New Roman" w:hAnsi="Times New Roman" w:cs="Times New Roman"/>
          <w:sz w:val="28"/>
          <w:szCs w:val="28"/>
        </w:rPr>
        <w:t xml:space="preserve">увеличилась на 367007 – 255022 </w:t>
      </w:r>
      <w:r>
        <w:rPr>
          <w:rFonts w:ascii="Times New Roman" w:hAnsi="Times New Roman" w:cs="Times New Roman"/>
          <w:sz w:val="28"/>
          <w:szCs w:val="28"/>
          <w:lang w:eastAsia="en-US"/>
        </w:rPr>
        <w:t>тыс. руб. (на 68,9 – 39,6 %)</w:t>
      </w:r>
      <w:r>
        <w:rPr>
          <w:rFonts w:ascii="Times New Roman" w:hAnsi="Times New Roman" w:cs="Times New Roman"/>
          <w:sz w:val="28"/>
          <w:szCs w:val="28"/>
        </w:rPr>
        <w:t xml:space="preserve"> соответственно. Прибыль от продаж в 2014 г. по сравнению с 2012 – 2013 гг. возросла на 114861 – 102719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44,2 – 37,8 %, и была равна 374650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w:t>
      </w: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lang w:val="en-US"/>
        </w:rPr>
      </w:pPr>
    </w:p>
    <w:p w:rsidR="00D03823"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lang w:val="en-US"/>
        </w:rPr>
      </w:pPr>
    </w:p>
    <w:p w:rsidR="00D03823" w:rsidRPr="00A0373E" w:rsidRDefault="00D03823" w:rsidP="00472B91">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2 – Основные результаты деятельности ООО «Кубань-Вино»</w:t>
      </w:r>
    </w:p>
    <w:p w:rsidR="00D03823" w:rsidRDefault="00D03823" w:rsidP="00472B91">
      <w:pPr>
        <w:widowControl w:val="0"/>
        <w:autoSpaceDE w:val="0"/>
        <w:autoSpaceDN w:val="0"/>
        <w:adjustRightInd w:val="0"/>
        <w:spacing w:after="0" w:line="240" w:lineRule="auto"/>
        <w:jc w:val="both"/>
        <w:rPr>
          <w:rFonts w:ascii="Times New Roman" w:hAnsi="Times New Roman" w:cs="Times New Roman"/>
          <w:sz w:val="28"/>
          <w:szCs w:val="28"/>
        </w:rPr>
      </w:pPr>
    </w:p>
    <w:tbl>
      <w:tblPr>
        <w:tblW w:w="9930" w:type="dxa"/>
        <w:tblInd w:w="40" w:type="dxa"/>
        <w:tblLayout w:type="fixed"/>
        <w:tblCellMar>
          <w:left w:w="40" w:type="dxa"/>
          <w:right w:w="40" w:type="dxa"/>
        </w:tblCellMar>
        <w:tblLook w:val="00A0"/>
      </w:tblPr>
      <w:tblGrid>
        <w:gridCol w:w="3260"/>
        <w:gridCol w:w="1040"/>
        <w:gridCol w:w="1041"/>
        <w:gridCol w:w="1041"/>
        <w:gridCol w:w="887"/>
        <w:gridCol w:w="887"/>
        <w:gridCol w:w="887"/>
        <w:gridCol w:w="887"/>
      </w:tblGrid>
      <w:tr w:rsidR="00D03823" w:rsidTr="00A748E8">
        <w:trPr>
          <w:trHeight w:hRule="exact" w:val="590"/>
        </w:trPr>
        <w:tc>
          <w:tcPr>
            <w:tcW w:w="3260"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Показатель</w:t>
            </w:r>
          </w:p>
        </w:tc>
        <w:tc>
          <w:tcPr>
            <w:tcW w:w="3122" w:type="dxa"/>
            <w:gridSpan w:val="3"/>
            <w:tcBorders>
              <w:top w:val="single" w:sz="6" w:space="0" w:color="auto"/>
              <w:left w:val="single" w:sz="6" w:space="0" w:color="auto"/>
              <w:bottom w:val="single" w:sz="6"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Год</w:t>
            </w:r>
          </w:p>
        </w:tc>
        <w:tc>
          <w:tcPr>
            <w:tcW w:w="3548" w:type="dxa"/>
            <w:gridSpan w:val="4"/>
            <w:tcBorders>
              <w:top w:val="single" w:sz="6" w:space="0" w:color="auto"/>
              <w:left w:val="single" w:sz="4" w:space="0" w:color="auto"/>
              <w:bottom w:val="single" w:sz="4" w:space="0" w:color="auto"/>
              <w:right w:val="single" w:sz="6" w:space="0" w:color="auto"/>
            </w:tcBorders>
            <w:shd w:val="clear" w:color="auto" w:fill="FFFFFF"/>
            <w:vAlign w:val="center"/>
          </w:tcPr>
          <w:p w:rsidR="00D03823" w:rsidRDefault="00D03823">
            <w:pPr>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Изменение (+,–) в 2014 г. по сравнению с</w:t>
            </w:r>
          </w:p>
        </w:tc>
      </w:tr>
      <w:tr w:rsidR="00D03823" w:rsidTr="00A748E8">
        <w:trPr>
          <w:trHeight w:hRule="exact" w:val="256"/>
        </w:trPr>
        <w:tc>
          <w:tcPr>
            <w:tcW w:w="3260" w:type="dxa"/>
            <w:vMerge/>
            <w:tcBorders>
              <w:top w:val="single" w:sz="6" w:space="0" w:color="auto"/>
              <w:left w:val="single" w:sz="6" w:space="0" w:color="auto"/>
              <w:bottom w:val="single" w:sz="6" w:space="0" w:color="auto"/>
              <w:right w:val="single" w:sz="6"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2012</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2013</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2014</w:t>
            </w:r>
          </w:p>
        </w:tc>
        <w:tc>
          <w:tcPr>
            <w:tcW w:w="17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2012 г.</w:t>
            </w:r>
          </w:p>
        </w:tc>
        <w:tc>
          <w:tcPr>
            <w:tcW w:w="17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center"/>
              <w:rPr>
                <w:rFonts w:ascii="Times New Roman" w:hAnsi="Times New Roman" w:cs="Times New Roman"/>
                <w:sz w:val="24"/>
                <w:szCs w:val="24"/>
                <w:lang w:eastAsia="en-US"/>
              </w:rPr>
            </w:pPr>
            <w:r>
              <w:rPr>
                <w:rFonts w:ascii="Times New Roman" w:hAnsi="Times New Roman" w:cs="Times New Roman"/>
                <w:sz w:val="24"/>
                <w:szCs w:val="24"/>
                <w:lang w:eastAsia="en-US"/>
              </w:rPr>
              <w:t>2013 г.</w:t>
            </w:r>
          </w:p>
        </w:tc>
      </w:tr>
      <w:tr w:rsidR="00D03823" w:rsidTr="00A748E8">
        <w:trPr>
          <w:trHeight w:hRule="exact" w:val="1118"/>
        </w:trPr>
        <w:tc>
          <w:tcPr>
            <w:tcW w:w="3260" w:type="dxa"/>
            <w:vMerge/>
            <w:tcBorders>
              <w:top w:val="single" w:sz="6" w:space="0" w:color="auto"/>
              <w:left w:val="single" w:sz="6" w:space="0" w:color="auto"/>
              <w:bottom w:val="single" w:sz="6" w:space="0" w:color="auto"/>
              <w:right w:val="single" w:sz="6"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1"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1041" w:type="dxa"/>
            <w:vMerge/>
            <w:tcBorders>
              <w:top w:val="single" w:sz="4" w:space="0" w:color="auto"/>
              <w:left w:val="single" w:sz="4" w:space="0" w:color="auto"/>
              <w:bottom w:val="single" w:sz="4" w:space="0" w:color="auto"/>
              <w:right w:val="single" w:sz="4" w:space="0" w:color="auto"/>
            </w:tcBorders>
            <w:vAlign w:val="center"/>
          </w:tcPr>
          <w:p w:rsidR="00D03823" w:rsidRDefault="00D03823">
            <w:pPr>
              <w:suppressAutoHyphens w:val="0"/>
              <w:spacing w:after="0" w:line="240" w:lineRule="auto"/>
              <w:rPr>
                <w:rFonts w:ascii="Times New Roman" w:hAnsi="Times New Roman" w:cs="Times New Roman"/>
                <w:sz w:val="24"/>
                <w:szCs w:val="24"/>
                <w:lang w:eastAsia="en-US"/>
              </w:rPr>
            </w:pP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ind w:left="-40" w:right="-40"/>
              <w:jc w:val="center"/>
              <w:rPr>
                <w:rFonts w:ascii="Times New Roman" w:hAnsi="Times New Roman" w:cs="Times New Roman"/>
                <w:sz w:val="24"/>
                <w:szCs w:val="24"/>
                <w:lang w:eastAsia="en-US"/>
              </w:rPr>
            </w:pPr>
            <w:r>
              <w:rPr>
                <w:rFonts w:ascii="Times New Roman" w:hAnsi="Times New Roman" w:cs="Times New Roman"/>
                <w:sz w:val="24"/>
                <w:szCs w:val="24"/>
                <w:lang w:eastAsia="en-US"/>
              </w:rPr>
              <w:t>абсолютная величи-на</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ind w:left="-40" w:right="-40"/>
              <w:jc w:val="center"/>
              <w:rPr>
                <w:rFonts w:ascii="Times New Roman" w:hAnsi="Times New Roman" w:cs="Times New Roman"/>
                <w:sz w:val="24"/>
                <w:szCs w:val="24"/>
                <w:lang w:eastAsia="en-US"/>
              </w:rPr>
            </w:pPr>
            <w:r>
              <w:rPr>
                <w:rFonts w:ascii="Times New Roman" w:hAnsi="Times New Roman" w:cs="Times New Roman"/>
                <w:sz w:val="24"/>
                <w:szCs w:val="24"/>
                <w:lang w:eastAsia="en-US"/>
              </w:rPr>
              <w:t>%, пунктопроценты</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ind w:left="-40" w:right="-40"/>
              <w:jc w:val="center"/>
              <w:rPr>
                <w:rFonts w:ascii="Times New Roman" w:hAnsi="Times New Roman" w:cs="Times New Roman"/>
                <w:sz w:val="24"/>
                <w:szCs w:val="24"/>
                <w:lang w:eastAsia="en-US"/>
              </w:rPr>
            </w:pPr>
            <w:r>
              <w:rPr>
                <w:rFonts w:ascii="Times New Roman" w:hAnsi="Times New Roman" w:cs="Times New Roman"/>
                <w:sz w:val="24"/>
                <w:szCs w:val="24"/>
                <w:lang w:eastAsia="en-US"/>
              </w:rPr>
              <w:t>абсолютная величи-на</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16" w:lineRule="auto"/>
              <w:ind w:left="-40" w:right="-40"/>
              <w:jc w:val="center"/>
              <w:rPr>
                <w:rFonts w:ascii="Times New Roman" w:hAnsi="Times New Roman" w:cs="Times New Roman"/>
                <w:sz w:val="24"/>
                <w:szCs w:val="24"/>
                <w:lang w:eastAsia="en-US"/>
              </w:rPr>
            </w:pPr>
            <w:r>
              <w:rPr>
                <w:rFonts w:ascii="Times New Roman" w:hAnsi="Times New Roman" w:cs="Times New Roman"/>
                <w:sz w:val="24"/>
                <w:szCs w:val="24"/>
                <w:lang w:eastAsia="en-US"/>
              </w:rPr>
              <w:t>%, пунктопроценты</w:t>
            </w:r>
          </w:p>
        </w:tc>
      </w:tr>
      <w:tr w:rsidR="00D03823" w:rsidTr="00A748E8">
        <w:trPr>
          <w:trHeight w:hRule="exact" w:val="330"/>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Выручка,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1565097</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1697061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2105217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540120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34,5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408156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24,1</w:t>
            </w:r>
          </w:p>
        </w:tc>
      </w:tr>
      <w:tr w:rsidR="00D03823" w:rsidTr="00A748E8">
        <w:trPr>
          <w:trHeight w:hRule="exact" w:val="567"/>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Себестоимость продаж,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1032505</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1052484</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1205618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173113</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153134</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14,6</w:t>
            </w:r>
          </w:p>
        </w:tc>
      </w:tr>
      <w:tr w:rsidR="00D03823" w:rsidTr="00A748E8">
        <w:trPr>
          <w:trHeight w:hRule="exact" w:val="392"/>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Валовая прибыль, тыс. руб. </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532592</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644577</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899599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367007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68,9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255022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39,6</w:t>
            </w:r>
          </w:p>
        </w:tc>
      </w:tr>
      <w:tr w:rsidR="00D03823" w:rsidTr="00A748E8">
        <w:trPr>
          <w:trHeight w:hRule="exact" w:val="554"/>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Коммерческие расходы,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179977</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240918</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348952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168975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93,9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108034</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44,8</w:t>
            </w:r>
          </w:p>
        </w:tc>
      </w:tr>
      <w:tr w:rsidR="00D03823" w:rsidTr="00A748E8">
        <w:trPr>
          <w:trHeight w:hRule="exact" w:val="576"/>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Управленческие расходы,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92826</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131728</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175997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83171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89,6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44269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33,6</w:t>
            </w:r>
          </w:p>
        </w:tc>
      </w:tr>
      <w:tr w:rsidR="00D03823" w:rsidTr="00A748E8">
        <w:trPr>
          <w:trHeight w:hRule="exact" w:val="346"/>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Прибыль от продаж,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259789</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271931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374650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114861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44,2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102719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37,8</w:t>
            </w:r>
          </w:p>
        </w:tc>
      </w:tr>
      <w:tr w:rsidR="00D03823" w:rsidTr="00A748E8">
        <w:trPr>
          <w:trHeight w:hRule="exact" w:val="667"/>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Проценты к получению,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914</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662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662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–252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27,6</w:t>
            </w:r>
          </w:p>
        </w:tc>
      </w:tr>
      <w:tr w:rsidR="00D03823" w:rsidTr="00A748E8">
        <w:trPr>
          <w:trHeight w:hRule="exact" w:val="332"/>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Проценты к уплате,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63090</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29186</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40546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–22544</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35,7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11360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38,9</w:t>
            </w:r>
          </w:p>
        </w:tc>
      </w:tr>
      <w:tr w:rsidR="00D03823" w:rsidTr="00A748E8">
        <w:trPr>
          <w:trHeight w:hRule="exact" w:val="281"/>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rPr>
              <w:br w:type="page"/>
            </w:r>
            <w:r>
              <w:rPr>
                <w:rFonts w:ascii="Times New Roman" w:hAnsi="Times New Roman" w:cs="Times New Roman"/>
                <w:sz w:val="24"/>
                <w:szCs w:val="24"/>
                <w:lang w:eastAsia="en-US"/>
              </w:rPr>
              <w:t>Прочие доходы,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55991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42829</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114732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58741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104,9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71903</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167,9</w:t>
            </w:r>
          </w:p>
        </w:tc>
      </w:tr>
      <w:tr w:rsidR="00D03823" w:rsidTr="00A748E8">
        <w:trPr>
          <w:trHeight w:hRule="exact" w:val="414"/>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Прочие расходы,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169131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191821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305890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136759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114069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59,5</w:t>
            </w:r>
          </w:p>
        </w:tc>
      </w:tr>
      <w:tr w:rsidR="00D03823" w:rsidTr="00A748E8">
        <w:trPr>
          <w:trHeight w:hRule="exact" w:val="641"/>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Прибыль до налогообложения,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83559</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94667</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143608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60049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71,9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48941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51,7</w:t>
            </w:r>
          </w:p>
        </w:tc>
      </w:tr>
      <w:tr w:rsidR="00D03823" w:rsidTr="00A748E8">
        <w:trPr>
          <w:trHeight w:hRule="exact" w:val="553"/>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Текущий налог на прибыль,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30047</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19094</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28478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–1569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9384</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49,2</w:t>
            </w:r>
          </w:p>
        </w:tc>
      </w:tr>
      <w:tr w:rsidR="00D03823" w:rsidTr="00A748E8">
        <w:trPr>
          <w:trHeight w:hRule="exact" w:val="858"/>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В том числе постоянные налоговые обязательства,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17016</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2914</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2208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–14808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87,0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24,2</w:t>
            </w:r>
          </w:p>
        </w:tc>
      </w:tr>
      <w:tr w:rsidR="00D03823" w:rsidTr="00A748E8">
        <w:trPr>
          <w:trHeight w:hRule="exact" w:val="841"/>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Изменение отложенных налоговых обязательств,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10301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2755</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2450</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–7851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76,2</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–305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11,1</w:t>
            </w:r>
          </w:p>
        </w:tc>
      </w:tr>
      <w:tr w:rsidR="00D03823" w:rsidTr="00A748E8">
        <w:trPr>
          <w:trHeight w:hRule="exact" w:val="414"/>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Прочее,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6842</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1600</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–6837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99,9</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–1595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99,7</w:t>
            </w:r>
          </w:p>
        </w:tc>
      </w:tr>
      <w:tr w:rsidR="00D03823" w:rsidTr="00A748E8">
        <w:trPr>
          <w:trHeight w:hRule="exact" w:val="414"/>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Чистая прибыль, тыс. руб.</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49609</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71222</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112675</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63066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127,1</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41453</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58,2</w:t>
            </w:r>
          </w:p>
        </w:tc>
      </w:tr>
      <w:tr w:rsidR="00D03823" w:rsidTr="00A748E8">
        <w:trPr>
          <w:trHeight w:hRule="exact" w:val="582"/>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Рентабельность совокупных активов, %</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5,0</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6,3</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7,7</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2,7 пункта</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1,4 пункта</w:t>
            </w:r>
          </w:p>
        </w:tc>
      </w:tr>
      <w:tr w:rsidR="00D03823" w:rsidTr="00A748E8">
        <w:trPr>
          <w:trHeight w:hRule="exact" w:val="572"/>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Рентабельность продаж, %</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16,6</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16,0</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17,8</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1,2 пункта</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1,8 пункта</w:t>
            </w:r>
          </w:p>
        </w:tc>
      </w:tr>
      <w:tr w:rsidR="00D03823" w:rsidTr="00A748E8">
        <w:trPr>
          <w:trHeight w:hRule="exact" w:val="582"/>
        </w:trPr>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D03823" w:rsidRDefault="00D03823">
            <w:pPr>
              <w:widowControl w:val="0"/>
              <w:autoSpaceDE w:val="0"/>
              <w:autoSpaceDN w:val="0"/>
              <w:adjustRightInd w:val="0"/>
              <w:spacing w:after="0" w:line="240" w:lineRule="auto"/>
              <w:ind w:right="-1"/>
              <w:jc w:val="both"/>
              <w:rPr>
                <w:rFonts w:ascii="Times New Roman" w:hAnsi="Times New Roman" w:cs="Times New Roman"/>
                <w:sz w:val="24"/>
                <w:szCs w:val="24"/>
                <w:lang w:eastAsia="en-US"/>
              </w:rPr>
            </w:pPr>
            <w:r>
              <w:rPr>
                <w:rFonts w:ascii="Times New Roman" w:hAnsi="Times New Roman" w:cs="Times New Roman"/>
                <w:sz w:val="24"/>
                <w:szCs w:val="24"/>
                <w:lang w:eastAsia="en-US"/>
              </w:rPr>
              <w:t>Рентабельность проданной продукции, %</w:t>
            </w:r>
          </w:p>
        </w:tc>
        <w:tc>
          <w:tcPr>
            <w:tcW w:w="1040"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19,9</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19,1</w:t>
            </w:r>
          </w:p>
        </w:tc>
        <w:tc>
          <w:tcPr>
            <w:tcW w:w="1041"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21,6</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1,7 пункта</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х</w:t>
            </w:r>
          </w:p>
        </w:tc>
        <w:tc>
          <w:tcPr>
            <w:tcW w:w="887" w:type="dxa"/>
            <w:tcBorders>
              <w:top w:val="single" w:sz="4" w:space="0" w:color="auto"/>
              <w:left w:val="single" w:sz="4" w:space="0" w:color="auto"/>
              <w:bottom w:val="single" w:sz="4" w:space="0" w:color="auto"/>
              <w:right w:val="single" w:sz="4" w:space="0" w:color="auto"/>
            </w:tcBorders>
            <w:shd w:val="clear" w:color="auto" w:fill="FFFFFF"/>
            <w:vAlign w:val="center"/>
          </w:tcPr>
          <w:p w:rsidR="00D03823" w:rsidRDefault="00D03823">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2,5 пункта</w:t>
            </w:r>
          </w:p>
        </w:tc>
      </w:tr>
    </w:tbl>
    <w:p w:rsidR="00D03823" w:rsidRDefault="00D03823" w:rsidP="00A748E8">
      <w:pPr>
        <w:widowControl w:val="0"/>
        <w:autoSpaceDE w:val="0"/>
        <w:autoSpaceDN w:val="0"/>
        <w:adjustRightInd w:val="0"/>
        <w:spacing w:after="0" w:line="360" w:lineRule="auto"/>
        <w:ind w:right="-1" w:firstLine="709"/>
        <w:jc w:val="both"/>
        <w:rPr>
          <w:rFonts w:ascii="Times New Roman" w:hAnsi="Times New Roman" w:cs="Times New Roman"/>
          <w:sz w:val="28"/>
          <w:szCs w:val="28"/>
        </w:rPr>
      </w:pPr>
    </w:p>
    <w:p w:rsidR="00D03823" w:rsidRDefault="00D03823" w:rsidP="00A748E8">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Рост прибыли от продаж произошел за счет влияния опережающих темпов роста выручки и валовой прибыли по сравнению с темпами увеличения полной себестоимости продаж. Так, полная себестоимость продаж в 2012 г. была равна 1305308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в 2013 г. 1425130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в 2014 г. 1730567 </w:t>
      </w:r>
      <w:r>
        <w:rPr>
          <w:rFonts w:ascii="Times New Roman" w:hAnsi="Times New Roman" w:cs="Times New Roman"/>
          <w:sz w:val="28"/>
          <w:szCs w:val="28"/>
          <w:lang w:eastAsia="en-US"/>
        </w:rPr>
        <w:t xml:space="preserve">тыс. руб.; ее прирост </w:t>
      </w:r>
      <w:r>
        <w:rPr>
          <w:rFonts w:ascii="Times New Roman" w:hAnsi="Times New Roman" w:cs="Times New Roman"/>
          <w:sz w:val="28"/>
          <w:szCs w:val="28"/>
        </w:rPr>
        <w:t>в 2014 г. составил 32,6 – 21,4% соответственно, а прирост валовой прибыли за этот период был равен 68,9 – 39,6 %.</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Анализ динамики процентов к получению и процентов к уплате, прочих доходов и прочих расходов показал, что абсолютная величина расходов и процентов к уплате значительно больше общей суммы доходов и процентов к получению. В результате получено отрицательное сальдо доходов и расходов: в 2012 г. оно было равно минус 176230 тыс. руб. и уменьшило прибыль от продаж, что сформировало прибыль до налогообложения в сумме 83559 тыс. руб. (259789 - 176230); в 2013 г. отрицательное сальдо было равно 177264 тыс. руб. и адекватно уменьшило прибыль от продаж, в результате прибыль до налогообложения была равна 94667 тыс. руб.; в 2014 г. отрицательное сальдо сформировано в сумме 231042 тыс. руб. и адекватно уменьшило прибыль от продаж, сформировало прибыль до налогообложения 143608 тыс. руб. По сравнению с 2012 – 2013 гг. в 2014 г. прибыль до налогообложения увеличилась на 60049 – 48941 тыс. руб. или на 71,9 – 51,7 % соответственно. Текущий налог на прибыль в 2014 г. по сравнению с 2012г. уменьшился на 1569 тыс. руб. или на 5,2 %, а по отношению к 2013г. увеличился на 9384 тыс. руб. или на 49,2 % вследствие роста прибыли до налогообложения.</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Положительной является тенденция уменьшения постоянных </w:t>
      </w:r>
      <w:r>
        <w:rPr>
          <w:rFonts w:ascii="Times New Roman" w:hAnsi="Times New Roman" w:cs="Times New Roman"/>
          <w:sz w:val="28"/>
          <w:szCs w:val="28"/>
          <w:lang w:eastAsia="en-US"/>
        </w:rPr>
        <w:t>налоговых обязательств за исследуемый период с 17016 тыс. руб. в</w:t>
      </w:r>
      <w:r>
        <w:rPr>
          <w:rFonts w:ascii="Times New Roman" w:hAnsi="Times New Roman" w:cs="Times New Roman"/>
          <w:sz w:val="28"/>
          <w:szCs w:val="28"/>
        </w:rPr>
        <w:t xml:space="preserve"> 2012 г. до 2208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в 2014 г. или на 14808 тыс. руб. (87,0 %), а в сравнении с 2013 г. они сократились на 706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24,2 %. </w:t>
      </w:r>
    </w:p>
    <w:p w:rsidR="00D03823" w:rsidRDefault="00D03823" w:rsidP="00472B91">
      <w:pPr>
        <w:widowControl w:val="0"/>
        <w:autoSpaceDE w:val="0"/>
        <w:autoSpaceDN w:val="0"/>
        <w:adjustRightInd w:val="0"/>
        <w:spacing w:after="0" w:line="312" w:lineRule="auto"/>
        <w:ind w:right="-1" w:firstLine="709"/>
        <w:jc w:val="both"/>
        <w:rPr>
          <w:rFonts w:ascii="Times New Roman" w:hAnsi="Times New Roman" w:cs="Times New Roman"/>
          <w:sz w:val="28"/>
          <w:szCs w:val="28"/>
          <w:lang w:eastAsia="en-US"/>
        </w:rPr>
      </w:pPr>
      <w:r>
        <w:rPr>
          <w:rFonts w:ascii="Times New Roman" w:hAnsi="Times New Roman" w:cs="Times New Roman"/>
          <w:sz w:val="28"/>
          <w:szCs w:val="28"/>
        </w:rPr>
        <w:t xml:space="preserve">Динамика </w:t>
      </w:r>
      <w:r>
        <w:rPr>
          <w:rFonts w:ascii="Times New Roman" w:hAnsi="Times New Roman" w:cs="Times New Roman"/>
          <w:sz w:val="28"/>
          <w:szCs w:val="28"/>
          <w:lang w:eastAsia="en-US"/>
        </w:rPr>
        <w:t xml:space="preserve">отложенных налоговых обязательств </w:t>
      </w:r>
      <w:r>
        <w:rPr>
          <w:rFonts w:ascii="Times New Roman" w:hAnsi="Times New Roman" w:cs="Times New Roman"/>
          <w:sz w:val="28"/>
          <w:szCs w:val="28"/>
        </w:rPr>
        <w:t xml:space="preserve">характеризуется тенденцией их сокращения с 10301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в 2012 г. до 2450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в 2014 г.; они уменьшились на 7851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76,2 %, а по сравнению с 2013 г. на 305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или на 11,1 %. Положительной является также тенденция сокращения</w:t>
      </w:r>
      <w:r>
        <w:rPr>
          <w:rFonts w:ascii="Times New Roman" w:hAnsi="Times New Roman" w:cs="Times New Roman"/>
          <w:sz w:val="28"/>
          <w:szCs w:val="28"/>
          <w:lang w:eastAsia="en-US"/>
        </w:rPr>
        <w:t xml:space="preserve"> налоговых изъятий с 6842 тыс. руб. в</w:t>
      </w:r>
      <w:r>
        <w:rPr>
          <w:rFonts w:ascii="Times New Roman" w:hAnsi="Times New Roman" w:cs="Times New Roman"/>
          <w:sz w:val="28"/>
          <w:szCs w:val="28"/>
        </w:rPr>
        <w:t xml:space="preserve"> 2012 г. до 1600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в 2013 г. и 5 </w:t>
      </w:r>
      <w:r>
        <w:rPr>
          <w:rFonts w:ascii="Times New Roman" w:hAnsi="Times New Roman" w:cs="Times New Roman"/>
          <w:sz w:val="28"/>
          <w:szCs w:val="28"/>
          <w:lang w:eastAsia="en-US"/>
        </w:rPr>
        <w:t>тыс. руб.</w:t>
      </w:r>
      <w:r>
        <w:rPr>
          <w:rFonts w:ascii="Times New Roman" w:hAnsi="Times New Roman" w:cs="Times New Roman"/>
          <w:sz w:val="28"/>
          <w:szCs w:val="28"/>
        </w:rPr>
        <w:t xml:space="preserve"> в 2014г. Динамика</w:t>
      </w:r>
      <w:r>
        <w:rPr>
          <w:rFonts w:ascii="Times New Roman" w:hAnsi="Times New Roman" w:cs="Times New Roman"/>
          <w:sz w:val="28"/>
          <w:szCs w:val="28"/>
          <w:lang w:eastAsia="en-US"/>
        </w:rPr>
        <w:t xml:space="preserve"> чистой прибыли </w:t>
      </w:r>
      <w:r>
        <w:rPr>
          <w:rFonts w:ascii="Times New Roman" w:hAnsi="Times New Roman" w:cs="Times New Roman"/>
          <w:sz w:val="28"/>
          <w:szCs w:val="28"/>
        </w:rPr>
        <w:t xml:space="preserve">характеризуется тенденцией значительного роста. В 2014 г. она достигла 112675 </w:t>
      </w:r>
      <w:r>
        <w:rPr>
          <w:rFonts w:ascii="Times New Roman" w:hAnsi="Times New Roman" w:cs="Times New Roman"/>
          <w:sz w:val="28"/>
          <w:szCs w:val="28"/>
          <w:lang w:eastAsia="en-US"/>
        </w:rPr>
        <w:t xml:space="preserve">тыс. руб., и </w:t>
      </w:r>
      <w:r>
        <w:rPr>
          <w:rFonts w:ascii="Times New Roman" w:hAnsi="Times New Roman" w:cs="Times New Roman"/>
          <w:sz w:val="28"/>
          <w:szCs w:val="28"/>
        </w:rPr>
        <w:t xml:space="preserve">по сравнению с 2012 – 2013 гг. увеличилась на 63066 – 41453 </w:t>
      </w:r>
      <w:r>
        <w:rPr>
          <w:rFonts w:ascii="Times New Roman" w:hAnsi="Times New Roman" w:cs="Times New Roman"/>
          <w:sz w:val="28"/>
          <w:szCs w:val="28"/>
          <w:lang w:eastAsia="en-US"/>
        </w:rPr>
        <w:t xml:space="preserve">тыс. руб. </w:t>
      </w:r>
      <w:r>
        <w:rPr>
          <w:rFonts w:ascii="Times New Roman" w:hAnsi="Times New Roman" w:cs="Times New Roman"/>
          <w:sz w:val="28"/>
          <w:szCs w:val="28"/>
        </w:rPr>
        <w:t xml:space="preserve">или на 127,1 – 58,2 %, что способствовало росту собственного капитала, нераспределенной прибыли, укреплению финансового состояния ООО «Кубань-Вино», повышению </w:t>
      </w:r>
      <w:r>
        <w:rPr>
          <w:rFonts w:ascii="Times New Roman" w:hAnsi="Times New Roman" w:cs="Times New Roman"/>
          <w:sz w:val="28"/>
          <w:szCs w:val="28"/>
          <w:lang w:eastAsia="en-US"/>
        </w:rPr>
        <w:t xml:space="preserve">рентабельности совокупных активов, рентабельности продаж и проданной продукции. Так, </w:t>
      </w:r>
      <w:r>
        <w:rPr>
          <w:rFonts w:ascii="Times New Roman" w:hAnsi="Times New Roman" w:cs="Times New Roman"/>
          <w:sz w:val="28"/>
          <w:szCs w:val="28"/>
        </w:rPr>
        <w:t>опережающие темпы роста чистой прибыли по сравнению с темпами увеличения</w:t>
      </w:r>
      <w:r>
        <w:rPr>
          <w:rFonts w:ascii="Times New Roman" w:hAnsi="Times New Roman" w:cs="Times New Roman"/>
          <w:sz w:val="28"/>
          <w:szCs w:val="28"/>
          <w:lang w:eastAsia="en-US"/>
        </w:rPr>
        <w:t xml:space="preserve"> среднегодовой стоимости всех активов</w:t>
      </w:r>
      <w:r>
        <w:rPr>
          <w:rFonts w:ascii="Times New Roman" w:hAnsi="Times New Roman" w:cs="Times New Roman"/>
          <w:sz w:val="28"/>
          <w:szCs w:val="28"/>
        </w:rPr>
        <w:t xml:space="preserve"> в 2014 г. в сравнении с 2012 – 2013 гг. позволили повысить </w:t>
      </w:r>
      <w:r>
        <w:rPr>
          <w:rFonts w:ascii="Times New Roman" w:hAnsi="Times New Roman" w:cs="Times New Roman"/>
          <w:sz w:val="28"/>
          <w:szCs w:val="28"/>
          <w:lang w:eastAsia="en-US"/>
        </w:rPr>
        <w:t xml:space="preserve">рентабельность на 2,7 – 1,4 пунктопроцента; </w:t>
      </w:r>
      <w:r>
        <w:rPr>
          <w:rFonts w:ascii="Times New Roman" w:hAnsi="Times New Roman" w:cs="Times New Roman"/>
          <w:sz w:val="28"/>
          <w:szCs w:val="28"/>
        </w:rPr>
        <w:t xml:space="preserve">опережающие темпы роста прибыли от </w:t>
      </w:r>
      <w:r>
        <w:rPr>
          <w:rFonts w:ascii="Times New Roman" w:hAnsi="Times New Roman" w:cs="Times New Roman"/>
          <w:sz w:val="28"/>
          <w:szCs w:val="28"/>
          <w:lang w:eastAsia="en-US"/>
        </w:rPr>
        <w:t>продаж</w:t>
      </w:r>
      <w:r>
        <w:rPr>
          <w:rFonts w:ascii="Times New Roman" w:hAnsi="Times New Roman" w:cs="Times New Roman"/>
          <w:sz w:val="28"/>
          <w:szCs w:val="28"/>
        </w:rPr>
        <w:t xml:space="preserve"> по сравнению с темпами увеличения выручки повысили </w:t>
      </w:r>
      <w:r>
        <w:rPr>
          <w:rFonts w:ascii="Times New Roman" w:hAnsi="Times New Roman" w:cs="Times New Roman"/>
          <w:sz w:val="28"/>
          <w:szCs w:val="28"/>
          <w:lang w:eastAsia="en-US"/>
        </w:rPr>
        <w:t xml:space="preserve">рентабельность продаж на 1,2 – 1,8 пунктопроцента, а </w:t>
      </w:r>
      <w:r>
        <w:rPr>
          <w:rFonts w:ascii="Times New Roman" w:hAnsi="Times New Roman" w:cs="Times New Roman"/>
          <w:sz w:val="28"/>
          <w:szCs w:val="28"/>
        </w:rPr>
        <w:t xml:space="preserve">опережающие темпы роста прибыли от продаж по сравнению с темпами повышения полной себестоимости </w:t>
      </w:r>
      <w:r>
        <w:rPr>
          <w:rFonts w:ascii="Times New Roman" w:hAnsi="Times New Roman" w:cs="Times New Roman"/>
          <w:sz w:val="28"/>
          <w:szCs w:val="28"/>
          <w:lang w:eastAsia="en-US"/>
        </w:rPr>
        <w:t>проданной продукции</w:t>
      </w:r>
      <w:r>
        <w:rPr>
          <w:rFonts w:ascii="Times New Roman" w:hAnsi="Times New Roman" w:cs="Times New Roman"/>
          <w:sz w:val="28"/>
          <w:szCs w:val="28"/>
        </w:rPr>
        <w:t xml:space="preserve"> способствовали росту р</w:t>
      </w:r>
      <w:r>
        <w:rPr>
          <w:rFonts w:ascii="Times New Roman" w:hAnsi="Times New Roman" w:cs="Times New Roman"/>
          <w:sz w:val="28"/>
          <w:szCs w:val="28"/>
          <w:lang w:eastAsia="en-US"/>
        </w:rPr>
        <w:t>ентабельности на 1,7 – 2,5 процентного пункта.</w:t>
      </w:r>
    </w:p>
    <w:p w:rsidR="00D03823" w:rsidRDefault="00D03823" w:rsidP="00472B91">
      <w:pPr>
        <w:widowControl w:val="0"/>
        <w:autoSpaceDE w:val="0"/>
        <w:autoSpaceDN w:val="0"/>
        <w:adjustRightInd w:val="0"/>
        <w:spacing w:after="0" w:line="312"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Значительное увеличение выручки, прибыли от продаж, прибыли до налогообложения и чистой прибыли способствовало повышению </w:t>
      </w:r>
      <w:r>
        <w:rPr>
          <w:rFonts w:ascii="Times New Roman" w:hAnsi="Times New Roman" w:cs="Times New Roman"/>
          <w:color w:val="000000"/>
          <w:sz w:val="28"/>
          <w:szCs w:val="28"/>
        </w:rPr>
        <w:t xml:space="preserve">эффективности использования ресурсов </w:t>
      </w:r>
      <w:r>
        <w:rPr>
          <w:rFonts w:ascii="Times New Roman" w:hAnsi="Times New Roman" w:cs="Times New Roman"/>
          <w:sz w:val="28"/>
          <w:szCs w:val="28"/>
        </w:rPr>
        <w:t>ООО «Кубань-Вино». Так, выручка в расчете на среднегодового работника в 2014 г. по сравнению с 2012 – 2013 гг. увеличилась на 806091 руб. – 640483 руб. или на 27,6 – 20,8%, и достигла 3726048 руб. На 100 руб. среднегодовой стоимости основных средств получено выручки 946,3 – 976,1 руб.; в 2014 г. по сравнению с 2012 г. ее прирост равен 29,8 руб. или 3,1 %, а в сравнении с 2013 г. она увеличилась на 22,6 руб. или на 2,4 %. На 100 руб. среднегодовой стоимости оборотных активов получено выручки 181 – 199,9 руб. Динамика величины этого показателя характеризуется тенденцией снижения: в 2014 г. по сравнению с 2012 – 2013 гг. на 18,9 – 8,3 руб. или на 9,5 – 4,4 % соответственно за счет опережающих темпов прироста среднегодовой стоимости оборотных активов в сравнении с темпами прироста выручки. Как мы уже отметили, среднегодовая стоимость оборотных активов  возросла в 2014 г. на 48,6 – 29,7 %, а выручка на 34,5 – 24,1 % (см. таблицы 1 и 2).</w:t>
      </w:r>
    </w:p>
    <w:p w:rsidR="00D03823" w:rsidRDefault="00D03823" w:rsidP="00472B91">
      <w:pPr>
        <w:widowControl w:val="0"/>
        <w:autoSpaceDE w:val="0"/>
        <w:autoSpaceDN w:val="0"/>
        <w:adjustRightInd w:val="0"/>
        <w:spacing w:after="0" w:line="312"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Динамика величины показателя соотношения выручки и среднегодовой стоимости всех активов характеризуется тенденцией снижения с 157,7 до 144,5 руб. или на 13,2 – 6,1 руб., 8,4 – 4,1 % в 2014 г. по сравнению с 2012 – 2013 гг. соответственно. Сформировавшаяся тенденция является нежелательной, так как в перспективе может привести к значительному падению эффективности капитала. На 100 руб. производственных затрат </w:t>
      </w:r>
      <w:r>
        <w:rPr>
          <w:rFonts w:ascii="Times New Roman" w:hAnsi="Times New Roman" w:cs="Times New Roman"/>
          <w:sz w:val="28"/>
          <w:szCs w:val="28"/>
          <w:lang w:eastAsia="en-US"/>
        </w:rPr>
        <w:t xml:space="preserve">выручка </w:t>
      </w:r>
      <w:r>
        <w:rPr>
          <w:rFonts w:ascii="Times New Roman" w:hAnsi="Times New Roman" w:cs="Times New Roman"/>
          <w:sz w:val="28"/>
          <w:szCs w:val="28"/>
        </w:rPr>
        <w:t>в 2014 г. увеличилась до 117,2 руб., и по сравнению с 2012 – 2013 гг. возросла на 4,3 – 0,7 руб. или на 3,8 – 0,6 % соответственно; это дает основание рассматривать сложившуюся тенденцию как положительную.</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4"/>
          <w:szCs w:val="24"/>
        </w:rPr>
      </w:pPr>
      <w:r>
        <w:rPr>
          <w:rFonts w:ascii="Times New Roman" w:hAnsi="Times New Roman" w:cs="Times New Roman"/>
          <w:sz w:val="28"/>
          <w:szCs w:val="28"/>
        </w:rPr>
        <w:t>Динамика соотношения выручки и расходов на оплату труда работников ООО «Кубань-Вино» в 2012 – 2014 гг. характеризуется тенденцией уменьшения величины исследуемого показателя с1340,7 до 1075,8 руб. или на 264,9 – 211,7 руб., 19,8 – 16,4% соответственно. Однако фактическое значение исследуемого показателя остается высоким, указывает на эффективную социальную политику организации.</w:t>
      </w:r>
    </w:p>
    <w:p w:rsidR="00D03823" w:rsidRDefault="00D03823" w:rsidP="00472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показателей соотношения</w:t>
      </w:r>
      <w:r>
        <w:rPr>
          <w:rFonts w:ascii="Times New Roman" w:hAnsi="Times New Roman" w:cs="Times New Roman"/>
          <w:sz w:val="28"/>
          <w:szCs w:val="28"/>
          <w:lang w:eastAsia="en-US"/>
        </w:rPr>
        <w:t xml:space="preserve"> прибыли до налогообложения и ресурсов выявил следующие результаты. </w:t>
      </w:r>
      <w:r>
        <w:rPr>
          <w:rFonts w:ascii="Times New Roman" w:hAnsi="Times New Roman" w:cs="Times New Roman"/>
          <w:sz w:val="28"/>
          <w:szCs w:val="28"/>
        </w:rPr>
        <w:t xml:space="preserve">В 2014 г. по сравнению с 2012 – 2013гг. на среднегодового работника </w:t>
      </w:r>
      <w:r>
        <w:rPr>
          <w:rFonts w:ascii="Times New Roman" w:hAnsi="Times New Roman" w:cs="Times New Roman"/>
          <w:sz w:val="28"/>
          <w:szCs w:val="28"/>
          <w:lang w:eastAsia="en-US"/>
        </w:rPr>
        <w:t xml:space="preserve">прибыль до налогообложения достигла 254174 </w:t>
      </w:r>
      <w:r>
        <w:rPr>
          <w:rFonts w:ascii="Times New Roman" w:hAnsi="Times New Roman" w:cs="Times New Roman"/>
          <w:sz w:val="28"/>
          <w:szCs w:val="28"/>
        </w:rPr>
        <w:t xml:space="preserve">руб., и увеличилась на 98280 – 82052 руб. или на 63 – 47,8% соответственно. На 100 руб. среднегодовой стоимости основных средств прибыль за исследуемый период возросла до 66,6 руб. или на 16,1 – 13,4 руб., на 31,9 – 25,2 % за счет опережающих темпов увеличения прибыли по сравнению с темпами роста стоимости основных средств - </w:t>
      </w:r>
      <w:r>
        <w:rPr>
          <w:rFonts w:ascii="Times New Roman" w:hAnsi="Times New Roman" w:cs="Times New Roman"/>
          <w:sz w:val="28"/>
          <w:szCs w:val="28"/>
          <w:lang w:eastAsia="en-US"/>
        </w:rPr>
        <w:t>прибыль до налогообложения</w:t>
      </w:r>
      <w:r>
        <w:rPr>
          <w:rFonts w:ascii="Times New Roman" w:hAnsi="Times New Roman" w:cs="Times New Roman"/>
          <w:sz w:val="28"/>
          <w:szCs w:val="28"/>
        </w:rPr>
        <w:t xml:space="preserve"> увеличилась на 71,9 – 51,7 %, а среднегодовая стоимость основных средств на 30,4 – 21,2 %.</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Динамика соотношения</w:t>
      </w:r>
      <w:r>
        <w:rPr>
          <w:rFonts w:ascii="Times New Roman" w:hAnsi="Times New Roman" w:cs="Times New Roman"/>
          <w:sz w:val="28"/>
          <w:szCs w:val="28"/>
          <w:lang w:eastAsia="en-US"/>
        </w:rPr>
        <w:t xml:space="preserve"> прибыли до налогообложения и </w:t>
      </w:r>
      <w:r>
        <w:rPr>
          <w:rFonts w:ascii="Times New Roman" w:hAnsi="Times New Roman" w:cs="Times New Roman"/>
          <w:sz w:val="28"/>
          <w:szCs w:val="28"/>
        </w:rPr>
        <w:t xml:space="preserve">среднегодовой стоимости оборотных активов характеризуется тенденцией роста с 10,7 до 12,3 руб. на 100 руб. оборотных активов или на 1,6 – 1,7 руб., 15,0 – 16,0 %; сформировавшаяся тенденция заслуживает положительной оценки управления </w:t>
      </w:r>
      <w:r>
        <w:rPr>
          <w:rFonts w:ascii="Times New Roman" w:hAnsi="Times New Roman" w:cs="Times New Roman"/>
          <w:color w:val="000000"/>
          <w:sz w:val="28"/>
          <w:szCs w:val="28"/>
        </w:rPr>
        <w:t xml:space="preserve">эффективностью </w:t>
      </w:r>
      <w:r>
        <w:rPr>
          <w:rFonts w:ascii="Times New Roman" w:hAnsi="Times New Roman" w:cs="Times New Roman"/>
          <w:sz w:val="28"/>
          <w:szCs w:val="28"/>
        </w:rPr>
        <w:t>оборотных активов.</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В динамике величины показателя соотношения</w:t>
      </w:r>
      <w:r>
        <w:rPr>
          <w:rFonts w:ascii="Times New Roman" w:hAnsi="Times New Roman" w:cs="Times New Roman"/>
          <w:sz w:val="28"/>
          <w:szCs w:val="28"/>
          <w:lang w:eastAsia="en-US"/>
        </w:rPr>
        <w:t xml:space="preserve"> прибыли до налогообложения и </w:t>
      </w:r>
      <w:r>
        <w:rPr>
          <w:rFonts w:ascii="Times New Roman" w:hAnsi="Times New Roman" w:cs="Times New Roman"/>
          <w:sz w:val="28"/>
          <w:szCs w:val="28"/>
        </w:rPr>
        <w:t xml:space="preserve">среднегодовой стоимости всех активов организации сформировалась положительная тенденция повышения </w:t>
      </w:r>
      <w:r>
        <w:rPr>
          <w:rFonts w:ascii="Times New Roman" w:hAnsi="Times New Roman" w:cs="Times New Roman"/>
          <w:color w:val="000000"/>
          <w:sz w:val="28"/>
          <w:szCs w:val="28"/>
        </w:rPr>
        <w:t xml:space="preserve">эффективности использования всего капитала </w:t>
      </w:r>
      <w:r>
        <w:rPr>
          <w:rFonts w:ascii="Times New Roman" w:hAnsi="Times New Roman" w:cs="Times New Roman"/>
          <w:sz w:val="28"/>
          <w:szCs w:val="28"/>
        </w:rPr>
        <w:t>в 2014 г. по сравнению с 2012 – 2013 гг. с 8,4 до 9,9 руб. на 100 руб. его стоимости или на 1,5 руб. (17,9 %).</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 xml:space="preserve">На 100 руб. производственных затрат </w:t>
      </w:r>
      <w:r>
        <w:rPr>
          <w:rFonts w:ascii="Times New Roman" w:hAnsi="Times New Roman" w:cs="Times New Roman"/>
          <w:sz w:val="28"/>
          <w:szCs w:val="28"/>
          <w:lang w:eastAsia="en-US"/>
        </w:rPr>
        <w:t xml:space="preserve">прибыль до налогообложения возросла с 6,0 до 8,0 </w:t>
      </w:r>
      <w:r>
        <w:rPr>
          <w:rFonts w:ascii="Times New Roman" w:hAnsi="Times New Roman" w:cs="Times New Roman"/>
          <w:sz w:val="28"/>
          <w:szCs w:val="28"/>
        </w:rPr>
        <w:t>руб. или на 33,3 – 23,1 % в 2014 г. по сравнению с 2012 – 2013 гг. соответственно. Тенденцией роста характеризуется динамика величины показателя соотношения</w:t>
      </w:r>
      <w:r>
        <w:rPr>
          <w:rFonts w:ascii="Times New Roman" w:hAnsi="Times New Roman" w:cs="Times New Roman"/>
          <w:sz w:val="28"/>
          <w:szCs w:val="28"/>
          <w:lang w:eastAsia="en-US"/>
        </w:rPr>
        <w:t xml:space="preserve"> прибыли до налогообложения и </w:t>
      </w:r>
      <w:r>
        <w:rPr>
          <w:rFonts w:ascii="Times New Roman" w:hAnsi="Times New Roman" w:cs="Times New Roman"/>
          <w:sz w:val="28"/>
          <w:szCs w:val="28"/>
        </w:rPr>
        <w:t xml:space="preserve">расходов на оплату труда без отчислений на социальные нужды. В 2014 г. на 100 руб. указанных расходов </w:t>
      </w:r>
      <w:r>
        <w:rPr>
          <w:rFonts w:ascii="Times New Roman" w:hAnsi="Times New Roman" w:cs="Times New Roman"/>
          <w:sz w:val="28"/>
          <w:szCs w:val="28"/>
          <w:lang w:eastAsia="en-US"/>
        </w:rPr>
        <w:t>прибыль до налогообложения</w:t>
      </w:r>
      <w:r>
        <w:rPr>
          <w:rFonts w:ascii="Times New Roman" w:hAnsi="Times New Roman" w:cs="Times New Roman"/>
          <w:sz w:val="28"/>
          <w:szCs w:val="28"/>
        </w:rPr>
        <w:t xml:space="preserve"> увеличилась до 73,4 руб. или на 1,8 – 1,6 руб., 2,5 – 2,2% по сравнению с 2012 – 2013 гг. соответственно.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Тенденция роста сформировалась в динамике величины показателя соотношения чистой прибыли и ресурсов. Так, в 2014 г. по сравнению с 2012 – 2013 гг. получено чистой прибыли на среднегодового работника 199425 руб. или больше на 106871 руб. – 69930 руб., на 115,5 – 54,0 %, чем в предшествующие годы соответственно. На 100 руб. среднегодовой стоимости основных средств чистой прибыли получено 30,0 (2012 г.) – 52,2 руб. (2014 г.), что на 22,2 – 12,2 руб. (на 74,0 – 30,5 %) больше, чем в 2012 – 2013 гг. соответственно.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На 100 руб. среднегодовой стоимости оборотных активов чистой прибыли получено 9,7 руб. в 2014 г. или больше, чем в 2012 – 2013 гг. на 3,4 – 1,8 руб. или на 54,0 – 22,8% соответственно.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Динамика величины показателя соотношения</w:t>
      </w:r>
      <w:r>
        <w:rPr>
          <w:rFonts w:ascii="Times New Roman" w:hAnsi="Times New Roman" w:cs="Times New Roman"/>
          <w:sz w:val="28"/>
          <w:szCs w:val="28"/>
          <w:lang w:eastAsia="en-US"/>
        </w:rPr>
        <w:t xml:space="preserve"> </w:t>
      </w:r>
      <w:r>
        <w:rPr>
          <w:rFonts w:ascii="Times New Roman" w:hAnsi="Times New Roman" w:cs="Times New Roman"/>
          <w:sz w:val="28"/>
          <w:szCs w:val="28"/>
        </w:rPr>
        <w:t>чистой прибыли и среднегодовой стоимости всех активов характеризуется также тенденцией роста: в 2014 г. по сравнению с 2012 – 2013 гг. чистая прибыль на 100 руб. всех активов увеличилась до 7,7 руб. или на 2,7 – 1,4 руб., на 54,0 – 22,2 % соответственно.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На 100 руб. производственных затрат чистой прибыли получено за исследуемый период 3,6 – 6,3 руб.; в 2014 г. прибыли получено больше на 2,7 – 1,4 руб. или на 75,0 – 28,6 % соответственно.</w:t>
      </w:r>
    </w:p>
    <w:p w:rsidR="00D03823" w:rsidRDefault="00D03823" w:rsidP="00472B91">
      <w:pPr>
        <w:widowControl w:val="0"/>
        <w:autoSpaceDE w:val="0"/>
        <w:autoSpaceDN w:val="0"/>
        <w:adjustRightInd w:val="0"/>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На 100 руб. расходов на оплату труда персонала чистой прибыли  было получено в 2014 г. 57,6 руб. или больше на 15,1 – 3,6 руб., на 35,5 – 6,7 % по сравнению с 2012 – 2013 гг. соответственно.</w:t>
      </w:r>
    </w:p>
    <w:p w:rsidR="00D03823" w:rsidRDefault="00D03823" w:rsidP="00472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за исследуемый период сформировалась тенденция повышения </w:t>
      </w:r>
      <w:r>
        <w:rPr>
          <w:rFonts w:ascii="Times New Roman" w:hAnsi="Times New Roman" w:cs="Times New Roman"/>
          <w:color w:val="000000"/>
          <w:sz w:val="28"/>
          <w:szCs w:val="28"/>
        </w:rPr>
        <w:t xml:space="preserve">эффективности использования ресурсов </w:t>
      </w:r>
      <w:r>
        <w:rPr>
          <w:rFonts w:ascii="Times New Roman" w:hAnsi="Times New Roman" w:cs="Times New Roman"/>
          <w:sz w:val="28"/>
          <w:szCs w:val="28"/>
        </w:rPr>
        <w:t>организации вследствие опережающих темпов прироста выручки и финансовых результатов по сравнению с темпами прироста среднегодовой численности работников и стоимости ресурсов.</w:t>
      </w:r>
    </w:p>
    <w:p w:rsidR="00D03823" w:rsidRDefault="00D03823" w:rsidP="00472B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Как мы уже отметили, в 2014 г. по сравнению с 2012 – 2013 гг. произошло уменьшение выручки в расчете на 100 руб. среднегодовой стоимости оборотных и 100 руб. среднегодовой стоимости всех активов организации. Если сравнить величину соотношения выручки и среднегодовой стоимости всех активов за 2014 г. и 2013 г., то она была равна 144,5 и 150,6 руб., то есть уменьшилась на 6,1 руб. или на 4,1 %. На всю среднегодовую стоимость всех активов организации было недополучено выручки 88854 тыс. руб.; эту сумму можно принять в качестве резерва увеличения выручки. Исследования показали, что увеличение выручки возможно на основе ускорения оборачиваемости дебиторской задолженности. В 2014 г. по сравнению с 2012 г. продолжительность одного оборота дебиторской задолженности увеличилась на 14 дней, что привело к недополучению выручки на 60031 тыс. руб. по данным за 2012 г.; при использовании фактических данных за 2014 г. дневная недополученная выручка равна 5768 тыс. руб. (2105217 / 365), а за 14 дней замедления ее оборачиваемости недополучено 80748 тыс. руб. Таким образом, только за счет ускорения оборачиваемости дебиторской задолженности возможно увеличить выручку не менее чем на 60 млн. руб.</w:t>
      </w:r>
    </w:p>
    <w:p w:rsidR="00D03823" w:rsidRDefault="00D03823" w:rsidP="00472B91">
      <w:pPr>
        <w:spacing w:after="0" w:line="360" w:lineRule="auto"/>
        <w:ind w:firstLine="709"/>
        <w:jc w:val="both"/>
        <w:rPr>
          <w:rFonts w:ascii="Times New Roman" w:hAnsi="Times New Roman" w:cs="Times New Roman"/>
          <w:sz w:val="28"/>
          <w:szCs w:val="28"/>
        </w:rPr>
      </w:pPr>
    </w:p>
    <w:p w:rsidR="00D03823" w:rsidRPr="00472B91" w:rsidRDefault="00D03823" w:rsidP="00472B91">
      <w:pPr>
        <w:spacing w:after="0" w:line="240" w:lineRule="auto"/>
        <w:ind w:left="426" w:hanging="426"/>
        <w:jc w:val="center"/>
        <w:rPr>
          <w:rFonts w:ascii="Times New Roman" w:hAnsi="Times New Roman" w:cs="Times New Roman"/>
          <w:b/>
          <w:sz w:val="24"/>
          <w:szCs w:val="24"/>
        </w:rPr>
      </w:pPr>
      <w:r w:rsidRPr="00472B91">
        <w:rPr>
          <w:rFonts w:ascii="Times New Roman" w:hAnsi="Times New Roman" w:cs="Times New Roman"/>
          <w:b/>
          <w:sz w:val="24"/>
          <w:szCs w:val="24"/>
        </w:rPr>
        <w:t>Литература</w:t>
      </w:r>
    </w:p>
    <w:p w:rsidR="00D03823" w:rsidRDefault="00D03823" w:rsidP="00472B91">
      <w:pPr>
        <w:spacing w:after="0" w:line="240" w:lineRule="auto"/>
        <w:ind w:left="426" w:hanging="426"/>
        <w:jc w:val="center"/>
        <w:rPr>
          <w:rFonts w:ascii="Times New Roman" w:hAnsi="Times New Roman" w:cs="Times New Roman"/>
          <w:sz w:val="24"/>
          <w:szCs w:val="24"/>
        </w:rPr>
      </w:pPr>
    </w:p>
    <w:p w:rsidR="00D03823" w:rsidRDefault="00D03823" w:rsidP="00472B91">
      <w:pPr>
        <w:pStyle w:val="ListParagraph"/>
        <w:numPr>
          <w:ilvl w:val="0"/>
          <w:numId w:val="2"/>
        </w:numPr>
        <w:spacing w:after="0"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Скакун, М.В. Повышение экономической эффективности производства яиц на основе рационального использования белковых кормов /М. В. Скакун, В. Г. Рядчиков, А. Г. Прудников. – Краснодар; КубГАУ, 2006. – 175 с.</w:t>
      </w:r>
    </w:p>
    <w:p w:rsidR="00D03823" w:rsidRDefault="00D03823" w:rsidP="00472B91">
      <w:pPr>
        <w:pStyle w:val="ListParagraph"/>
        <w:numPr>
          <w:ilvl w:val="0"/>
          <w:numId w:val="2"/>
        </w:numPr>
        <w:spacing w:after="0"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Горлов, Д. М. Эколого-экономическая эффективность производства плодов в сельскохозяйственных организациях Краснодарского края / Д. М. Горлов. – Краснодар; КубГАУ, 2012. – 185 с.</w:t>
      </w:r>
    </w:p>
    <w:p w:rsidR="00D03823" w:rsidRDefault="00D03823" w:rsidP="00472B91">
      <w:pPr>
        <w:pStyle w:val="ListParagraph"/>
        <w:numPr>
          <w:ilvl w:val="0"/>
          <w:numId w:val="2"/>
        </w:numPr>
        <w:spacing w:after="0" w:line="240" w:lineRule="auto"/>
        <w:ind w:left="0" w:firstLine="426"/>
        <w:contextualSpacing/>
        <w:jc w:val="both"/>
        <w:rPr>
          <w:rFonts w:ascii="Times New Roman" w:hAnsi="Times New Roman" w:cs="Times New Roman"/>
          <w:sz w:val="24"/>
          <w:szCs w:val="24"/>
        </w:rPr>
      </w:pPr>
      <w:r>
        <w:rPr>
          <w:rFonts w:ascii="Times New Roman" w:hAnsi="Times New Roman" w:cs="Times New Roman"/>
          <w:sz w:val="24"/>
          <w:szCs w:val="24"/>
        </w:rPr>
        <w:t>Комплексный экономический анализ: учеб.-методическое пособие /Н.К. Васильева, А. Г. Прудников, А. И. Трубилин и др./под общ. ред. Н.К. Васильевой, А. Г. Прудникова. - Краснодар; КубГАУ, 2011. – 121 с.</w:t>
      </w:r>
    </w:p>
    <w:p w:rsidR="00D03823" w:rsidRDefault="00D03823" w:rsidP="00AE15F5">
      <w:pPr>
        <w:widowControl w:val="0"/>
        <w:shd w:val="clear" w:color="auto" w:fill="FFFFFF"/>
        <w:tabs>
          <w:tab w:val="left" w:pos="-1701"/>
          <w:tab w:val="left" w:pos="0"/>
        </w:tabs>
        <w:suppressAutoHyphens w:val="0"/>
        <w:autoSpaceDE w:val="0"/>
        <w:autoSpaceDN w:val="0"/>
        <w:adjustRightInd w:val="0"/>
        <w:spacing w:after="0" w:line="360" w:lineRule="auto"/>
        <w:ind w:right="-144"/>
        <w:jc w:val="both"/>
        <w:rPr>
          <w:rFonts w:ascii="Times New Roman" w:hAnsi="Times New Roman" w:cs="Times New Roman"/>
          <w:sz w:val="28"/>
          <w:szCs w:val="28"/>
        </w:rPr>
      </w:pPr>
    </w:p>
    <w:p w:rsidR="00D03823" w:rsidRPr="00ED7EEE" w:rsidRDefault="00D03823" w:rsidP="009657CC">
      <w:pPr>
        <w:tabs>
          <w:tab w:val="left" w:pos="-540"/>
        </w:tabs>
        <w:spacing w:after="0" w:line="240" w:lineRule="auto"/>
        <w:ind w:right="-142" w:firstLine="426"/>
        <w:jc w:val="center"/>
        <w:rPr>
          <w:rFonts w:ascii="Times New Roman" w:hAnsi="Times New Roman" w:cs="Times New Roman"/>
          <w:b/>
          <w:sz w:val="24"/>
          <w:szCs w:val="24"/>
        </w:rPr>
      </w:pPr>
      <w:r w:rsidRPr="00ED7EEE">
        <w:rPr>
          <w:rFonts w:ascii="Times New Roman" w:hAnsi="Times New Roman" w:cs="Times New Roman"/>
          <w:b/>
          <w:sz w:val="24"/>
          <w:szCs w:val="24"/>
        </w:rPr>
        <w:t>References:</w:t>
      </w:r>
    </w:p>
    <w:p w:rsidR="00D03823" w:rsidRPr="00F3494A" w:rsidRDefault="00D03823" w:rsidP="009657CC">
      <w:pPr>
        <w:tabs>
          <w:tab w:val="left" w:pos="-540"/>
        </w:tabs>
        <w:spacing w:after="0" w:line="240" w:lineRule="auto"/>
        <w:ind w:right="-142" w:firstLine="426"/>
        <w:jc w:val="center"/>
        <w:rPr>
          <w:rFonts w:ascii="Times New Roman" w:hAnsi="Times New Roman" w:cs="Times New Roman"/>
          <w:sz w:val="24"/>
          <w:szCs w:val="24"/>
        </w:rPr>
      </w:pPr>
    </w:p>
    <w:p w:rsidR="00D03823" w:rsidRPr="00F3494A" w:rsidRDefault="00D03823" w:rsidP="00F3494A">
      <w:pPr>
        <w:tabs>
          <w:tab w:val="left" w:pos="-540"/>
        </w:tabs>
        <w:spacing w:after="0" w:line="240" w:lineRule="auto"/>
        <w:ind w:right="-142" w:firstLine="426"/>
        <w:jc w:val="both"/>
        <w:rPr>
          <w:rFonts w:ascii="Times New Roman" w:hAnsi="Times New Roman" w:cs="Times New Roman"/>
          <w:sz w:val="24"/>
          <w:szCs w:val="24"/>
        </w:rPr>
      </w:pPr>
      <w:r w:rsidRPr="00F3494A">
        <w:rPr>
          <w:rFonts w:ascii="Times New Roman" w:hAnsi="Times New Roman" w:cs="Times New Roman"/>
          <w:sz w:val="24"/>
          <w:szCs w:val="24"/>
        </w:rPr>
        <w:t>1.</w:t>
      </w:r>
      <w:r w:rsidRPr="00F3494A">
        <w:rPr>
          <w:rFonts w:ascii="Times New Roman" w:hAnsi="Times New Roman" w:cs="Times New Roman"/>
          <w:sz w:val="24"/>
          <w:szCs w:val="24"/>
        </w:rPr>
        <w:tab/>
      </w:r>
      <w:r w:rsidRPr="00F3494A">
        <w:rPr>
          <w:rFonts w:ascii="Times New Roman" w:hAnsi="Times New Roman" w:cs="Times New Roman"/>
          <w:sz w:val="24"/>
          <w:szCs w:val="24"/>
          <w:lang w:val="en-US"/>
        </w:rPr>
        <w:t>Skakun</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M</w:t>
      </w:r>
      <w:r w:rsidRPr="00F3494A">
        <w:rPr>
          <w:rFonts w:ascii="Times New Roman" w:hAnsi="Times New Roman" w:cs="Times New Roman"/>
          <w:sz w:val="24"/>
          <w:szCs w:val="24"/>
        </w:rPr>
        <w:t>.</w:t>
      </w:r>
      <w:r w:rsidRPr="00F3494A">
        <w:rPr>
          <w:rFonts w:ascii="Times New Roman" w:hAnsi="Times New Roman" w:cs="Times New Roman"/>
          <w:sz w:val="24"/>
          <w:szCs w:val="24"/>
          <w:lang w:val="en-US"/>
        </w:rPr>
        <w:t>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Povyshenie</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jekonomicheskoj</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jeffektivnosti</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proizvodstva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jaic</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na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osnove</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racional</w:t>
      </w:r>
      <w:r w:rsidRPr="00F3494A">
        <w:rPr>
          <w:rFonts w:ascii="Times New Roman" w:hAnsi="Times New Roman" w:cs="Times New Roman"/>
          <w:sz w:val="24"/>
          <w:szCs w:val="24"/>
        </w:rPr>
        <w:t>'</w:t>
      </w:r>
      <w:r w:rsidRPr="00F3494A">
        <w:rPr>
          <w:rFonts w:ascii="Times New Roman" w:hAnsi="Times New Roman" w:cs="Times New Roman"/>
          <w:sz w:val="24"/>
          <w:szCs w:val="24"/>
          <w:lang w:val="en-US"/>
        </w:rPr>
        <w:t>nogo</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ispol</w:t>
      </w:r>
      <w:r w:rsidRPr="00F3494A">
        <w:rPr>
          <w:rFonts w:ascii="Times New Roman" w:hAnsi="Times New Roman" w:cs="Times New Roman"/>
          <w:sz w:val="24"/>
          <w:szCs w:val="24"/>
        </w:rPr>
        <w:t>'</w:t>
      </w:r>
      <w:r w:rsidRPr="00F3494A">
        <w:rPr>
          <w:rFonts w:ascii="Times New Roman" w:hAnsi="Times New Roman" w:cs="Times New Roman"/>
          <w:sz w:val="24"/>
          <w:szCs w:val="24"/>
          <w:lang w:val="en-US"/>
        </w:rPr>
        <w:t>zovanija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belkovyh</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kormov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M</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Skakun</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G</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Rjadchikov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G</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Prudnikov</w:t>
      </w:r>
      <w:r w:rsidRPr="00F3494A">
        <w:rPr>
          <w:rFonts w:ascii="Times New Roman" w:hAnsi="Times New Roman" w:cs="Times New Roman"/>
          <w:sz w:val="24"/>
          <w:szCs w:val="24"/>
        </w:rPr>
        <w:t xml:space="preserve">. – </w:t>
      </w:r>
      <w:r w:rsidRPr="00F3494A">
        <w:rPr>
          <w:rFonts w:ascii="Times New Roman" w:hAnsi="Times New Roman" w:cs="Times New Roman"/>
          <w:sz w:val="24"/>
          <w:szCs w:val="24"/>
          <w:lang w:val="en-US"/>
        </w:rPr>
        <w:t>Krasnodar</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KubGAU</w:t>
      </w:r>
      <w:r w:rsidRPr="00F3494A">
        <w:rPr>
          <w:rFonts w:ascii="Times New Roman" w:hAnsi="Times New Roman" w:cs="Times New Roman"/>
          <w:sz w:val="24"/>
          <w:szCs w:val="24"/>
        </w:rPr>
        <w:t xml:space="preserve">, 2006. – 175 </w:t>
      </w:r>
      <w:r w:rsidRPr="00F3494A">
        <w:rPr>
          <w:rFonts w:ascii="Times New Roman" w:hAnsi="Times New Roman" w:cs="Times New Roman"/>
          <w:sz w:val="24"/>
          <w:szCs w:val="24"/>
          <w:lang w:val="en-US"/>
        </w:rPr>
        <w:t>s</w:t>
      </w:r>
      <w:r w:rsidRPr="00F3494A">
        <w:rPr>
          <w:rFonts w:ascii="Times New Roman" w:hAnsi="Times New Roman" w:cs="Times New Roman"/>
          <w:sz w:val="24"/>
          <w:szCs w:val="24"/>
        </w:rPr>
        <w:t>.</w:t>
      </w:r>
    </w:p>
    <w:p w:rsidR="00D03823" w:rsidRPr="00F3494A" w:rsidRDefault="00D03823" w:rsidP="00F3494A">
      <w:pPr>
        <w:tabs>
          <w:tab w:val="left" w:pos="-540"/>
        </w:tabs>
        <w:spacing w:after="0" w:line="240" w:lineRule="auto"/>
        <w:ind w:right="-142" w:firstLine="426"/>
        <w:jc w:val="both"/>
        <w:rPr>
          <w:rFonts w:ascii="Times New Roman" w:hAnsi="Times New Roman" w:cs="Times New Roman"/>
          <w:sz w:val="24"/>
          <w:szCs w:val="24"/>
        </w:rPr>
      </w:pPr>
      <w:r w:rsidRPr="00F3494A">
        <w:rPr>
          <w:rFonts w:ascii="Times New Roman" w:hAnsi="Times New Roman" w:cs="Times New Roman"/>
          <w:sz w:val="24"/>
          <w:szCs w:val="24"/>
        </w:rPr>
        <w:t>2.</w:t>
      </w:r>
      <w:r w:rsidRPr="00F3494A">
        <w:rPr>
          <w:rFonts w:ascii="Times New Roman" w:hAnsi="Times New Roman" w:cs="Times New Roman"/>
          <w:sz w:val="24"/>
          <w:szCs w:val="24"/>
        </w:rPr>
        <w:tab/>
      </w:r>
      <w:r w:rsidRPr="00F3494A">
        <w:rPr>
          <w:rFonts w:ascii="Times New Roman" w:hAnsi="Times New Roman" w:cs="Times New Roman"/>
          <w:sz w:val="24"/>
          <w:szCs w:val="24"/>
          <w:lang w:val="en-US"/>
        </w:rPr>
        <w:t>Gorlov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D</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M</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Jekologo</w:t>
      </w:r>
      <w:r w:rsidRPr="00F3494A">
        <w:rPr>
          <w:rFonts w:ascii="Times New Roman" w:hAnsi="Times New Roman" w:cs="Times New Roman"/>
          <w:sz w:val="24"/>
          <w:szCs w:val="24"/>
        </w:rPr>
        <w:t>-</w:t>
      </w:r>
      <w:r w:rsidRPr="00F3494A">
        <w:rPr>
          <w:rFonts w:ascii="Times New Roman" w:hAnsi="Times New Roman" w:cs="Times New Roman"/>
          <w:sz w:val="24"/>
          <w:szCs w:val="24"/>
          <w:lang w:val="en-US"/>
        </w:rPr>
        <w:t>jekonomicheskaja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jeffektivnost</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proizvodstva</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plodov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v</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sel</w:t>
      </w:r>
      <w:r w:rsidRPr="00F3494A">
        <w:rPr>
          <w:rFonts w:ascii="Times New Roman" w:hAnsi="Times New Roman" w:cs="Times New Roman"/>
          <w:sz w:val="24"/>
          <w:szCs w:val="24"/>
        </w:rPr>
        <w:t>'</w:t>
      </w:r>
      <w:r w:rsidRPr="00F3494A">
        <w:rPr>
          <w:rFonts w:ascii="Times New Roman" w:hAnsi="Times New Roman" w:cs="Times New Roman"/>
          <w:sz w:val="24"/>
          <w:szCs w:val="24"/>
          <w:lang w:val="en-US"/>
        </w:rPr>
        <w:t>skohozjajstvennyh</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organizacijah</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Krasnodarskogo</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kraja</w:t>
      </w:r>
      <w:r w:rsidRPr="00F3494A">
        <w:rPr>
          <w:rFonts w:ascii="Times New Roman" w:hAnsi="Times New Roman" w:cs="Times New Roman"/>
          <w:sz w:val="24"/>
          <w:szCs w:val="24"/>
        </w:rPr>
        <w:t xml:space="preserve"> / </w:t>
      </w:r>
      <w:r w:rsidRPr="00F3494A">
        <w:rPr>
          <w:rFonts w:ascii="Times New Roman" w:hAnsi="Times New Roman" w:cs="Times New Roman"/>
          <w:sz w:val="24"/>
          <w:szCs w:val="24"/>
          <w:lang w:val="en-US"/>
        </w:rPr>
        <w:t>D</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M</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Gorlov</w:t>
      </w:r>
      <w:r w:rsidRPr="00F3494A">
        <w:rPr>
          <w:rFonts w:ascii="Times New Roman" w:hAnsi="Times New Roman" w:cs="Times New Roman"/>
          <w:sz w:val="24"/>
          <w:szCs w:val="24"/>
        </w:rPr>
        <w:t xml:space="preserve">. – </w:t>
      </w:r>
      <w:r w:rsidRPr="00F3494A">
        <w:rPr>
          <w:rFonts w:ascii="Times New Roman" w:hAnsi="Times New Roman" w:cs="Times New Roman"/>
          <w:sz w:val="24"/>
          <w:szCs w:val="24"/>
          <w:lang w:val="en-US"/>
        </w:rPr>
        <w:t>Krasnodar</w:t>
      </w:r>
      <w:r w:rsidRPr="00F3494A">
        <w:rPr>
          <w:rFonts w:ascii="Times New Roman" w:hAnsi="Times New Roman" w:cs="Times New Roman"/>
          <w:sz w:val="24"/>
          <w:szCs w:val="24"/>
        </w:rPr>
        <w:t xml:space="preserve">; </w:t>
      </w:r>
      <w:r w:rsidRPr="00F3494A">
        <w:rPr>
          <w:rFonts w:ascii="Times New Roman" w:hAnsi="Times New Roman" w:cs="Times New Roman"/>
          <w:sz w:val="24"/>
          <w:szCs w:val="24"/>
          <w:lang w:val="en-US"/>
        </w:rPr>
        <w:t>KubGAU</w:t>
      </w:r>
      <w:r w:rsidRPr="00F3494A">
        <w:rPr>
          <w:rFonts w:ascii="Times New Roman" w:hAnsi="Times New Roman" w:cs="Times New Roman"/>
          <w:sz w:val="24"/>
          <w:szCs w:val="24"/>
        </w:rPr>
        <w:t xml:space="preserve">, 2012. – 185 </w:t>
      </w:r>
      <w:r w:rsidRPr="00F3494A">
        <w:rPr>
          <w:rFonts w:ascii="Times New Roman" w:hAnsi="Times New Roman" w:cs="Times New Roman"/>
          <w:sz w:val="24"/>
          <w:szCs w:val="24"/>
          <w:lang w:val="en-US"/>
        </w:rPr>
        <w:t>s</w:t>
      </w:r>
      <w:r w:rsidRPr="00F3494A">
        <w:rPr>
          <w:rFonts w:ascii="Times New Roman" w:hAnsi="Times New Roman" w:cs="Times New Roman"/>
          <w:sz w:val="24"/>
          <w:szCs w:val="24"/>
        </w:rPr>
        <w:t>.</w:t>
      </w:r>
    </w:p>
    <w:p w:rsidR="00D03823" w:rsidRDefault="00D03823" w:rsidP="00EE65A4">
      <w:pPr>
        <w:tabs>
          <w:tab w:val="left" w:pos="-540"/>
        </w:tabs>
        <w:spacing w:after="0" w:line="240" w:lineRule="auto"/>
        <w:ind w:right="-142" w:firstLine="426"/>
        <w:jc w:val="both"/>
        <w:rPr>
          <w:rFonts w:ascii="Times New Roman" w:hAnsi="Times New Roman" w:cs="Times New Roman"/>
          <w:color w:val="333333"/>
          <w:sz w:val="24"/>
          <w:szCs w:val="24"/>
          <w:shd w:val="clear" w:color="auto" w:fill="FFFFFF"/>
        </w:rPr>
      </w:pPr>
      <w:r w:rsidRPr="00A748E8">
        <w:rPr>
          <w:rFonts w:ascii="Times New Roman" w:hAnsi="Times New Roman" w:cs="Times New Roman"/>
          <w:sz w:val="24"/>
          <w:szCs w:val="24"/>
        </w:rPr>
        <w:t>3.</w:t>
      </w:r>
      <w:r w:rsidRPr="00A748E8">
        <w:rPr>
          <w:rFonts w:ascii="Times New Roman" w:hAnsi="Times New Roman" w:cs="Times New Roman"/>
          <w:sz w:val="24"/>
          <w:szCs w:val="24"/>
        </w:rPr>
        <w:tab/>
      </w:r>
      <w:r w:rsidRPr="00F3494A">
        <w:rPr>
          <w:rFonts w:ascii="Times New Roman" w:hAnsi="Times New Roman" w:cs="Times New Roman"/>
          <w:sz w:val="24"/>
          <w:szCs w:val="24"/>
          <w:lang w:val="en-US"/>
        </w:rPr>
        <w:t>Kompleksnyj</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jekonomicheskij</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analiz</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ucheb</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metodicheskoe</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posobie</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N</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K</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Vasil</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eva</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A</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G</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Prudnikov</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A</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I</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Trubilin</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i</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dr</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pod</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obshh</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red</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N</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K</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Vasil</w:t>
      </w:r>
      <w:r w:rsidRPr="00A748E8">
        <w:rPr>
          <w:rFonts w:ascii="Times New Roman" w:hAnsi="Times New Roman" w:cs="Times New Roman"/>
          <w:sz w:val="24"/>
          <w:szCs w:val="24"/>
        </w:rPr>
        <w:t>'</w:t>
      </w:r>
      <w:r w:rsidRPr="00F3494A">
        <w:rPr>
          <w:rFonts w:ascii="Times New Roman" w:hAnsi="Times New Roman" w:cs="Times New Roman"/>
          <w:sz w:val="24"/>
          <w:szCs w:val="24"/>
          <w:lang w:val="en-US"/>
        </w:rPr>
        <w:t>evoj</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A</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G</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Prudnikova</w:t>
      </w:r>
      <w:r w:rsidRPr="00A748E8">
        <w:rPr>
          <w:rFonts w:ascii="Times New Roman" w:hAnsi="Times New Roman" w:cs="Times New Roman"/>
          <w:sz w:val="24"/>
          <w:szCs w:val="24"/>
        </w:rPr>
        <w:t xml:space="preserve">. - </w:t>
      </w:r>
      <w:r w:rsidRPr="00F3494A">
        <w:rPr>
          <w:rFonts w:ascii="Times New Roman" w:hAnsi="Times New Roman" w:cs="Times New Roman"/>
          <w:sz w:val="24"/>
          <w:szCs w:val="24"/>
          <w:lang w:val="en-US"/>
        </w:rPr>
        <w:t>Krasnodar</w:t>
      </w:r>
      <w:r w:rsidRPr="00A748E8">
        <w:rPr>
          <w:rFonts w:ascii="Times New Roman" w:hAnsi="Times New Roman" w:cs="Times New Roman"/>
          <w:sz w:val="24"/>
          <w:szCs w:val="24"/>
        </w:rPr>
        <w:t xml:space="preserve">; </w:t>
      </w:r>
      <w:r w:rsidRPr="00F3494A">
        <w:rPr>
          <w:rFonts w:ascii="Times New Roman" w:hAnsi="Times New Roman" w:cs="Times New Roman"/>
          <w:sz w:val="24"/>
          <w:szCs w:val="24"/>
          <w:lang w:val="en-US"/>
        </w:rPr>
        <w:t>KubGAU</w:t>
      </w:r>
      <w:r w:rsidRPr="00A748E8">
        <w:rPr>
          <w:rFonts w:ascii="Times New Roman" w:hAnsi="Times New Roman" w:cs="Times New Roman"/>
          <w:sz w:val="24"/>
          <w:szCs w:val="24"/>
        </w:rPr>
        <w:t xml:space="preserve">, 2011. – 121 </w:t>
      </w:r>
      <w:r w:rsidRPr="00F3494A">
        <w:rPr>
          <w:rFonts w:ascii="Times New Roman" w:hAnsi="Times New Roman" w:cs="Times New Roman"/>
          <w:sz w:val="24"/>
          <w:szCs w:val="24"/>
          <w:lang w:val="en-US"/>
        </w:rPr>
        <w:t>s</w:t>
      </w:r>
      <w:r w:rsidRPr="00A748E8">
        <w:rPr>
          <w:rFonts w:ascii="Times New Roman" w:hAnsi="Times New Roman" w:cs="Times New Roman"/>
          <w:sz w:val="24"/>
          <w:szCs w:val="24"/>
        </w:rPr>
        <w:t>.</w:t>
      </w:r>
      <w:bookmarkStart w:id="0" w:name="_GoBack"/>
      <w:bookmarkEnd w:id="0"/>
    </w:p>
    <w:p w:rsidR="00D03823" w:rsidRDefault="00D03823" w:rsidP="00F3494A">
      <w:pPr>
        <w:tabs>
          <w:tab w:val="left" w:pos="5949"/>
        </w:tabs>
        <w:spacing w:after="0" w:line="240" w:lineRule="auto"/>
        <w:ind w:right="-144"/>
        <w:jc w:val="both"/>
        <w:rPr>
          <w:rFonts w:ascii="Times New Roman" w:hAnsi="Times New Roman" w:cs="Times New Roman"/>
          <w:color w:val="333333"/>
          <w:sz w:val="24"/>
          <w:szCs w:val="24"/>
          <w:shd w:val="clear" w:color="auto" w:fill="FFFFFF"/>
        </w:rPr>
      </w:pPr>
    </w:p>
    <w:sectPr w:rsidR="00D03823" w:rsidSect="00472B91">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823" w:rsidRDefault="00D03823" w:rsidP="00727499">
      <w:pPr>
        <w:spacing w:after="0" w:line="240" w:lineRule="auto"/>
      </w:pPr>
      <w:r>
        <w:separator/>
      </w:r>
    </w:p>
  </w:endnote>
  <w:endnote w:type="continuationSeparator" w:id="0">
    <w:p w:rsidR="00D03823" w:rsidRDefault="00D03823" w:rsidP="007274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823" w:rsidRDefault="00D03823">
    <w:pPr>
      <w:pStyle w:val="Footer"/>
    </w:pPr>
    <w:r w:rsidRPr="008F116B">
      <w:rPr>
        <w:rFonts w:ascii="Times New Roman" w:hAnsi="Times New Roman"/>
        <w:sz w:val="24"/>
        <w:szCs w:val="24"/>
      </w:rPr>
      <w:t>http://ej.kubagro.ru/2016/01/pdf/</w:t>
    </w:r>
    <w:r>
      <w:rPr>
        <w:rFonts w:ascii="Times New Roman" w:hAnsi="Times New Roman"/>
        <w:sz w:val="24"/>
        <w:szCs w:val="24"/>
        <w:lang w:val="en-US"/>
      </w:rPr>
      <w:t>5</w:t>
    </w:r>
    <w:r>
      <w:rPr>
        <w:rFonts w:ascii="Times New Roman" w:hAnsi="Times New Roman"/>
        <w:sz w:val="24"/>
        <w:szCs w:val="24"/>
      </w:rPr>
      <w:t>9</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823" w:rsidRDefault="00D03823" w:rsidP="00727499">
      <w:pPr>
        <w:spacing w:after="0" w:line="240" w:lineRule="auto"/>
      </w:pPr>
      <w:r>
        <w:separator/>
      </w:r>
    </w:p>
  </w:footnote>
  <w:footnote w:type="continuationSeparator" w:id="0">
    <w:p w:rsidR="00D03823" w:rsidRDefault="00D03823" w:rsidP="007274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823" w:rsidRDefault="00D03823" w:rsidP="00215627">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D03823" w:rsidRDefault="00D03823" w:rsidP="00373BF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823" w:rsidRPr="00373BF1" w:rsidRDefault="00D03823" w:rsidP="00215627">
    <w:pPr>
      <w:pStyle w:val="Header"/>
      <w:framePr w:wrap="around" w:vAnchor="text" w:hAnchor="margin" w:xAlign="right" w:y="1"/>
      <w:rPr>
        <w:rStyle w:val="PageNumber"/>
        <w:rFonts w:ascii="Times New Roman" w:hAnsi="Times New Roman"/>
        <w:sz w:val="28"/>
        <w:szCs w:val="28"/>
      </w:rPr>
    </w:pPr>
    <w:r w:rsidRPr="00373BF1">
      <w:rPr>
        <w:rStyle w:val="PageNumber"/>
        <w:rFonts w:ascii="Times New Roman" w:hAnsi="Times New Roman"/>
        <w:sz w:val="28"/>
        <w:szCs w:val="28"/>
      </w:rPr>
      <w:fldChar w:fldCharType="begin"/>
    </w:r>
    <w:r w:rsidRPr="00373BF1">
      <w:rPr>
        <w:rStyle w:val="PageNumber"/>
        <w:rFonts w:ascii="Times New Roman" w:hAnsi="Times New Roman"/>
        <w:sz w:val="28"/>
        <w:szCs w:val="28"/>
      </w:rPr>
      <w:instrText xml:space="preserve">PAGE  </w:instrText>
    </w:r>
    <w:r w:rsidRPr="00373BF1">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373BF1">
      <w:rPr>
        <w:rStyle w:val="PageNumber"/>
        <w:rFonts w:ascii="Times New Roman" w:hAnsi="Times New Roman"/>
        <w:sz w:val="28"/>
        <w:szCs w:val="28"/>
      </w:rPr>
      <w:fldChar w:fldCharType="end"/>
    </w:r>
  </w:p>
  <w:p w:rsidR="00D03823" w:rsidRDefault="00D03823" w:rsidP="00373BF1">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D03823" w:rsidRDefault="00D038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42BD6"/>
    <w:multiLevelType w:val="hybridMultilevel"/>
    <w:tmpl w:val="FB080C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79CF537D"/>
    <w:multiLevelType w:val="hybridMultilevel"/>
    <w:tmpl w:val="81EE1E9A"/>
    <w:lvl w:ilvl="0" w:tplc="0419000F">
      <w:start w:val="1"/>
      <w:numFmt w:val="decimal"/>
      <w:lvlText w:val="%1."/>
      <w:lvlJc w:val="left"/>
      <w:pPr>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1E38"/>
    <w:rsid w:val="00043E83"/>
    <w:rsid w:val="00173496"/>
    <w:rsid w:val="00207FA5"/>
    <w:rsid w:val="00215627"/>
    <w:rsid w:val="00221007"/>
    <w:rsid w:val="00245FB9"/>
    <w:rsid w:val="002568A2"/>
    <w:rsid w:val="002919B2"/>
    <w:rsid w:val="002F3DE4"/>
    <w:rsid w:val="00320424"/>
    <w:rsid w:val="00320AF4"/>
    <w:rsid w:val="003363B5"/>
    <w:rsid w:val="00373BF1"/>
    <w:rsid w:val="003A3079"/>
    <w:rsid w:val="003F3FD7"/>
    <w:rsid w:val="00465B5F"/>
    <w:rsid w:val="00472B91"/>
    <w:rsid w:val="00491DA1"/>
    <w:rsid w:val="004C7839"/>
    <w:rsid w:val="00525B2C"/>
    <w:rsid w:val="00526E1F"/>
    <w:rsid w:val="00566CD0"/>
    <w:rsid w:val="00627679"/>
    <w:rsid w:val="00727499"/>
    <w:rsid w:val="00784670"/>
    <w:rsid w:val="007A0CC2"/>
    <w:rsid w:val="007B5356"/>
    <w:rsid w:val="00814BAE"/>
    <w:rsid w:val="00817974"/>
    <w:rsid w:val="00844AF7"/>
    <w:rsid w:val="0087308D"/>
    <w:rsid w:val="00895855"/>
    <w:rsid w:val="008B0EAA"/>
    <w:rsid w:val="008C4BDC"/>
    <w:rsid w:val="008F116B"/>
    <w:rsid w:val="009115E6"/>
    <w:rsid w:val="009657CC"/>
    <w:rsid w:val="009F3BF4"/>
    <w:rsid w:val="00A0373E"/>
    <w:rsid w:val="00A5576C"/>
    <w:rsid w:val="00A748E8"/>
    <w:rsid w:val="00AE15F5"/>
    <w:rsid w:val="00B61E38"/>
    <w:rsid w:val="00B739F9"/>
    <w:rsid w:val="00BB11B7"/>
    <w:rsid w:val="00D03823"/>
    <w:rsid w:val="00D272A2"/>
    <w:rsid w:val="00DA4BA5"/>
    <w:rsid w:val="00DC1D94"/>
    <w:rsid w:val="00DC4483"/>
    <w:rsid w:val="00DF308A"/>
    <w:rsid w:val="00E47EFC"/>
    <w:rsid w:val="00E5258A"/>
    <w:rsid w:val="00E705FA"/>
    <w:rsid w:val="00ED7EEE"/>
    <w:rsid w:val="00EE65A4"/>
    <w:rsid w:val="00F32587"/>
    <w:rsid w:val="00F34498"/>
    <w:rsid w:val="00F3494A"/>
    <w:rsid w:val="00F85B34"/>
    <w:rsid w:val="00FF07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1E38"/>
    <w:pPr>
      <w:suppressAutoHyphens/>
      <w:spacing w:after="200" w:line="276" w:lineRule="auto"/>
    </w:pPr>
    <w:rPr>
      <w:rFonts w:eastAsia="Times New Roman" w:cs="Calibri"/>
      <w:lang w:eastAsia="ar-SA"/>
    </w:rPr>
  </w:style>
  <w:style w:type="paragraph" w:styleId="Heading1">
    <w:name w:val="heading 1"/>
    <w:basedOn w:val="Normal"/>
    <w:next w:val="Normal"/>
    <w:link w:val="Heading1Char"/>
    <w:uiPriority w:val="99"/>
    <w:qFormat/>
    <w:rsid w:val="00627679"/>
    <w:pPr>
      <w:keepNext/>
      <w:outlineLvl w:val="0"/>
    </w:pPr>
    <w:rPr>
      <w:rFonts w:cs="Times New Roman"/>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27679"/>
    <w:rPr>
      <w:rFonts w:ascii="Times New Roman" w:hAnsi="Times New Roman" w:cs="Times New Roman"/>
      <w:sz w:val="20"/>
      <w:szCs w:val="20"/>
      <w:lang w:eastAsia="ru-RU"/>
    </w:rPr>
  </w:style>
  <w:style w:type="table" w:styleId="TableGrid">
    <w:name w:val="Table Grid"/>
    <w:basedOn w:val="TableNormal"/>
    <w:uiPriority w:val="99"/>
    <w:rsid w:val="00B61E3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7274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27499"/>
    <w:rPr>
      <w:rFonts w:ascii="Calibri" w:hAnsi="Calibri" w:cs="Calibri"/>
      <w:lang w:eastAsia="ar-SA" w:bidi="ar-SA"/>
    </w:rPr>
  </w:style>
  <w:style w:type="paragraph" w:styleId="Footer">
    <w:name w:val="footer"/>
    <w:basedOn w:val="Normal"/>
    <w:link w:val="FooterChar"/>
    <w:uiPriority w:val="99"/>
    <w:rsid w:val="007274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27499"/>
    <w:rPr>
      <w:rFonts w:ascii="Calibri" w:hAnsi="Calibri" w:cs="Calibri"/>
      <w:lang w:eastAsia="ar-SA" w:bidi="ar-SA"/>
    </w:rPr>
  </w:style>
  <w:style w:type="paragraph" w:styleId="BalloonText">
    <w:name w:val="Balloon Text"/>
    <w:basedOn w:val="Normal"/>
    <w:link w:val="BalloonTextChar"/>
    <w:uiPriority w:val="99"/>
    <w:semiHidden/>
    <w:rsid w:val="00207F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FA5"/>
    <w:rPr>
      <w:rFonts w:ascii="Tahoma" w:hAnsi="Tahoma" w:cs="Tahoma"/>
      <w:sz w:val="16"/>
      <w:szCs w:val="16"/>
      <w:lang w:eastAsia="ar-SA" w:bidi="ar-SA"/>
    </w:rPr>
  </w:style>
  <w:style w:type="character" w:styleId="Hyperlink">
    <w:name w:val="Hyperlink"/>
    <w:basedOn w:val="DefaultParagraphFont"/>
    <w:uiPriority w:val="99"/>
    <w:rsid w:val="00B739F9"/>
    <w:rPr>
      <w:rFonts w:cs="Times New Roman"/>
      <w:color w:val="0000FF"/>
      <w:u w:val="single"/>
    </w:rPr>
  </w:style>
  <w:style w:type="paragraph" w:styleId="ListParagraph">
    <w:name w:val="List Paragraph"/>
    <w:basedOn w:val="Normal"/>
    <w:uiPriority w:val="99"/>
    <w:qFormat/>
    <w:rsid w:val="00B739F9"/>
    <w:pPr>
      <w:ind w:left="720"/>
    </w:pPr>
  </w:style>
  <w:style w:type="character" w:styleId="Strong">
    <w:name w:val="Strong"/>
    <w:basedOn w:val="DefaultParagraphFont"/>
    <w:uiPriority w:val="99"/>
    <w:qFormat/>
    <w:rsid w:val="00B739F9"/>
    <w:rPr>
      <w:rFonts w:cs="Times New Roman"/>
      <w:b/>
      <w:bCs/>
    </w:rPr>
  </w:style>
  <w:style w:type="paragraph" w:customStyle="1" w:styleId="msonormalbullet2gifbullet2gif">
    <w:name w:val="msonormalbullet2gifbullet2.gif"/>
    <w:basedOn w:val="Normal"/>
    <w:uiPriority w:val="99"/>
    <w:rsid w:val="00F32587"/>
    <w:pPr>
      <w:suppressAutoHyphens w:val="0"/>
      <w:spacing w:before="100" w:beforeAutospacing="1" w:after="100" w:afterAutospacing="1" w:line="240" w:lineRule="auto"/>
    </w:pPr>
    <w:rPr>
      <w:rFonts w:ascii="Times New Roman" w:hAnsi="Times New Roman" w:cs="Times New Roman"/>
      <w:sz w:val="24"/>
      <w:szCs w:val="24"/>
      <w:lang w:eastAsia="ru-RU"/>
    </w:rPr>
  </w:style>
  <w:style w:type="character" w:styleId="PageNumber">
    <w:name w:val="page number"/>
    <w:basedOn w:val="DefaultParagraphFont"/>
    <w:uiPriority w:val="99"/>
    <w:rsid w:val="00373BF1"/>
    <w:rPr>
      <w:rFonts w:cs="Times New Roman"/>
    </w:rPr>
  </w:style>
</w:styles>
</file>

<file path=word/webSettings.xml><?xml version="1.0" encoding="utf-8"?>
<w:webSettings xmlns:r="http://schemas.openxmlformats.org/officeDocument/2006/relationships" xmlns:w="http://schemas.openxmlformats.org/wordprocessingml/2006/main">
  <w:divs>
    <w:div w:id="1744329879">
      <w:marLeft w:val="0"/>
      <w:marRight w:val="0"/>
      <w:marTop w:val="0"/>
      <w:marBottom w:val="0"/>
      <w:divBdr>
        <w:top w:val="none" w:sz="0" w:space="0" w:color="auto"/>
        <w:left w:val="none" w:sz="0" w:space="0" w:color="auto"/>
        <w:bottom w:val="none" w:sz="0" w:space="0" w:color="auto"/>
        <w:right w:val="none" w:sz="0" w:space="0" w:color="auto"/>
      </w:divBdr>
    </w:div>
    <w:div w:id="1744329880">
      <w:marLeft w:val="0"/>
      <w:marRight w:val="0"/>
      <w:marTop w:val="0"/>
      <w:marBottom w:val="0"/>
      <w:divBdr>
        <w:top w:val="none" w:sz="0" w:space="0" w:color="auto"/>
        <w:left w:val="none" w:sz="0" w:space="0" w:color="auto"/>
        <w:bottom w:val="none" w:sz="0" w:space="0" w:color="auto"/>
        <w:right w:val="none" w:sz="0" w:space="0" w:color="auto"/>
      </w:divBdr>
    </w:div>
    <w:div w:id="1744329881">
      <w:marLeft w:val="0"/>
      <w:marRight w:val="0"/>
      <w:marTop w:val="0"/>
      <w:marBottom w:val="0"/>
      <w:divBdr>
        <w:top w:val="none" w:sz="0" w:space="0" w:color="auto"/>
        <w:left w:val="none" w:sz="0" w:space="0" w:color="auto"/>
        <w:bottom w:val="none" w:sz="0" w:space="0" w:color="auto"/>
        <w:right w:val="none" w:sz="0" w:space="0" w:color="auto"/>
      </w:divBdr>
    </w:div>
    <w:div w:id="1744329882">
      <w:marLeft w:val="0"/>
      <w:marRight w:val="0"/>
      <w:marTop w:val="0"/>
      <w:marBottom w:val="0"/>
      <w:divBdr>
        <w:top w:val="none" w:sz="0" w:space="0" w:color="auto"/>
        <w:left w:val="none" w:sz="0" w:space="0" w:color="auto"/>
        <w:bottom w:val="none" w:sz="0" w:space="0" w:color="auto"/>
        <w:right w:val="none" w:sz="0" w:space="0" w:color="auto"/>
      </w:divBdr>
    </w:div>
    <w:div w:id="1744329883">
      <w:marLeft w:val="0"/>
      <w:marRight w:val="0"/>
      <w:marTop w:val="0"/>
      <w:marBottom w:val="0"/>
      <w:divBdr>
        <w:top w:val="none" w:sz="0" w:space="0" w:color="auto"/>
        <w:left w:val="none" w:sz="0" w:space="0" w:color="auto"/>
        <w:bottom w:val="none" w:sz="0" w:space="0" w:color="auto"/>
        <w:right w:val="none" w:sz="0" w:space="0" w:color="auto"/>
      </w:divBdr>
    </w:div>
    <w:div w:id="1744329884">
      <w:marLeft w:val="0"/>
      <w:marRight w:val="0"/>
      <w:marTop w:val="0"/>
      <w:marBottom w:val="0"/>
      <w:divBdr>
        <w:top w:val="none" w:sz="0" w:space="0" w:color="auto"/>
        <w:left w:val="none" w:sz="0" w:space="0" w:color="auto"/>
        <w:bottom w:val="none" w:sz="0" w:space="0" w:color="auto"/>
        <w:right w:val="none" w:sz="0" w:space="0" w:color="auto"/>
      </w:divBdr>
    </w:div>
    <w:div w:id="1744329885">
      <w:marLeft w:val="0"/>
      <w:marRight w:val="0"/>
      <w:marTop w:val="0"/>
      <w:marBottom w:val="0"/>
      <w:divBdr>
        <w:top w:val="none" w:sz="0" w:space="0" w:color="auto"/>
        <w:left w:val="none" w:sz="0" w:space="0" w:color="auto"/>
        <w:bottom w:val="none" w:sz="0" w:space="0" w:color="auto"/>
        <w:right w:val="none" w:sz="0" w:space="0" w:color="auto"/>
      </w:divBdr>
    </w:div>
    <w:div w:id="1744329886">
      <w:marLeft w:val="0"/>
      <w:marRight w:val="0"/>
      <w:marTop w:val="0"/>
      <w:marBottom w:val="0"/>
      <w:divBdr>
        <w:top w:val="none" w:sz="0" w:space="0" w:color="auto"/>
        <w:left w:val="none" w:sz="0" w:space="0" w:color="auto"/>
        <w:bottom w:val="none" w:sz="0" w:space="0" w:color="auto"/>
        <w:right w:val="none" w:sz="0" w:space="0" w:color="auto"/>
      </w:divBdr>
    </w:div>
    <w:div w:id="1744329887">
      <w:marLeft w:val="0"/>
      <w:marRight w:val="0"/>
      <w:marTop w:val="0"/>
      <w:marBottom w:val="0"/>
      <w:divBdr>
        <w:top w:val="none" w:sz="0" w:space="0" w:color="auto"/>
        <w:left w:val="none" w:sz="0" w:space="0" w:color="auto"/>
        <w:bottom w:val="none" w:sz="0" w:space="0" w:color="auto"/>
        <w:right w:val="none" w:sz="0" w:space="0" w:color="auto"/>
      </w:divBdr>
    </w:div>
    <w:div w:id="1744329888">
      <w:marLeft w:val="0"/>
      <w:marRight w:val="0"/>
      <w:marTop w:val="0"/>
      <w:marBottom w:val="0"/>
      <w:divBdr>
        <w:top w:val="none" w:sz="0" w:space="0" w:color="auto"/>
        <w:left w:val="none" w:sz="0" w:space="0" w:color="auto"/>
        <w:bottom w:val="none" w:sz="0" w:space="0" w:color="auto"/>
        <w:right w:val="none" w:sz="0" w:space="0" w:color="auto"/>
      </w:divBdr>
    </w:div>
    <w:div w:id="1744329889">
      <w:marLeft w:val="0"/>
      <w:marRight w:val="0"/>
      <w:marTop w:val="0"/>
      <w:marBottom w:val="0"/>
      <w:divBdr>
        <w:top w:val="none" w:sz="0" w:space="0" w:color="auto"/>
        <w:left w:val="none" w:sz="0" w:space="0" w:color="auto"/>
        <w:bottom w:val="none" w:sz="0" w:space="0" w:color="auto"/>
        <w:right w:val="none" w:sz="0" w:space="0" w:color="auto"/>
      </w:divBdr>
    </w:div>
    <w:div w:id="1744329890">
      <w:marLeft w:val="0"/>
      <w:marRight w:val="0"/>
      <w:marTop w:val="0"/>
      <w:marBottom w:val="0"/>
      <w:divBdr>
        <w:top w:val="none" w:sz="0" w:space="0" w:color="auto"/>
        <w:left w:val="none" w:sz="0" w:space="0" w:color="auto"/>
        <w:bottom w:val="none" w:sz="0" w:space="0" w:color="auto"/>
        <w:right w:val="none" w:sz="0" w:space="0" w:color="auto"/>
      </w:divBdr>
    </w:div>
    <w:div w:id="1744329891">
      <w:marLeft w:val="0"/>
      <w:marRight w:val="0"/>
      <w:marTop w:val="0"/>
      <w:marBottom w:val="0"/>
      <w:divBdr>
        <w:top w:val="none" w:sz="0" w:space="0" w:color="auto"/>
        <w:left w:val="none" w:sz="0" w:space="0" w:color="auto"/>
        <w:bottom w:val="none" w:sz="0" w:space="0" w:color="auto"/>
        <w:right w:val="none" w:sz="0" w:space="0" w:color="auto"/>
      </w:divBdr>
    </w:div>
    <w:div w:id="1744329892">
      <w:marLeft w:val="0"/>
      <w:marRight w:val="0"/>
      <w:marTop w:val="0"/>
      <w:marBottom w:val="0"/>
      <w:divBdr>
        <w:top w:val="none" w:sz="0" w:space="0" w:color="auto"/>
        <w:left w:val="none" w:sz="0" w:space="0" w:color="auto"/>
        <w:bottom w:val="none" w:sz="0" w:space="0" w:color="auto"/>
        <w:right w:val="none" w:sz="0" w:space="0" w:color="auto"/>
      </w:divBdr>
    </w:div>
    <w:div w:id="1744329893">
      <w:marLeft w:val="0"/>
      <w:marRight w:val="0"/>
      <w:marTop w:val="0"/>
      <w:marBottom w:val="0"/>
      <w:divBdr>
        <w:top w:val="none" w:sz="0" w:space="0" w:color="auto"/>
        <w:left w:val="none" w:sz="0" w:space="0" w:color="auto"/>
        <w:bottom w:val="none" w:sz="0" w:space="0" w:color="auto"/>
        <w:right w:val="none" w:sz="0" w:space="0" w:color="auto"/>
      </w:divBdr>
    </w:div>
    <w:div w:id="1744329894">
      <w:marLeft w:val="0"/>
      <w:marRight w:val="0"/>
      <w:marTop w:val="0"/>
      <w:marBottom w:val="0"/>
      <w:divBdr>
        <w:top w:val="none" w:sz="0" w:space="0" w:color="auto"/>
        <w:left w:val="none" w:sz="0" w:space="0" w:color="auto"/>
        <w:bottom w:val="none" w:sz="0" w:space="0" w:color="auto"/>
        <w:right w:val="none" w:sz="0" w:space="0" w:color="auto"/>
      </w:divBdr>
    </w:div>
    <w:div w:id="1744329895">
      <w:marLeft w:val="0"/>
      <w:marRight w:val="0"/>
      <w:marTop w:val="0"/>
      <w:marBottom w:val="0"/>
      <w:divBdr>
        <w:top w:val="none" w:sz="0" w:space="0" w:color="auto"/>
        <w:left w:val="none" w:sz="0" w:space="0" w:color="auto"/>
        <w:bottom w:val="none" w:sz="0" w:space="0" w:color="auto"/>
        <w:right w:val="none" w:sz="0" w:space="0" w:color="auto"/>
      </w:divBdr>
    </w:div>
    <w:div w:id="1744329896">
      <w:marLeft w:val="0"/>
      <w:marRight w:val="0"/>
      <w:marTop w:val="0"/>
      <w:marBottom w:val="0"/>
      <w:divBdr>
        <w:top w:val="none" w:sz="0" w:space="0" w:color="auto"/>
        <w:left w:val="none" w:sz="0" w:space="0" w:color="auto"/>
        <w:bottom w:val="none" w:sz="0" w:space="0" w:color="auto"/>
        <w:right w:val="none" w:sz="0" w:space="0" w:color="auto"/>
      </w:divBdr>
    </w:div>
    <w:div w:id="1744329897">
      <w:marLeft w:val="0"/>
      <w:marRight w:val="0"/>
      <w:marTop w:val="0"/>
      <w:marBottom w:val="0"/>
      <w:divBdr>
        <w:top w:val="none" w:sz="0" w:space="0" w:color="auto"/>
        <w:left w:val="none" w:sz="0" w:space="0" w:color="auto"/>
        <w:bottom w:val="none" w:sz="0" w:space="0" w:color="auto"/>
        <w:right w:val="none" w:sz="0" w:space="0" w:color="auto"/>
      </w:divBdr>
    </w:div>
    <w:div w:id="1744329898">
      <w:marLeft w:val="0"/>
      <w:marRight w:val="0"/>
      <w:marTop w:val="0"/>
      <w:marBottom w:val="0"/>
      <w:divBdr>
        <w:top w:val="none" w:sz="0" w:space="0" w:color="auto"/>
        <w:left w:val="none" w:sz="0" w:space="0" w:color="auto"/>
        <w:bottom w:val="none" w:sz="0" w:space="0" w:color="auto"/>
        <w:right w:val="none" w:sz="0" w:space="0" w:color="auto"/>
      </w:divBdr>
    </w:div>
    <w:div w:id="1744329899">
      <w:marLeft w:val="0"/>
      <w:marRight w:val="0"/>
      <w:marTop w:val="0"/>
      <w:marBottom w:val="0"/>
      <w:divBdr>
        <w:top w:val="none" w:sz="0" w:space="0" w:color="auto"/>
        <w:left w:val="none" w:sz="0" w:space="0" w:color="auto"/>
        <w:bottom w:val="none" w:sz="0" w:space="0" w:color="auto"/>
        <w:right w:val="none" w:sz="0" w:space="0" w:color="auto"/>
      </w:divBdr>
    </w:div>
    <w:div w:id="1744329900">
      <w:marLeft w:val="0"/>
      <w:marRight w:val="0"/>
      <w:marTop w:val="0"/>
      <w:marBottom w:val="0"/>
      <w:divBdr>
        <w:top w:val="none" w:sz="0" w:space="0" w:color="auto"/>
        <w:left w:val="none" w:sz="0" w:space="0" w:color="auto"/>
        <w:bottom w:val="none" w:sz="0" w:space="0" w:color="auto"/>
        <w:right w:val="none" w:sz="0" w:space="0" w:color="auto"/>
      </w:divBdr>
    </w:div>
    <w:div w:id="1744329901">
      <w:marLeft w:val="0"/>
      <w:marRight w:val="0"/>
      <w:marTop w:val="0"/>
      <w:marBottom w:val="0"/>
      <w:divBdr>
        <w:top w:val="none" w:sz="0" w:space="0" w:color="auto"/>
        <w:left w:val="none" w:sz="0" w:space="0" w:color="auto"/>
        <w:bottom w:val="none" w:sz="0" w:space="0" w:color="auto"/>
        <w:right w:val="none" w:sz="0" w:space="0" w:color="auto"/>
      </w:divBdr>
    </w:div>
    <w:div w:id="1744329902">
      <w:marLeft w:val="0"/>
      <w:marRight w:val="0"/>
      <w:marTop w:val="0"/>
      <w:marBottom w:val="0"/>
      <w:divBdr>
        <w:top w:val="none" w:sz="0" w:space="0" w:color="auto"/>
        <w:left w:val="none" w:sz="0" w:space="0" w:color="auto"/>
        <w:bottom w:val="none" w:sz="0" w:space="0" w:color="auto"/>
        <w:right w:val="none" w:sz="0" w:space="0" w:color="auto"/>
      </w:divBdr>
    </w:div>
    <w:div w:id="1744329903">
      <w:marLeft w:val="0"/>
      <w:marRight w:val="0"/>
      <w:marTop w:val="0"/>
      <w:marBottom w:val="0"/>
      <w:divBdr>
        <w:top w:val="none" w:sz="0" w:space="0" w:color="auto"/>
        <w:left w:val="none" w:sz="0" w:space="0" w:color="auto"/>
        <w:bottom w:val="none" w:sz="0" w:space="0" w:color="auto"/>
        <w:right w:val="none" w:sz="0" w:space="0" w:color="auto"/>
      </w:divBdr>
    </w:div>
    <w:div w:id="1744329904">
      <w:marLeft w:val="0"/>
      <w:marRight w:val="0"/>
      <w:marTop w:val="0"/>
      <w:marBottom w:val="0"/>
      <w:divBdr>
        <w:top w:val="none" w:sz="0" w:space="0" w:color="auto"/>
        <w:left w:val="none" w:sz="0" w:space="0" w:color="auto"/>
        <w:bottom w:val="none" w:sz="0" w:space="0" w:color="auto"/>
        <w:right w:val="none" w:sz="0" w:space="0" w:color="auto"/>
      </w:divBdr>
    </w:div>
    <w:div w:id="1744329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1259</TotalTime>
  <Pages>13</Pages>
  <Words>3671</Words>
  <Characters>20928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5849</dc:creator>
  <cp:keywords/>
  <dc:description/>
  <cp:lastModifiedBy>Sergey</cp:lastModifiedBy>
  <cp:revision>18</cp:revision>
  <cp:lastPrinted>2016-01-09T08:21:00Z</cp:lastPrinted>
  <dcterms:created xsi:type="dcterms:W3CDTF">2015-04-29T02:22:00Z</dcterms:created>
  <dcterms:modified xsi:type="dcterms:W3CDTF">2016-01-17T07:38:00Z</dcterms:modified>
</cp:coreProperties>
</file>