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8B5BAE" w:rsidRPr="00013AA8" w:rsidTr="00EC003D">
        <w:trPr>
          <w:trHeight w:val="841"/>
        </w:trPr>
        <w:tc>
          <w:tcPr>
            <w:tcW w:w="4643" w:type="dxa"/>
          </w:tcPr>
          <w:p w:rsidR="008B5BAE" w:rsidRDefault="008B5BAE" w:rsidP="00013AA8">
            <w:pPr>
              <w:tabs>
                <w:tab w:val="left" w:pos="5949"/>
              </w:tabs>
              <w:spacing w:after="0" w:line="240" w:lineRule="auto"/>
              <w:rPr>
                <w:rFonts w:ascii="Times New Roman" w:hAnsi="Times New Roman" w:cs="Times New Roman"/>
                <w:sz w:val="20"/>
                <w:szCs w:val="20"/>
              </w:rPr>
            </w:pPr>
            <w:r w:rsidRPr="00EC003D">
              <w:rPr>
                <w:rFonts w:ascii="Times New Roman" w:hAnsi="Times New Roman" w:cs="Times New Roman"/>
                <w:sz w:val="20"/>
                <w:szCs w:val="20"/>
              </w:rPr>
              <w:t>УДК 005.52: 658.15</w:t>
            </w:r>
          </w:p>
          <w:p w:rsidR="008B5BAE" w:rsidRPr="00EC003D" w:rsidRDefault="008B5BAE" w:rsidP="00013AA8">
            <w:pPr>
              <w:tabs>
                <w:tab w:val="left" w:pos="5949"/>
              </w:tabs>
              <w:spacing w:after="0" w:line="240" w:lineRule="auto"/>
              <w:rPr>
                <w:rFonts w:ascii="Times New Roman" w:hAnsi="Times New Roman" w:cs="Times New Roman"/>
                <w:sz w:val="20"/>
                <w:szCs w:val="20"/>
              </w:rPr>
            </w:pPr>
          </w:p>
          <w:p w:rsidR="008B5BAE" w:rsidRPr="00EC003D" w:rsidRDefault="008B5BAE" w:rsidP="00013AA8">
            <w:pPr>
              <w:tabs>
                <w:tab w:val="left" w:pos="5949"/>
              </w:tabs>
              <w:spacing w:after="0" w:line="240" w:lineRule="auto"/>
              <w:rPr>
                <w:rFonts w:ascii="Times New Roman" w:hAnsi="Times New Roman" w:cs="Times New Roman"/>
                <w:sz w:val="20"/>
                <w:szCs w:val="20"/>
              </w:rPr>
            </w:pPr>
            <w:r w:rsidRPr="00EC003D">
              <w:rPr>
                <w:rFonts w:ascii="Times New Roman" w:hAnsi="Times New Roman" w:cs="Times New Roman"/>
                <w:sz w:val="20"/>
                <w:szCs w:val="20"/>
              </w:rPr>
              <w:t>08.00.00 Экономические науки</w:t>
            </w:r>
          </w:p>
          <w:p w:rsidR="008B5BAE" w:rsidRPr="00EC003D" w:rsidRDefault="008B5BAE" w:rsidP="00013AA8">
            <w:pPr>
              <w:tabs>
                <w:tab w:val="left" w:pos="5949"/>
              </w:tabs>
              <w:spacing w:after="0" w:line="240" w:lineRule="auto"/>
              <w:rPr>
                <w:rFonts w:ascii="Times New Roman" w:hAnsi="Times New Roman" w:cs="Times New Roman"/>
                <w:sz w:val="20"/>
                <w:szCs w:val="20"/>
              </w:rPr>
            </w:pPr>
          </w:p>
          <w:p w:rsidR="008B5BAE" w:rsidRPr="00EC003D" w:rsidRDefault="008B5BAE" w:rsidP="00013AA8">
            <w:pPr>
              <w:pStyle w:val="msonormalbullet2gifbullet2gif"/>
              <w:widowControl w:val="0"/>
              <w:shd w:val="clear" w:color="auto" w:fill="FFFFFF"/>
              <w:spacing w:before="0" w:beforeAutospacing="0" w:after="0" w:afterAutospacing="0"/>
              <w:contextualSpacing/>
              <w:rPr>
                <w:b/>
                <w:color w:val="000000"/>
                <w:sz w:val="20"/>
                <w:szCs w:val="20"/>
              </w:rPr>
            </w:pPr>
            <w:r w:rsidRPr="00EC003D">
              <w:rPr>
                <w:b/>
                <w:color w:val="000000"/>
                <w:sz w:val="20"/>
                <w:szCs w:val="20"/>
              </w:rPr>
              <w:t>АНАЛИЗ ВЗАИМОСВЯЗИ ФИНАНСОВЫХ РЕЗУЛЬТАТОВ ДЕЯТЕЛЬНОСТИ И ПОКАЗАТЕЛЕЙ ОЦЕНКИ ФИНАНСОВОГО СОСТОЯНИЯ КОММЕРЧЕСКОЙ ОРГАНИЗАЦИИ</w:t>
            </w:r>
          </w:p>
          <w:p w:rsidR="008B5BAE" w:rsidRPr="00EC003D" w:rsidRDefault="008B5BAE" w:rsidP="00013AA8">
            <w:pPr>
              <w:pStyle w:val="msonormalbullet2gifbullet2gif"/>
              <w:widowControl w:val="0"/>
              <w:shd w:val="clear" w:color="auto" w:fill="FFFFFF"/>
              <w:spacing w:before="0" w:beforeAutospacing="0" w:after="0" w:afterAutospacing="0"/>
              <w:contextualSpacing/>
              <w:rPr>
                <w:b/>
                <w:color w:val="000000"/>
                <w:sz w:val="20"/>
                <w:szCs w:val="20"/>
              </w:rPr>
            </w:pPr>
          </w:p>
          <w:p w:rsidR="008B5BAE" w:rsidRPr="00EC003D" w:rsidRDefault="008B5BAE" w:rsidP="00013AA8">
            <w:pPr>
              <w:tabs>
                <w:tab w:val="left" w:pos="5949"/>
              </w:tabs>
              <w:spacing w:after="0" w:line="240" w:lineRule="auto"/>
              <w:rPr>
                <w:rFonts w:ascii="Times New Roman" w:hAnsi="Times New Roman" w:cs="Times New Roman"/>
                <w:sz w:val="20"/>
                <w:szCs w:val="20"/>
              </w:rPr>
            </w:pPr>
            <w:r w:rsidRPr="00EC003D">
              <w:rPr>
                <w:rFonts w:ascii="Times New Roman" w:hAnsi="Times New Roman" w:cs="Times New Roman"/>
                <w:sz w:val="20"/>
                <w:szCs w:val="20"/>
              </w:rPr>
              <w:t>Прудников Анатолий Григорьевич</w:t>
            </w:r>
          </w:p>
          <w:p w:rsidR="008B5BAE" w:rsidRPr="00EC003D" w:rsidRDefault="008B5BAE" w:rsidP="00013AA8">
            <w:pPr>
              <w:tabs>
                <w:tab w:val="left" w:pos="5949"/>
              </w:tabs>
              <w:spacing w:after="0" w:line="240" w:lineRule="auto"/>
              <w:rPr>
                <w:rFonts w:ascii="Times New Roman" w:hAnsi="Times New Roman" w:cs="Times New Roman"/>
                <w:sz w:val="20"/>
                <w:szCs w:val="20"/>
              </w:rPr>
            </w:pPr>
            <w:r w:rsidRPr="00EC003D">
              <w:rPr>
                <w:rFonts w:ascii="Times New Roman" w:hAnsi="Times New Roman" w:cs="Times New Roman"/>
                <w:sz w:val="20"/>
                <w:szCs w:val="20"/>
              </w:rPr>
              <w:t>д-р. экон. наук, профессор кафедры экономического анализа</w:t>
            </w:r>
          </w:p>
          <w:p w:rsidR="008B5BAE" w:rsidRDefault="008B5BAE" w:rsidP="00C31A26">
            <w:pPr>
              <w:spacing w:after="0" w:line="240" w:lineRule="auto"/>
              <w:rPr>
                <w:rFonts w:ascii="Times New Roman" w:hAnsi="Times New Roman" w:cs="Times New Roman"/>
                <w:sz w:val="20"/>
                <w:szCs w:val="20"/>
                <w:lang w:val="en-US"/>
              </w:rPr>
            </w:pPr>
            <w:r w:rsidRPr="00EC003D">
              <w:rPr>
                <w:rFonts w:ascii="Times New Roman" w:hAnsi="Times New Roman" w:cs="Times New Roman"/>
                <w:sz w:val="20"/>
                <w:szCs w:val="20"/>
              </w:rPr>
              <w:t xml:space="preserve">РИНЦ SPIN-код:  9720-2140 </w:t>
            </w:r>
          </w:p>
          <w:p w:rsidR="008B5BAE" w:rsidRDefault="008B5BAE" w:rsidP="00C31A26">
            <w:pPr>
              <w:spacing w:after="0" w:line="240" w:lineRule="auto"/>
              <w:rPr>
                <w:rFonts w:ascii="Times New Roman" w:hAnsi="Times New Roman" w:cs="Times New Roman"/>
                <w:sz w:val="20"/>
                <w:szCs w:val="20"/>
                <w:lang w:val="en-US"/>
              </w:rPr>
            </w:pPr>
          </w:p>
          <w:p w:rsidR="008B5BAE" w:rsidRPr="00C31A26" w:rsidRDefault="008B5BAE" w:rsidP="00C31A26">
            <w:pPr>
              <w:spacing w:after="0" w:line="240" w:lineRule="auto"/>
              <w:rPr>
                <w:rFonts w:ascii="Times New Roman" w:hAnsi="Times New Roman" w:cs="Times New Roman"/>
                <w:sz w:val="20"/>
                <w:szCs w:val="20"/>
              </w:rPr>
            </w:pPr>
            <w:r w:rsidRPr="00EC003D">
              <w:rPr>
                <w:rFonts w:ascii="Times New Roman" w:hAnsi="Times New Roman" w:cs="Times New Roman"/>
                <w:sz w:val="20"/>
                <w:szCs w:val="20"/>
              </w:rPr>
              <w:t xml:space="preserve">Журова Ольга Ивановна </w:t>
            </w:r>
          </w:p>
          <w:p w:rsidR="008B5BAE" w:rsidRPr="00EC003D" w:rsidRDefault="008B5BAE" w:rsidP="00C31A26">
            <w:pPr>
              <w:spacing w:after="0" w:line="240" w:lineRule="auto"/>
              <w:rPr>
                <w:rFonts w:ascii="Times New Roman" w:hAnsi="Times New Roman" w:cs="Times New Roman"/>
                <w:sz w:val="20"/>
                <w:szCs w:val="20"/>
              </w:rPr>
            </w:pPr>
            <w:r w:rsidRPr="00EC003D">
              <w:rPr>
                <w:rFonts w:ascii="Times New Roman" w:hAnsi="Times New Roman" w:cs="Times New Roman"/>
                <w:sz w:val="20"/>
                <w:szCs w:val="20"/>
              </w:rPr>
              <w:t>магистрант</w:t>
            </w:r>
          </w:p>
          <w:p w:rsidR="008B5BAE" w:rsidRPr="00EC003D" w:rsidRDefault="008B5BAE" w:rsidP="00013AA8">
            <w:pPr>
              <w:spacing w:after="0" w:line="240" w:lineRule="auto"/>
              <w:rPr>
                <w:rFonts w:ascii="Times New Roman" w:hAnsi="Times New Roman" w:cs="Times New Roman"/>
                <w:i/>
                <w:sz w:val="20"/>
                <w:szCs w:val="20"/>
              </w:rPr>
            </w:pPr>
            <w:r w:rsidRPr="00EC003D">
              <w:rPr>
                <w:rFonts w:ascii="Times New Roman" w:hAnsi="Times New Roman" w:cs="Times New Roman"/>
                <w:i/>
                <w:sz w:val="20"/>
                <w:szCs w:val="20"/>
              </w:rPr>
              <w:t>Кубанский государственный аграрный университет, Краснодар, Россия</w:t>
            </w:r>
          </w:p>
          <w:p w:rsidR="008B5BAE" w:rsidRDefault="008B5BAE" w:rsidP="00013AA8">
            <w:pPr>
              <w:widowControl w:val="0"/>
              <w:autoSpaceDE w:val="0"/>
              <w:autoSpaceDN w:val="0"/>
              <w:adjustRightInd w:val="0"/>
              <w:spacing w:after="0" w:line="240" w:lineRule="auto"/>
              <w:rPr>
                <w:rFonts w:ascii="Times New Roman" w:hAnsi="Times New Roman" w:cs="Times New Roman"/>
                <w:sz w:val="20"/>
                <w:szCs w:val="20"/>
                <w:lang w:val="en-US"/>
              </w:rPr>
            </w:pPr>
          </w:p>
          <w:p w:rsidR="008B5BAE" w:rsidRPr="000E7686" w:rsidRDefault="008B5BAE" w:rsidP="00013AA8">
            <w:pPr>
              <w:widowControl w:val="0"/>
              <w:autoSpaceDE w:val="0"/>
              <w:autoSpaceDN w:val="0"/>
              <w:adjustRightInd w:val="0"/>
              <w:spacing w:after="0" w:line="240" w:lineRule="auto"/>
              <w:rPr>
                <w:rFonts w:ascii="Times New Roman" w:hAnsi="Times New Roman" w:cs="Times New Roman"/>
                <w:sz w:val="28"/>
                <w:szCs w:val="28"/>
              </w:rPr>
            </w:pPr>
            <w:r w:rsidRPr="00EC003D">
              <w:rPr>
                <w:rFonts w:ascii="Times New Roman" w:hAnsi="Times New Roman" w:cs="Times New Roman"/>
                <w:sz w:val="20"/>
                <w:szCs w:val="20"/>
              </w:rPr>
              <w:t>В системе показателей, характеризующих финансовое состояние коммерческой организации важную роль играет рентабельность ее деятельности как соотношение прибыли от продаж и выручки, соотношение прибыли до налогообложения и среднегодовой стоимости всех активов, соотношение</w:t>
            </w:r>
            <w:r w:rsidRPr="00EC003D">
              <w:rPr>
                <w:rFonts w:ascii="Times New Roman" w:hAnsi="Times New Roman" w:cs="Times New Roman"/>
                <w:sz w:val="20"/>
                <w:szCs w:val="20"/>
                <w:lang w:eastAsia="en-US"/>
              </w:rPr>
              <w:t xml:space="preserve"> </w:t>
            </w:r>
            <w:r w:rsidRPr="00EC003D">
              <w:rPr>
                <w:rFonts w:ascii="Times New Roman" w:hAnsi="Times New Roman" w:cs="Times New Roman"/>
                <w:sz w:val="20"/>
                <w:szCs w:val="20"/>
              </w:rPr>
              <w:t>чистой прибыли и среднегодовой стоимости всех активов, чистой прибыли и среднегодовой величины собственного капитала. Большое практическое значение для эффективного управления ресурсами хозяйствующего субъекта представляет маржинальный анализ, но он требует, по нашему мнению, совершенствования. В учебной литературе по управленческому анализу рекомендуется определять относительную величину запаса финансовой прочности соотношением абсолютной величины запаса финансовой прочности и фактической выручки; запас финансовой прочности предложено определять по разнице между фактической величиной выручки и выручкой, соответствующей точке безубыточности. Относительную величину запаса финансовой прочности следует определять, по нашему мнению, соотношением абсолютной величины запаса финансовой прочности и величины выручки в точке безубыточности. Рекомендуемая в учебной литературе относительная величина запаса финансовой прочности – это удельный вес запаса финансовой прочности в фактической выручке. В методике рейтинговой оценки финансового состояния коммерческих организаций (кредитном скоринге американского экономиста Д. Дюрана) рентабельность совокупных активов является также приоритетным показателем, определяющим во многом платежеспособность, ликвидность бухгалтерского баланса, финансовую устойчивость хозяйствующего субъекта</w:t>
            </w:r>
          </w:p>
          <w:p w:rsidR="008B5BAE" w:rsidRPr="00EC003D" w:rsidRDefault="008B5BAE" w:rsidP="00013AA8">
            <w:pPr>
              <w:spacing w:after="0" w:line="240" w:lineRule="auto"/>
              <w:rPr>
                <w:rFonts w:ascii="Times New Roman" w:hAnsi="Times New Roman" w:cs="Times New Roman"/>
                <w:sz w:val="20"/>
                <w:szCs w:val="20"/>
              </w:rPr>
            </w:pPr>
          </w:p>
          <w:p w:rsidR="008B5BAE" w:rsidRPr="00EC003D" w:rsidRDefault="008B5BAE" w:rsidP="00013AA8">
            <w:pPr>
              <w:spacing w:after="0" w:line="240" w:lineRule="auto"/>
              <w:rPr>
                <w:rFonts w:ascii="Times New Roman" w:hAnsi="Times New Roman" w:cs="Times New Roman"/>
                <w:sz w:val="20"/>
                <w:szCs w:val="20"/>
              </w:rPr>
            </w:pPr>
            <w:r w:rsidRPr="00EC003D">
              <w:rPr>
                <w:rFonts w:ascii="Times New Roman" w:hAnsi="Times New Roman" w:cs="Times New Roman"/>
                <w:sz w:val="20"/>
                <w:szCs w:val="20"/>
              </w:rPr>
              <w:t>Ключевые слова: БУХГАЛТЕРСКИЙ БАЛАНС,</w:t>
            </w:r>
            <w:r w:rsidRPr="000E7686">
              <w:rPr>
                <w:rFonts w:ascii="Times New Roman" w:hAnsi="Times New Roman" w:cs="Times New Roman"/>
                <w:sz w:val="20"/>
                <w:szCs w:val="20"/>
              </w:rPr>
              <w:t xml:space="preserve"> </w:t>
            </w:r>
            <w:r w:rsidRPr="00EC003D">
              <w:rPr>
                <w:rFonts w:ascii="Times New Roman" w:hAnsi="Times New Roman" w:cs="Times New Roman"/>
                <w:sz w:val="20"/>
                <w:szCs w:val="20"/>
              </w:rPr>
              <w:t>АНАЛИЗ И ОЦЕНКА, КАЧЕСТВЕННЫЕ ИЗМЕНЕНИЯ В АКТИВЕ, ИСТОЧНИКИ ФИНАНСИРОВАНИЯ, ДЕЛОВАЯ АКТИВНОСТЬ, РЕЗЕРВЫ,</w:t>
            </w:r>
            <w:r w:rsidRPr="000E7686">
              <w:rPr>
                <w:rFonts w:ascii="Times New Roman" w:hAnsi="Times New Roman" w:cs="Times New Roman"/>
                <w:sz w:val="20"/>
                <w:szCs w:val="20"/>
              </w:rPr>
              <w:t xml:space="preserve"> </w:t>
            </w:r>
            <w:r w:rsidRPr="00EC003D">
              <w:rPr>
                <w:rFonts w:ascii="Times New Roman" w:hAnsi="Times New Roman" w:cs="Times New Roman"/>
                <w:sz w:val="20"/>
                <w:szCs w:val="20"/>
              </w:rPr>
              <w:t>ВЛИЯНИЕ ФИНАНСОВЫХ РЕЗУЛЬТАТОВ, ЗАПАС ФИНАНСОВОЙ ПРОЧНОСТИ</w:t>
            </w:r>
          </w:p>
        </w:tc>
        <w:tc>
          <w:tcPr>
            <w:tcW w:w="4643" w:type="dxa"/>
          </w:tcPr>
          <w:p w:rsidR="008B5BAE" w:rsidRPr="00EC003D" w:rsidRDefault="008B5BAE" w:rsidP="00013AA8">
            <w:pPr>
              <w:spacing w:after="0" w:line="240" w:lineRule="auto"/>
              <w:rPr>
                <w:rFonts w:ascii="Times New Roman" w:hAnsi="Times New Roman" w:cs="Times New Roman"/>
                <w:sz w:val="20"/>
                <w:szCs w:val="20"/>
                <w:lang w:val="en-US"/>
              </w:rPr>
            </w:pPr>
            <w:r w:rsidRPr="00EC003D">
              <w:rPr>
                <w:rFonts w:ascii="Times New Roman" w:hAnsi="Times New Roman" w:cs="Times New Roman"/>
                <w:sz w:val="20"/>
                <w:szCs w:val="20"/>
                <w:lang w:val="en-US"/>
              </w:rPr>
              <w:t>UDC 005.52: 658.15</w:t>
            </w:r>
          </w:p>
          <w:p w:rsidR="008B5BAE" w:rsidRDefault="008B5BAE" w:rsidP="00013AA8">
            <w:pPr>
              <w:spacing w:after="0" w:line="240" w:lineRule="auto"/>
              <w:rPr>
                <w:rFonts w:ascii="Times New Roman" w:hAnsi="Times New Roman" w:cs="Times New Roman"/>
                <w:sz w:val="20"/>
                <w:szCs w:val="20"/>
              </w:rPr>
            </w:pPr>
          </w:p>
          <w:p w:rsidR="008B5BAE" w:rsidRPr="00EC003D" w:rsidRDefault="008B5BAE" w:rsidP="00013AA8">
            <w:pPr>
              <w:spacing w:after="0" w:line="240" w:lineRule="auto"/>
              <w:rPr>
                <w:rFonts w:ascii="Times New Roman" w:hAnsi="Times New Roman" w:cs="Times New Roman"/>
                <w:sz w:val="20"/>
                <w:szCs w:val="20"/>
                <w:lang w:val="en-US"/>
              </w:rPr>
            </w:pPr>
            <w:r w:rsidRPr="00EC003D">
              <w:rPr>
                <w:rFonts w:ascii="Times New Roman" w:hAnsi="Times New Roman" w:cs="Times New Roman"/>
                <w:sz w:val="20"/>
                <w:szCs w:val="20"/>
                <w:lang w:val="en-US"/>
              </w:rPr>
              <w:t>Economical sciences</w:t>
            </w:r>
          </w:p>
          <w:p w:rsidR="008B5BAE" w:rsidRPr="00EC003D" w:rsidRDefault="008B5BAE" w:rsidP="00013AA8">
            <w:pPr>
              <w:spacing w:after="0" w:line="240" w:lineRule="auto"/>
              <w:rPr>
                <w:rFonts w:ascii="Times New Roman" w:hAnsi="Times New Roman" w:cs="Times New Roman"/>
                <w:sz w:val="20"/>
                <w:szCs w:val="20"/>
                <w:lang w:val="en-US"/>
              </w:rPr>
            </w:pPr>
          </w:p>
          <w:p w:rsidR="008B5BAE" w:rsidRPr="00EC003D" w:rsidRDefault="008B5BAE" w:rsidP="00013AA8">
            <w:pPr>
              <w:spacing w:after="0" w:line="240" w:lineRule="auto"/>
              <w:rPr>
                <w:rFonts w:ascii="Times New Roman" w:hAnsi="Times New Roman" w:cs="Times New Roman"/>
                <w:sz w:val="20"/>
                <w:szCs w:val="20"/>
                <w:lang w:val="en-US"/>
              </w:rPr>
            </w:pPr>
            <w:r w:rsidRPr="00EC003D">
              <w:rPr>
                <w:rFonts w:ascii="Times New Roman" w:hAnsi="Times New Roman" w:cs="Times New Roman"/>
                <w:b/>
                <w:sz w:val="20"/>
                <w:szCs w:val="20"/>
                <w:lang w:val="en-US"/>
              </w:rPr>
              <w:t xml:space="preserve">ANALYSIS OF INTERCOMMUNICATION OF FINANCIAL RESULTS OF ACTIVITY AND INDEXES OF ESTIMATION OF THE FINANCIAL STATE OF </w:t>
            </w:r>
            <w:r>
              <w:rPr>
                <w:rFonts w:ascii="Times New Roman" w:hAnsi="Times New Roman" w:cs="Times New Roman"/>
                <w:b/>
                <w:sz w:val="20"/>
                <w:szCs w:val="20"/>
                <w:lang w:val="en-US"/>
              </w:rPr>
              <w:t xml:space="preserve">A </w:t>
            </w:r>
            <w:r w:rsidRPr="00EC003D">
              <w:rPr>
                <w:rFonts w:ascii="Times New Roman" w:hAnsi="Times New Roman" w:cs="Times New Roman"/>
                <w:b/>
                <w:sz w:val="20"/>
                <w:szCs w:val="20"/>
                <w:lang w:val="en-US"/>
              </w:rPr>
              <w:t>COMMERCIAL ORGANIZATION</w:t>
            </w:r>
          </w:p>
          <w:p w:rsidR="008B5BAE" w:rsidRPr="00EC003D" w:rsidRDefault="008B5BAE" w:rsidP="00013AA8">
            <w:pPr>
              <w:spacing w:after="0" w:line="240" w:lineRule="auto"/>
              <w:rPr>
                <w:rFonts w:ascii="Times New Roman" w:hAnsi="Times New Roman" w:cs="Times New Roman"/>
                <w:sz w:val="20"/>
                <w:szCs w:val="20"/>
                <w:lang w:val="en-US"/>
              </w:rPr>
            </w:pPr>
          </w:p>
          <w:p w:rsidR="008B5BAE" w:rsidRPr="00EC003D" w:rsidRDefault="008B5BAE" w:rsidP="00013AA8">
            <w:pPr>
              <w:spacing w:after="0" w:line="240" w:lineRule="auto"/>
              <w:rPr>
                <w:rFonts w:ascii="Times New Roman" w:hAnsi="Times New Roman" w:cs="Times New Roman"/>
                <w:sz w:val="20"/>
                <w:szCs w:val="20"/>
                <w:lang w:val="en-US"/>
              </w:rPr>
            </w:pPr>
            <w:r w:rsidRPr="00EC003D">
              <w:rPr>
                <w:rFonts w:ascii="Times New Roman" w:hAnsi="Times New Roman" w:cs="Times New Roman"/>
                <w:sz w:val="20"/>
                <w:szCs w:val="20"/>
                <w:lang w:val="en-US"/>
              </w:rPr>
              <w:t>Prudnikov Anatoliy Grigorievich</w:t>
            </w:r>
          </w:p>
          <w:p w:rsidR="008B5BAE" w:rsidRPr="00EC003D" w:rsidRDefault="008B5BAE" w:rsidP="00013AA8">
            <w:pPr>
              <w:spacing w:after="0" w:line="240" w:lineRule="auto"/>
              <w:rPr>
                <w:rFonts w:ascii="Times New Roman" w:hAnsi="Times New Roman" w:cs="Times New Roman"/>
                <w:sz w:val="20"/>
                <w:szCs w:val="20"/>
                <w:lang w:val="en-US"/>
              </w:rPr>
            </w:pPr>
            <w:r w:rsidRPr="00EC003D">
              <w:rPr>
                <w:rFonts w:ascii="Times New Roman" w:hAnsi="Times New Roman" w:cs="Times New Roman"/>
                <w:sz w:val="20"/>
                <w:szCs w:val="20"/>
                <w:lang w:val="en-US"/>
              </w:rPr>
              <w:t>Dr.</w:t>
            </w:r>
            <w:r>
              <w:rPr>
                <w:rFonts w:ascii="Times New Roman" w:hAnsi="Times New Roman" w:cs="Times New Roman"/>
                <w:sz w:val="20"/>
                <w:szCs w:val="20"/>
                <w:lang w:val="en-US"/>
              </w:rPr>
              <w:t>Sci.</w:t>
            </w:r>
            <w:r w:rsidRPr="00EC003D">
              <w:rPr>
                <w:rFonts w:ascii="Times New Roman" w:hAnsi="Times New Roman" w:cs="Times New Roman"/>
                <w:sz w:val="20"/>
                <w:szCs w:val="20"/>
                <w:lang w:val="en-US"/>
              </w:rPr>
              <w:t>Econ., Professor, chair of economic analysis</w:t>
            </w:r>
          </w:p>
          <w:p w:rsidR="008B5BAE" w:rsidRDefault="008B5BAE" w:rsidP="00C31A26">
            <w:pPr>
              <w:spacing w:after="0" w:line="240" w:lineRule="auto"/>
              <w:rPr>
                <w:rFonts w:ascii="Times New Roman" w:hAnsi="Times New Roman" w:cs="Times New Roman"/>
                <w:sz w:val="20"/>
                <w:szCs w:val="20"/>
                <w:lang w:val="en-US"/>
              </w:rPr>
            </w:pPr>
            <w:r w:rsidRPr="00EC003D">
              <w:rPr>
                <w:rFonts w:ascii="Times New Roman" w:hAnsi="Times New Roman" w:cs="Times New Roman"/>
                <w:sz w:val="20"/>
                <w:szCs w:val="20"/>
                <w:lang w:val="en-US"/>
              </w:rPr>
              <w:t xml:space="preserve">RSCI SPIN- code: 9720-2140 </w:t>
            </w:r>
          </w:p>
          <w:p w:rsidR="008B5BAE" w:rsidRDefault="008B5BAE" w:rsidP="00C31A26">
            <w:pPr>
              <w:spacing w:after="0" w:line="240" w:lineRule="auto"/>
              <w:rPr>
                <w:rFonts w:ascii="Times New Roman" w:hAnsi="Times New Roman" w:cs="Times New Roman"/>
                <w:sz w:val="20"/>
                <w:szCs w:val="20"/>
                <w:lang w:val="en-US"/>
              </w:rPr>
            </w:pPr>
          </w:p>
          <w:p w:rsidR="008B5BAE" w:rsidRDefault="008B5BAE" w:rsidP="00C31A26">
            <w:pPr>
              <w:spacing w:after="0" w:line="240" w:lineRule="auto"/>
              <w:rPr>
                <w:rFonts w:ascii="Times New Roman" w:hAnsi="Times New Roman" w:cs="Times New Roman"/>
                <w:sz w:val="20"/>
                <w:szCs w:val="20"/>
                <w:lang w:val="en-US"/>
              </w:rPr>
            </w:pPr>
          </w:p>
          <w:p w:rsidR="008B5BAE" w:rsidRDefault="008B5BAE" w:rsidP="00C31A26">
            <w:pPr>
              <w:spacing w:after="0" w:line="240" w:lineRule="auto"/>
              <w:rPr>
                <w:rFonts w:ascii="Times New Roman" w:hAnsi="Times New Roman" w:cs="Times New Roman"/>
                <w:sz w:val="20"/>
                <w:szCs w:val="20"/>
                <w:lang w:val="en-US"/>
              </w:rPr>
            </w:pPr>
            <w:r w:rsidRPr="00EC003D">
              <w:rPr>
                <w:rFonts w:ascii="Times New Roman" w:hAnsi="Times New Roman" w:cs="Times New Roman"/>
                <w:sz w:val="20"/>
                <w:szCs w:val="20"/>
                <w:lang w:val="en-US"/>
              </w:rPr>
              <w:t xml:space="preserve">Zhurova Olga Ivanovna </w:t>
            </w:r>
          </w:p>
          <w:p w:rsidR="008B5BAE" w:rsidRPr="00EC003D" w:rsidRDefault="008B5BAE" w:rsidP="00013AA8">
            <w:pPr>
              <w:spacing w:after="0" w:line="240" w:lineRule="auto"/>
              <w:rPr>
                <w:rFonts w:ascii="Times New Roman" w:hAnsi="Times New Roman" w:cs="Times New Roman"/>
                <w:sz w:val="20"/>
                <w:szCs w:val="20"/>
                <w:lang w:val="en-US"/>
              </w:rPr>
            </w:pPr>
            <w:r w:rsidRPr="00EC003D">
              <w:rPr>
                <w:rFonts w:ascii="Times New Roman" w:hAnsi="Times New Roman" w:cs="Times New Roman"/>
                <w:sz w:val="20"/>
                <w:szCs w:val="20"/>
                <w:lang w:val="en-US"/>
              </w:rPr>
              <w:t>ma</w:t>
            </w:r>
            <w:r>
              <w:rPr>
                <w:rFonts w:ascii="Times New Roman" w:hAnsi="Times New Roman" w:cs="Times New Roman"/>
                <w:sz w:val="20"/>
                <w:szCs w:val="20"/>
                <w:lang w:val="en-US"/>
              </w:rPr>
              <w:t>ster student</w:t>
            </w:r>
          </w:p>
          <w:p w:rsidR="008B5BAE" w:rsidRPr="00EC003D" w:rsidRDefault="008B5BAE" w:rsidP="00013AA8">
            <w:pPr>
              <w:spacing w:after="0" w:line="240" w:lineRule="auto"/>
              <w:rPr>
                <w:rFonts w:ascii="Times New Roman" w:hAnsi="Times New Roman" w:cs="Times New Roman"/>
                <w:i/>
                <w:sz w:val="20"/>
                <w:szCs w:val="20"/>
                <w:lang w:val="en-US"/>
              </w:rPr>
            </w:pPr>
            <w:r w:rsidRPr="00EC003D">
              <w:rPr>
                <w:rFonts w:ascii="Times New Roman" w:hAnsi="Times New Roman" w:cs="Times New Roman"/>
                <w:i/>
                <w:sz w:val="20"/>
                <w:szCs w:val="20"/>
                <w:lang w:val="en-US"/>
              </w:rPr>
              <w:t xml:space="preserve">Kuban state agrarian University, Krasnodar, </w:t>
            </w:r>
            <w:smartTag w:uri="urn:schemas-microsoft-com:office:smarttags" w:element="country-region">
              <w:smartTag w:uri="urn:schemas-microsoft-com:office:smarttags" w:element="place">
                <w:r w:rsidRPr="00EC003D">
                  <w:rPr>
                    <w:rFonts w:ascii="Times New Roman" w:hAnsi="Times New Roman" w:cs="Times New Roman"/>
                    <w:i/>
                    <w:sz w:val="20"/>
                    <w:szCs w:val="20"/>
                    <w:lang w:val="en-US"/>
                  </w:rPr>
                  <w:t>Russia</w:t>
                </w:r>
              </w:smartTag>
            </w:smartTag>
          </w:p>
          <w:p w:rsidR="008B5BAE" w:rsidRPr="00EC003D" w:rsidRDefault="008B5BAE" w:rsidP="00013AA8">
            <w:pPr>
              <w:spacing w:after="0" w:line="240" w:lineRule="auto"/>
              <w:rPr>
                <w:rFonts w:ascii="Times New Roman" w:hAnsi="Times New Roman" w:cs="Times New Roman"/>
                <w:sz w:val="20"/>
                <w:szCs w:val="20"/>
                <w:lang w:val="en-US"/>
              </w:rPr>
            </w:pPr>
          </w:p>
          <w:p w:rsidR="008B5BAE" w:rsidRPr="00EC003D" w:rsidRDefault="008B5BAE" w:rsidP="00013AA8">
            <w:pPr>
              <w:spacing w:after="0" w:line="240" w:lineRule="auto"/>
              <w:rPr>
                <w:rFonts w:ascii="Times New Roman" w:hAnsi="Times New Roman" w:cs="Times New Roman"/>
                <w:sz w:val="20"/>
                <w:szCs w:val="20"/>
                <w:lang w:val="en-US"/>
              </w:rPr>
            </w:pPr>
          </w:p>
          <w:p w:rsidR="008B5BAE" w:rsidRPr="00EC003D" w:rsidRDefault="008B5BAE" w:rsidP="00013AA8">
            <w:pPr>
              <w:spacing w:after="0" w:line="240" w:lineRule="auto"/>
              <w:rPr>
                <w:rFonts w:ascii="Times New Roman" w:hAnsi="Times New Roman" w:cs="Times New Roman"/>
                <w:sz w:val="20"/>
                <w:szCs w:val="20"/>
                <w:lang w:val="en-US"/>
              </w:rPr>
            </w:pPr>
            <w:r w:rsidRPr="00EC003D">
              <w:rPr>
                <w:rFonts w:ascii="Times New Roman" w:hAnsi="Times New Roman" w:cs="Times New Roman"/>
                <w:sz w:val="20"/>
                <w:szCs w:val="20"/>
                <w:lang w:val="en-US"/>
              </w:rPr>
              <w:t xml:space="preserve">The system of indicators characterizing the financial condition of </w:t>
            </w:r>
            <w:r>
              <w:rPr>
                <w:rFonts w:ascii="Times New Roman" w:hAnsi="Times New Roman" w:cs="Times New Roman"/>
                <w:sz w:val="20"/>
                <w:szCs w:val="20"/>
                <w:lang w:val="en-US"/>
              </w:rPr>
              <w:t>a</w:t>
            </w:r>
            <w:r w:rsidRPr="00EC003D">
              <w:rPr>
                <w:rFonts w:ascii="Times New Roman" w:hAnsi="Times New Roman" w:cs="Times New Roman"/>
                <w:sz w:val="20"/>
                <w:szCs w:val="20"/>
                <w:lang w:val="en-US"/>
              </w:rPr>
              <w:t xml:space="preserve"> commercial organization</w:t>
            </w:r>
            <w:r>
              <w:rPr>
                <w:rFonts w:ascii="Times New Roman" w:hAnsi="Times New Roman" w:cs="Times New Roman"/>
                <w:sz w:val="20"/>
                <w:szCs w:val="20"/>
                <w:lang w:val="en-US"/>
              </w:rPr>
              <w:t xml:space="preserve">, </w:t>
            </w:r>
            <w:r w:rsidRPr="00EC003D">
              <w:rPr>
                <w:rFonts w:ascii="Times New Roman" w:hAnsi="Times New Roman" w:cs="Times New Roman"/>
                <w:sz w:val="20"/>
                <w:szCs w:val="20"/>
                <w:lang w:val="en-US"/>
              </w:rPr>
              <w:t xml:space="preserve">the </w:t>
            </w:r>
            <w:r>
              <w:rPr>
                <w:rFonts w:ascii="Times New Roman" w:hAnsi="Times New Roman" w:cs="Times New Roman"/>
                <w:sz w:val="20"/>
                <w:szCs w:val="20"/>
                <w:lang w:val="en-US"/>
              </w:rPr>
              <w:t>major thing is</w:t>
            </w:r>
            <w:r w:rsidRPr="00EC003D">
              <w:rPr>
                <w:rFonts w:ascii="Times New Roman" w:hAnsi="Times New Roman" w:cs="Times New Roman"/>
                <w:sz w:val="20"/>
                <w:szCs w:val="20"/>
                <w:lang w:val="en-US"/>
              </w:rPr>
              <w:t xml:space="preserve"> profitability of its operations as the ratio of profit on sales and revenues, the ratio of profit before tax and the average annual value of total assets, the ratio of net profit and the average value of all assets, net income and average equity. Great practical importance for the efficient management of resources economic entity is marginal analysis, but it requires, in our opinion, improvement. In the academic literature on management analysis it is recommended to determine the relative value of the stock of financial strength ratio of the absolute value of the stock of financial strength and actual revenue; financial headroom suggested determined by the difference between the actual value of revenue and earnings, the corresponding break-even point. The relative value of the stock of financial strength should be determined, in our opinion, the ratio of the absolute value of the stock of financial strength and the amount of revenue in the break-even point. Recommended </w:t>
            </w:r>
            <w:r>
              <w:rPr>
                <w:rFonts w:ascii="Times New Roman" w:hAnsi="Times New Roman" w:cs="Times New Roman"/>
                <w:sz w:val="20"/>
                <w:szCs w:val="20"/>
                <w:lang w:val="en-US"/>
              </w:rPr>
              <w:t xml:space="preserve">in textbooks </w:t>
            </w:r>
            <w:r w:rsidRPr="00EC003D">
              <w:rPr>
                <w:rFonts w:ascii="Times New Roman" w:hAnsi="Times New Roman" w:cs="Times New Roman"/>
                <w:sz w:val="20"/>
                <w:szCs w:val="20"/>
                <w:lang w:val="en-US"/>
              </w:rPr>
              <w:t xml:space="preserve">relative value of the stock of financial strength </w:t>
            </w:r>
            <w:r>
              <w:rPr>
                <w:rFonts w:ascii="Times New Roman" w:hAnsi="Times New Roman" w:cs="Times New Roman"/>
                <w:sz w:val="20"/>
                <w:szCs w:val="20"/>
                <w:lang w:val="en-US"/>
              </w:rPr>
              <w:t>is</w:t>
            </w:r>
            <w:r w:rsidRPr="00EC003D">
              <w:rPr>
                <w:rFonts w:ascii="Times New Roman" w:hAnsi="Times New Roman" w:cs="Times New Roman"/>
                <w:sz w:val="20"/>
                <w:szCs w:val="20"/>
                <w:lang w:val="en-US"/>
              </w:rPr>
              <w:t xml:space="preserve"> a share of stock of financial strength in the actual revenue. The method of rating the financial condition of commercial organizations (credit scoring </w:t>
            </w:r>
            <w:r>
              <w:rPr>
                <w:rFonts w:ascii="Times New Roman" w:hAnsi="Times New Roman" w:cs="Times New Roman"/>
                <w:sz w:val="20"/>
                <w:szCs w:val="20"/>
                <w:lang w:val="en-US"/>
              </w:rPr>
              <w:t xml:space="preserve">of the </w:t>
            </w:r>
            <w:r w:rsidRPr="00EC003D">
              <w:rPr>
                <w:rFonts w:ascii="Times New Roman" w:hAnsi="Times New Roman" w:cs="Times New Roman"/>
                <w:sz w:val="20"/>
                <w:szCs w:val="20"/>
                <w:lang w:val="en-US"/>
              </w:rPr>
              <w:t xml:space="preserve">American economist </w:t>
            </w:r>
            <w:r>
              <w:rPr>
                <w:rFonts w:ascii="Times New Roman" w:hAnsi="Times New Roman" w:cs="Times New Roman"/>
                <w:sz w:val="20"/>
                <w:szCs w:val="20"/>
                <w:lang w:val="en-US"/>
              </w:rPr>
              <w:t>D</w:t>
            </w:r>
            <w:r w:rsidRPr="00EC003D">
              <w:rPr>
                <w:rFonts w:ascii="Times New Roman" w:hAnsi="Times New Roman" w:cs="Times New Roman"/>
                <w:sz w:val="20"/>
                <w:szCs w:val="20"/>
                <w:lang w:val="en-US"/>
              </w:rPr>
              <w:t>. Durant) return on total assets is also a priority index, largely determining the solvency and liquidity of the balance sheet, the financial stability of the business entity. However, in practice the profitability of the invested capital is not always charact</w:t>
            </w:r>
            <w:r>
              <w:rPr>
                <w:rFonts w:ascii="Times New Roman" w:hAnsi="Times New Roman" w:cs="Times New Roman"/>
                <w:sz w:val="20"/>
                <w:szCs w:val="20"/>
                <w:lang w:val="en-US"/>
              </w:rPr>
              <w:t>erized by an optimal investment</w:t>
            </w:r>
          </w:p>
          <w:p w:rsidR="008B5BAE" w:rsidRPr="00EC003D" w:rsidRDefault="008B5BAE" w:rsidP="00013AA8">
            <w:pPr>
              <w:spacing w:after="0" w:line="240" w:lineRule="auto"/>
              <w:rPr>
                <w:rFonts w:ascii="Times New Roman" w:hAnsi="Times New Roman" w:cs="Times New Roman"/>
                <w:sz w:val="20"/>
                <w:szCs w:val="20"/>
                <w:lang w:val="en-US"/>
              </w:rPr>
            </w:pPr>
          </w:p>
          <w:p w:rsidR="008B5BAE" w:rsidRPr="00EC003D" w:rsidRDefault="008B5BAE" w:rsidP="00013AA8">
            <w:pPr>
              <w:spacing w:after="0" w:line="240" w:lineRule="auto"/>
              <w:rPr>
                <w:rFonts w:ascii="Times New Roman" w:hAnsi="Times New Roman" w:cs="Times New Roman"/>
                <w:sz w:val="20"/>
                <w:szCs w:val="20"/>
                <w:lang w:val="en-US"/>
              </w:rPr>
            </w:pPr>
          </w:p>
          <w:p w:rsidR="008B5BAE" w:rsidRPr="00EC003D" w:rsidRDefault="008B5BAE" w:rsidP="00013AA8">
            <w:pPr>
              <w:spacing w:after="0" w:line="240" w:lineRule="auto"/>
              <w:rPr>
                <w:rFonts w:ascii="Times New Roman" w:hAnsi="Times New Roman" w:cs="Times New Roman"/>
                <w:sz w:val="20"/>
                <w:szCs w:val="20"/>
                <w:lang w:val="en-US"/>
              </w:rPr>
            </w:pPr>
          </w:p>
          <w:p w:rsidR="008B5BAE" w:rsidRPr="00EC003D" w:rsidRDefault="008B5BAE" w:rsidP="00013AA8">
            <w:pPr>
              <w:spacing w:after="0" w:line="240" w:lineRule="auto"/>
              <w:rPr>
                <w:rFonts w:ascii="Times New Roman" w:hAnsi="Times New Roman" w:cs="Times New Roman"/>
                <w:sz w:val="20"/>
                <w:szCs w:val="20"/>
                <w:lang w:val="en-US"/>
              </w:rPr>
            </w:pPr>
          </w:p>
          <w:p w:rsidR="008B5BAE" w:rsidRPr="00EC003D" w:rsidRDefault="008B5BAE" w:rsidP="00013AA8">
            <w:pPr>
              <w:spacing w:after="0" w:line="240" w:lineRule="auto"/>
              <w:rPr>
                <w:rFonts w:ascii="Times New Roman" w:hAnsi="Times New Roman" w:cs="Times New Roman"/>
                <w:sz w:val="20"/>
                <w:szCs w:val="20"/>
                <w:lang w:val="en-US"/>
              </w:rPr>
            </w:pPr>
          </w:p>
          <w:p w:rsidR="008B5BAE" w:rsidRPr="00EC003D" w:rsidRDefault="008B5BAE" w:rsidP="00013AA8">
            <w:pPr>
              <w:spacing w:after="0" w:line="240" w:lineRule="auto"/>
              <w:rPr>
                <w:rFonts w:ascii="Times New Roman" w:hAnsi="Times New Roman" w:cs="Times New Roman"/>
                <w:sz w:val="20"/>
                <w:szCs w:val="20"/>
                <w:lang w:val="en-US"/>
              </w:rPr>
            </w:pPr>
          </w:p>
          <w:p w:rsidR="008B5BAE" w:rsidRPr="00EC003D" w:rsidRDefault="008B5BAE" w:rsidP="00013AA8">
            <w:pPr>
              <w:spacing w:after="0" w:line="240" w:lineRule="auto"/>
              <w:rPr>
                <w:rFonts w:ascii="Times New Roman" w:hAnsi="Times New Roman" w:cs="Times New Roman"/>
                <w:sz w:val="20"/>
                <w:szCs w:val="20"/>
                <w:lang w:val="en-US"/>
              </w:rPr>
            </w:pPr>
          </w:p>
          <w:p w:rsidR="008B5BAE" w:rsidRPr="00EC003D" w:rsidRDefault="008B5BAE" w:rsidP="00013AA8">
            <w:pPr>
              <w:spacing w:after="0" w:line="240" w:lineRule="auto"/>
              <w:rPr>
                <w:rFonts w:ascii="Times New Roman" w:hAnsi="Times New Roman" w:cs="Times New Roman"/>
                <w:sz w:val="20"/>
                <w:szCs w:val="20"/>
                <w:lang w:val="en-US"/>
              </w:rPr>
            </w:pPr>
          </w:p>
          <w:p w:rsidR="008B5BAE" w:rsidRPr="00EC003D" w:rsidRDefault="008B5BAE" w:rsidP="00013AA8">
            <w:pPr>
              <w:spacing w:after="0" w:line="240" w:lineRule="auto"/>
              <w:rPr>
                <w:rFonts w:ascii="Times New Roman" w:hAnsi="Times New Roman" w:cs="Times New Roman"/>
                <w:sz w:val="20"/>
                <w:szCs w:val="20"/>
                <w:lang w:val="en-US"/>
              </w:rPr>
            </w:pPr>
          </w:p>
          <w:p w:rsidR="008B5BAE" w:rsidRPr="00EC003D" w:rsidRDefault="008B5BAE" w:rsidP="00013AA8">
            <w:pPr>
              <w:spacing w:after="0" w:line="240" w:lineRule="auto"/>
              <w:rPr>
                <w:rFonts w:ascii="Times New Roman" w:hAnsi="Times New Roman" w:cs="Times New Roman"/>
                <w:sz w:val="20"/>
                <w:szCs w:val="20"/>
                <w:lang w:val="en-US"/>
              </w:rPr>
            </w:pPr>
            <w:r w:rsidRPr="00EC003D">
              <w:rPr>
                <w:rFonts w:ascii="Times New Roman" w:hAnsi="Times New Roman" w:cs="Times New Roman"/>
                <w:sz w:val="20"/>
                <w:szCs w:val="20"/>
                <w:lang w:val="en-US"/>
              </w:rPr>
              <w:t xml:space="preserve">Keywords: BOOK-KEEPING BALANCE, ANALYSIS AND ESTIMATION, HIGH-QUALITY CHANGES IN ASSET, SOURCING, BUSINESS ACTIVITY, BACKLOGS, INFLUENCE </w:t>
            </w:r>
            <w:r w:rsidRPr="00EC003D">
              <w:rPr>
                <w:rFonts w:ascii="Times New Roman" w:hAnsi="Times New Roman" w:cs="Times New Roman"/>
                <w:sz w:val="20"/>
                <w:szCs w:val="20"/>
              </w:rPr>
              <w:t>О</w:t>
            </w:r>
            <w:r w:rsidRPr="00EC003D">
              <w:rPr>
                <w:rFonts w:ascii="Times New Roman" w:hAnsi="Times New Roman" w:cs="Times New Roman"/>
                <w:sz w:val="20"/>
                <w:szCs w:val="20"/>
                <w:lang w:val="en-US"/>
              </w:rPr>
              <w:t xml:space="preserve">F FINANCIAL RESULTS, MARGIN </w:t>
            </w:r>
            <w:r w:rsidRPr="00EC003D">
              <w:rPr>
                <w:rFonts w:ascii="Times New Roman" w:hAnsi="Times New Roman" w:cs="Times New Roman"/>
                <w:sz w:val="20"/>
                <w:szCs w:val="20"/>
              </w:rPr>
              <w:t>О</w:t>
            </w:r>
            <w:r w:rsidRPr="00EC003D">
              <w:rPr>
                <w:rFonts w:ascii="Times New Roman" w:hAnsi="Times New Roman" w:cs="Times New Roman"/>
                <w:sz w:val="20"/>
                <w:szCs w:val="20"/>
                <w:lang w:val="en-US"/>
              </w:rPr>
              <w:t>F FINANCIAL SAFETY</w:t>
            </w:r>
          </w:p>
        </w:tc>
      </w:tr>
    </w:tbl>
    <w:p w:rsidR="008B5BAE" w:rsidRDefault="008B5BAE" w:rsidP="009026D5">
      <w:pPr>
        <w:widowControl w:val="0"/>
        <w:autoSpaceDE w:val="0"/>
        <w:autoSpaceDN w:val="0"/>
        <w:adjustRightInd w:val="0"/>
        <w:spacing w:after="0" w:line="360" w:lineRule="auto"/>
        <w:ind w:firstLine="709"/>
        <w:jc w:val="both"/>
        <w:rPr>
          <w:rFonts w:ascii="Times New Roman" w:hAnsi="Times New Roman" w:cs="Times New Roman"/>
          <w:sz w:val="28"/>
          <w:szCs w:val="28"/>
          <w:lang w:val="en-US"/>
        </w:rPr>
      </w:pPr>
    </w:p>
    <w:p w:rsidR="008B5BAE" w:rsidRDefault="008B5BAE" w:rsidP="009026D5">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9026D5">
        <w:rPr>
          <w:rFonts w:ascii="Times New Roman" w:hAnsi="Times New Roman" w:cs="Times New Roman"/>
          <w:sz w:val="28"/>
          <w:szCs w:val="28"/>
        </w:rPr>
        <w:t>В практической деятельности рентабельность на вложенный капитал не всегда характеризует оптимальность вложения капитала.</w:t>
      </w:r>
      <w:r>
        <w:rPr>
          <w:rFonts w:ascii="Times New Roman" w:hAnsi="Times New Roman" w:cs="Times New Roman"/>
          <w:sz w:val="28"/>
          <w:szCs w:val="28"/>
        </w:rPr>
        <w:t xml:space="preserve"> Так, в сельскохозяйственных организациях северной зоны по сравнению с южной зоной Краснодарского края урожайность винограда ниже в 5 – 8 раз. Производственные затраты на </w:t>
      </w:r>
      <w:smartTag w:uri="urn:schemas-microsoft-com:office:smarttags" w:element="City">
        <w:r>
          <w:rPr>
            <w:rFonts w:ascii="Times New Roman" w:hAnsi="Times New Roman" w:cs="Times New Roman"/>
            <w:sz w:val="28"/>
            <w:szCs w:val="28"/>
          </w:rPr>
          <w:t>1 га</w:t>
        </w:r>
      </w:smartTag>
      <w:r>
        <w:rPr>
          <w:rFonts w:ascii="Times New Roman" w:hAnsi="Times New Roman" w:cs="Times New Roman"/>
          <w:sz w:val="28"/>
          <w:szCs w:val="28"/>
        </w:rPr>
        <w:t xml:space="preserve"> насаждений винограда в </w:t>
      </w:r>
      <w:smartTag w:uri="urn:schemas-microsoft-com:office:smarttags" w:element="City">
        <w:r>
          <w:rPr>
            <w:rFonts w:ascii="Times New Roman" w:hAnsi="Times New Roman" w:cs="Times New Roman"/>
            <w:sz w:val="28"/>
            <w:szCs w:val="28"/>
          </w:rPr>
          <w:t>2014 г</w:t>
        </w:r>
      </w:smartTag>
      <w:r>
        <w:rPr>
          <w:rFonts w:ascii="Times New Roman" w:hAnsi="Times New Roman" w:cs="Times New Roman"/>
          <w:sz w:val="28"/>
          <w:szCs w:val="28"/>
        </w:rPr>
        <w:t xml:space="preserve">. составляли 42 тыс. руб. в северной зоне, 178 тыс. руб. в южной зоне; урожайность была равна 18 </w:t>
      </w:r>
      <w:bookmarkStart w:id="0" w:name="_GoBack"/>
      <w:bookmarkEnd w:id="0"/>
      <w:r>
        <w:rPr>
          <w:rFonts w:ascii="Times New Roman" w:hAnsi="Times New Roman" w:cs="Times New Roman"/>
          <w:sz w:val="28"/>
          <w:szCs w:val="28"/>
        </w:rPr>
        <w:t xml:space="preserve">ц с </w:t>
      </w:r>
      <w:smartTag w:uri="urn:schemas-microsoft-com:office:smarttags" w:element="City">
        <w:r>
          <w:rPr>
            <w:rFonts w:ascii="Times New Roman" w:hAnsi="Times New Roman" w:cs="Times New Roman"/>
            <w:sz w:val="28"/>
            <w:szCs w:val="28"/>
          </w:rPr>
          <w:t>1 га</w:t>
        </w:r>
      </w:smartTag>
      <w:r>
        <w:rPr>
          <w:rFonts w:ascii="Times New Roman" w:hAnsi="Times New Roman" w:cs="Times New Roman"/>
          <w:sz w:val="28"/>
          <w:szCs w:val="28"/>
        </w:rPr>
        <w:t xml:space="preserve"> и 73 ц соответственно; производственная себестоимость 1 ц винограда составила 2333,33 руб. и 2438,36 руб. соответственно. Средняя цена реализации 1 ц винограда определилась в северной зоне 3250 руб., в южной зоне 3057 руб. вследствие насыщения рынка виноградом. Рентабельность производства винограда равна в северной зоне 39,3% (</w:t>
      </w:r>
      <w:r w:rsidRPr="00EC003D">
        <w:rPr>
          <w:rFonts w:ascii="Times New Roman" w:hAnsi="Times New Roman" w:cs="Times New Roman"/>
          <w:sz w:val="28"/>
          <w:szCs w:val="28"/>
        </w:rPr>
        <w:fldChar w:fldCharType="begin"/>
      </w:r>
      <w:r w:rsidRPr="00EC003D">
        <w:rPr>
          <w:rFonts w:ascii="Times New Roman" w:hAnsi="Times New Roman" w:cs="Times New Roman"/>
          <w:sz w:val="28"/>
          <w:szCs w:val="28"/>
        </w:rPr>
        <w:instrText xml:space="preserve"> QUOTE </w:instrText>
      </w:r>
      <w:r w:rsidRPr="00EC003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8pt;height:3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61E38&quot;/&gt;&lt;wsp:rsid wsp:val=&quot;00004264&quot;/&gt;&lt;wsp:rsid wsp:val=&quot;00094DA7&quot;/&gt;&lt;wsp:rsid wsp:val=&quot;000C189E&quot;/&gt;&lt;wsp:rsid wsp:val=&quot;00171467&quot;/&gt;&lt;wsp:rsid wsp:val=&quot;001F3DDE&quot;/&gt;&lt;wsp:rsid wsp:val=&quot;00207FA5&quot;/&gt;&lt;wsp:rsid wsp:val=&quot;00245FB9&quot;/&gt;&lt;wsp:rsid wsp:val=&quot;002568A2&quot;/&gt;&lt;wsp:rsid wsp:val=&quot;0027646F&quot;/&gt;&lt;wsp:rsid wsp:val=&quot;002919B2&quot;/&gt;&lt;wsp:rsid wsp:val=&quot;00320AF4&quot;/&gt;&lt;wsp:rsid wsp:val=&quot;0036684C&quot;/&gt;&lt;wsp:rsid wsp:val=&quot;00370D4A&quot;/&gt;&lt;wsp:rsid wsp:val=&quot;00415348&quot;/&gt;&lt;wsp:rsid wsp:val=&quot;00465B5F&quot;/&gt;&lt;wsp:rsid wsp:val=&quot;004C7839&quot;/&gt;&lt;wsp:rsid wsp:val=&quot;004E6C5B&quot;/&gt;&lt;wsp:rsid wsp:val=&quot;00526E1F&quot;/&gt;&lt;wsp:rsid wsp:val=&quot;0057631B&quot;/&gt;&lt;wsp:rsid wsp:val=&quot;00580398&quot;/&gt;&lt;wsp:rsid wsp:val=&quot;00627679&quot;/&gt;&lt;wsp:rsid wsp:val=&quot;00727499&quot;/&gt;&lt;wsp:rsid wsp:val=&quot;007B5356&quot;/&gt;&lt;wsp:rsid wsp:val=&quot;00814BAE&quot;/&gt;&lt;wsp:rsid wsp:val=&quot;00817974&quot;/&gt;&lt;wsp:rsid wsp:val=&quot;00842D04&quot;/&gt;&lt;wsp:rsid wsp:val=&quot;0087308D&quot;/&gt;&lt;wsp:rsid wsp:val=&quot;00895855&quot;/&gt;&lt;wsp:rsid wsp:val=&quot;008B0EAA&quot;/&gt;&lt;wsp:rsid wsp:val=&quot;008C4AA8&quot;/&gt;&lt;wsp:rsid wsp:val=&quot;008C4BDC&quot;/&gt;&lt;wsp:rsid wsp:val=&quot;008C7671&quot;/&gt;&lt;wsp:rsid wsp:val=&quot;008E59A0&quot;/&gt;&lt;wsp:rsid wsp:val=&quot;009026D5&quot;/&gt;&lt;wsp:rsid wsp:val=&quot;009657CC&quot;/&gt;&lt;wsp:rsid wsp:val=&quot;009B55BE&quot;/&gt;&lt;wsp:rsid wsp:val=&quot;009C197A&quot;/&gt;&lt;wsp:rsid wsp:val=&quot;00A5576C&quot;/&gt;&lt;wsp:rsid wsp:val=&quot;00AC3EFF&quot;/&gt;&lt;wsp:rsid wsp:val=&quot;00AC7B74&quot;/&gt;&lt;wsp:rsid wsp:val=&quot;00AE15F5&quot;/&gt;&lt;wsp:rsid wsp:val=&quot;00AF7870&quot;/&gt;&lt;wsp:rsid wsp:val=&quot;00B470FF&quot;/&gt;&lt;wsp:rsid wsp:val=&quot;00B61E38&quot;/&gt;&lt;wsp:rsid wsp:val=&quot;00B739F9&quot;/&gt;&lt;wsp:rsid wsp:val=&quot;00B86728&quot;/&gt;&lt;wsp:rsid wsp:val=&quot;00BB11B7&quot;/&gt;&lt;wsp:rsid wsp:val=&quot;00BC5557&quot;/&gt;&lt;wsp:rsid wsp:val=&quot;00C36F0C&quot;/&gt;&lt;wsp:rsid wsp:val=&quot;00C76641&quot;/&gt;&lt;wsp:rsid wsp:val=&quot;00CD10B1&quot;/&gt;&lt;wsp:rsid wsp:val=&quot;00D06A97&quot;/&gt;&lt;wsp:rsid wsp:val=&quot;00DA5F17&quot;/&gt;&lt;wsp:rsid wsp:val=&quot;00E47EFC&quot;/&gt;&lt;wsp:rsid wsp:val=&quot;00E5258A&quot;/&gt;&lt;wsp:rsid wsp:val=&quot;00EA1429&quot;/&gt;&lt;wsp:rsid wsp:val=&quot;00EC003D&quot;/&gt;&lt;wsp:rsid wsp:val=&quot;00ED7EEE&quot;/&gt;&lt;wsp:rsid wsp:val=&quot;00F34498&quot;/&gt;&lt;wsp:rsid wsp:val=&quot;00FF0734&quot;/&gt;&lt;/wsp:rsids&gt;&lt;/w:docPr&gt;&lt;w:body&gt;&lt;w:p wsp:rsidR=&quot;00000000&quot; wsp:rsidRDefault=&quot;00C76641&quot;&gt;&lt;m:oMathPara&gt;&lt;m:oMath&gt;&lt;m:f&gt;&lt;m:fPr&gt;&lt;m:ctrlPr&gt;&lt;w:rPr&gt;&lt;w:rFonts w:ascii=&quot;Cambria Math&quot; w:fareast=&quot;Times New Roman&quot; w:h-ansi=&quot;Cambria Math&quot; w:cs=&quot;Times New Roman&quot;/&gt;&lt;wx:font wx:val=&quot;Cambria Math&quot;/&gt;&lt;w:i/&gt;&lt;w:sz w:val=&quot;28&quot;/&gt;&lt;w:sz-cs w:val=&quot;28&quot;/&gt;&lt;/w:rPr&gt;&lt;/m:ctrlPr&gt;&lt;/m:fPr&gt;&lt;m:num&gt;&lt;m:r&gt;&lt;w:rPr&gt;&lt;w:rFonts w:ascii=&quot;Cambria Math&quot; w:h-ansi=&quot;Cambria Math&quot; w:cs=&quot;Times New Roman&quot;/&gt;&lt;wx:font wx:val=&quot;Cambria Math&quot;/&gt;&lt;w:i/&gt;&lt;w:sz w:val=&quot;28&quot;/&gt;&lt;w:sz-cs w:val=&quot;28&quot;/&gt;&lt;/w:rPr&gt;&lt;m:t&gt;3250 вЂ“ 2333,33&lt;/m:t&gt;&lt;/m:r&gt;&lt;/m:num&gt;&lt;m:den&gt;&lt;m:r&gt;&lt;w:rPr&gt;&lt;w:rFonts w:ascii=&quot;Cambria Math&quot; w:h-ansi=&quot;Cambria Math&quot; w:cs=&quot;Times New Roman&quot;/&gt;&lt;wx:font wx:val=&quot;Cambria Math&quot;/&gt;&lt;w:i/&gt;&lt;w:sz w:val=&quot;28&quot;/&gt;&lt;w:sz-cs w:val=&quot;28&quot;/&gt;&lt;/w:rPr&gt;&lt;m:t&gt;2333,33&lt;/m:t&gt;&lt;/m:r&gt;&lt;/m:den&gt;&lt;/m:f&gt;&lt;m:r&gt;&lt;w:rPr&gt;&lt;w:rFonts w:ascii=&quot;Cambria Math&quot; w:h-ansi=&quot;Cambria Math&quot; w:cs=&quot;Times New Roman&quot;/&gt;&lt;wx:font wx:val=&quot;Cambria Math&quot;/&gt;&lt;w:i/&gt;&lt;w:sz w:val=&quot;28&quot;/&gt;&lt;w:sz-cs w:val=&quot;28&quot;/&gt;&lt;/w:rPr&gt;&lt;m:t&gt; Г—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EC003D">
        <w:rPr>
          <w:rFonts w:ascii="Times New Roman" w:hAnsi="Times New Roman" w:cs="Times New Roman"/>
          <w:sz w:val="28"/>
          <w:szCs w:val="28"/>
        </w:rPr>
        <w:instrText xml:space="preserve"> </w:instrText>
      </w:r>
      <w:r w:rsidRPr="00EC003D">
        <w:rPr>
          <w:rFonts w:ascii="Times New Roman" w:hAnsi="Times New Roman" w:cs="Times New Roman"/>
          <w:sz w:val="28"/>
          <w:szCs w:val="28"/>
        </w:rPr>
        <w:fldChar w:fldCharType="separate"/>
      </w:r>
      <w:r w:rsidRPr="00EC003D">
        <w:pict>
          <v:shape id="_x0000_i1026" type="#_x0000_t75" style="width:148.8pt;height:3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61E38&quot;/&gt;&lt;wsp:rsid wsp:val=&quot;00004264&quot;/&gt;&lt;wsp:rsid wsp:val=&quot;00094DA7&quot;/&gt;&lt;wsp:rsid wsp:val=&quot;000C189E&quot;/&gt;&lt;wsp:rsid wsp:val=&quot;00171467&quot;/&gt;&lt;wsp:rsid wsp:val=&quot;001F3DDE&quot;/&gt;&lt;wsp:rsid wsp:val=&quot;00207FA5&quot;/&gt;&lt;wsp:rsid wsp:val=&quot;00245FB9&quot;/&gt;&lt;wsp:rsid wsp:val=&quot;002568A2&quot;/&gt;&lt;wsp:rsid wsp:val=&quot;0027646F&quot;/&gt;&lt;wsp:rsid wsp:val=&quot;002919B2&quot;/&gt;&lt;wsp:rsid wsp:val=&quot;00320AF4&quot;/&gt;&lt;wsp:rsid wsp:val=&quot;0036684C&quot;/&gt;&lt;wsp:rsid wsp:val=&quot;00370D4A&quot;/&gt;&lt;wsp:rsid wsp:val=&quot;00415348&quot;/&gt;&lt;wsp:rsid wsp:val=&quot;00465B5F&quot;/&gt;&lt;wsp:rsid wsp:val=&quot;004C7839&quot;/&gt;&lt;wsp:rsid wsp:val=&quot;004E6C5B&quot;/&gt;&lt;wsp:rsid wsp:val=&quot;00526E1F&quot;/&gt;&lt;wsp:rsid wsp:val=&quot;0057631B&quot;/&gt;&lt;wsp:rsid wsp:val=&quot;00580398&quot;/&gt;&lt;wsp:rsid wsp:val=&quot;00627679&quot;/&gt;&lt;wsp:rsid wsp:val=&quot;00727499&quot;/&gt;&lt;wsp:rsid wsp:val=&quot;007B5356&quot;/&gt;&lt;wsp:rsid wsp:val=&quot;00814BAE&quot;/&gt;&lt;wsp:rsid wsp:val=&quot;00817974&quot;/&gt;&lt;wsp:rsid wsp:val=&quot;00842D04&quot;/&gt;&lt;wsp:rsid wsp:val=&quot;0087308D&quot;/&gt;&lt;wsp:rsid wsp:val=&quot;00895855&quot;/&gt;&lt;wsp:rsid wsp:val=&quot;008B0EAA&quot;/&gt;&lt;wsp:rsid wsp:val=&quot;008C4AA8&quot;/&gt;&lt;wsp:rsid wsp:val=&quot;008C4BDC&quot;/&gt;&lt;wsp:rsid wsp:val=&quot;008C7671&quot;/&gt;&lt;wsp:rsid wsp:val=&quot;008E59A0&quot;/&gt;&lt;wsp:rsid wsp:val=&quot;009026D5&quot;/&gt;&lt;wsp:rsid wsp:val=&quot;009657CC&quot;/&gt;&lt;wsp:rsid wsp:val=&quot;009B55BE&quot;/&gt;&lt;wsp:rsid wsp:val=&quot;009C197A&quot;/&gt;&lt;wsp:rsid wsp:val=&quot;00A5576C&quot;/&gt;&lt;wsp:rsid wsp:val=&quot;00AC3EFF&quot;/&gt;&lt;wsp:rsid wsp:val=&quot;00AC7B74&quot;/&gt;&lt;wsp:rsid wsp:val=&quot;00AE15F5&quot;/&gt;&lt;wsp:rsid wsp:val=&quot;00AF7870&quot;/&gt;&lt;wsp:rsid wsp:val=&quot;00B470FF&quot;/&gt;&lt;wsp:rsid wsp:val=&quot;00B61E38&quot;/&gt;&lt;wsp:rsid wsp:val=&quot;00B739F9&quot;/&gt;&lt;wsp:rsid wsp:val=&quot;00B86728&quot;/&gt;&lt;wsp:rsid wsp:val=&quot;00BB11B7&quot;/&gt;&lt;wsp:rsid wsp:val=&quot;00BC5557&quot;/&gt;&lt;wsp:rsid wsp:val=&quot;00C36F0C&quot;/&gt;&lt;wsp:rsid wsp:val=&quot;00C76641&quot;/&gt;&lt;wsp:rsid wsp:val=&quot;00CD10B1&quot;/&gt;&lt;wsp:rsid wsp:val=&quot;00D06A97&quot;/&gt;&lt;wsp:rsid wsp:val=&quot;00DA5F17&quot;/&gt;&lt;wsp:rsid wsp:val=&quot;00E47EFC&quot;/&gt;&lt;wsp:rsid wsp:val=&quot;00E5258A&quot;/&gt;&lt;wsp:rsid wsp:val=&quot;00EA1429&quot;/&gt;&lt;wsp:rsid wsp:val=&quot;00EC003D&quot;/&gt;&lt;wsp:rsid wsp:val=&quot;00ED7EEE&quot;/&gt;&lt;wsp:rsid wsp:val=&quot;00F34498&quot;/&gt;&lt;wsp:rsid wsp:val=&quot;00FF0734&quot;/&gt;&lt;/wsp:rsids&gt;&lt;/w:docPr&gt;&lt;w:body&gt;&lt;w:p wsp:rsidR=&quot;00000000&quot; wsp:rsidRDefault=&quot;00C76641&quot;&gt;&lt;m:oMathPara&gt;&lt;m:oMath&gt;&lt;m:f&gt;&lt;m:fPr&gt;&lt;m:ctrlPr&gt;&lt;w:rPr&gt;&lt;w:rFonts w:ascii=&quot;Cambria Math&quot; w:fareast=&quot;Times New Roman&quot; w:h-ansi=&quot;Cambria Math&quot; w:cs=&quot;Times New Roman&quot;/&gt;&lt;wx:font wx:val=&quot;Cambria Math&quot;/&gt;&lt;w:i/&gt;&lt;w:sz w:val=&quot;28&quot;/&gt;&lt;w:sz-cs w:val=&quot;28&quot;/&gt;&lt;/w:rPr&gt;&lt;/m:ctrlPr&gt;&lt;/m:fPr&gt;&lt;m:num&gt;&lt;m:r&gt;&lt;w:rPr&gt;&lt;w:rFonts w:ascii=&quot;Cambria Math&quot; w:h-ansi=&quot;Cambria Math&quot; w:cs=&quot;Times New Roman&quot;/&gt;&lt;wx:font wx:val=&quot;Cambria Math&quot;/&gt;&lt;w:i/&gt;&lt;w:sz w:val=&quot;28&quot;/&gt;&lt;w:sz-cs w:val=&quot;28&quot;/&gt;&lt;/w:rPr&gt;&lt;m:t&gt;3250 вЂ“ 2333,33&lt;/m:t&gt;&lt;/m:r&gt;&lt;/m:num&gt;&lt;m:den&gt;&lt;m:r&gt;&lt;w:rPr&gt;&lt;w:rFonts w:ascii=&quot;Cambria Math&quot; w:h-ansi=&quot;Cambria Math&quot; w:cs=&quot;Times New Roman&quot;/&gt;&lt;wx:font wx:val=&quot;Cambria Math&quot;/&gt;&lt;w:i/&gt;&lt;w:sz w:val=&quot;28&quot;/&gt;&lt;w:sz-cs w:val=&quot;28&quot;/&gt;&lt;/w:rPr&gt;&lt;m:t&gt;2333,33&lt;/m:t&gt;&lt;/m:r&gt;&lt;/m:den&gt;&lt;/m:f&gt;&lt;m:r&gt;&lt;w:rPr&gt;&lt;w:rFonts w:ascii=&quot;Cambria Math&quot; w:h-ansi=&quot;Cambria Math&quot; w:cs=&quot;Times New Roman&quot;/&gt;&lt;wx:font wx:val=&quot;Cambria Math&quot;/&gt;&lt;w:i/&gt;&lt;w:sz w:val=&quot;28&quot;/&gt;&lt;w:sz-cs w:val=&quot;28&quot;/&gt;&lt;/w:rPr&gt;&lt;m:t&gt; Г—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EC003D">
        <w:rPr>
          <w:rFonts w:ascii="Times New Roman" w:hAnsi="Times New Roman" w:cs="Times New Roman"/>
          <w:sz w:val="28"/>
          <w:szCs w:val="28"/>
        </w:rPr>
        <w:fldChar w:fldCharType="end"/>
      </w:r>
      <w:r>
        <w:rPr>
          <w:rFonts w:ascii="Times New Roman" w:hAnsi="Times New Roman" w:cs="Times New Roman"/>
          <w:sz w:val="28"/>
          <w:szCs w:val="28"/>
        </w:rPr>
        <w:t>); в южной зоне она сформировалась на уровне 25,4% (</w:t>
      </w:r>
      <w:r w:rsidRPr="00EC003D">
        <w:rPr>
          <w:rFonts w:ascii="Times New Roman" w:hAnsi="Times New Roman" w:cs="Times New Roman"/>
          <w:sz w:val="28"/>
          <w:szCs w:val="28"/>
        </w:rPr>
        <w:fldChar w:fldCharType="begin"/>
      </w:r>
      <w:r w:rsidRPr="00EC003D">
        <w:rPr>
          <w:rFonts w:ascii="Times New Roman" w:hAnsi="Times New Roman" w:cs="Times New Roman"/>
          <w:sz w:val="28"/>
          <w:szCs w:val="28"/>
        </w:rPr>
        <w:instrText xml:space="preserve"> QUOTE </w:instrText>
      </w:r>
      <w:r w:rsidRPr="00EC003D">
        <w:pict>
          <v:shape id="_x0000_i1027" type="#_x0000_t75" style="width:150pt;height:27.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61E38&quot;/&gt;&lt;wsp:rsid wsp:val=&quot;00004264&quot;/&gt;&lt;wsp:rsid wsp:val=&quot;00094DA7&quot;/&gt;&lt;wsp:rsid wsp:val=&quot;000C189E&quot;/&gt;&lt;wsp:rsid wsp:val=&quot;001318E2&quot;/&gt;&lt;wsp:rsid wsp:val=&quot;00171467&quot;/&gt;&lt;wsp:rsid wsp:val=&quot;001F3DDE&quot;/&gt;&lt;wsp:rsid wsp:val=&quot;00207FA5&quot;/&gt;&lt;wsp:rsid wsp:val=&quot;00245FB9&quot;/&gt;&lt;wsp:rsid wsp:val=&quot;002568A2&quot;/&gt;&lt;wsp:rsid wsp:val=&quot;0027646F&quot;/&gt;&lt;wsp:rsid wsp:val=&quot;002919B2&quot;/&gt;&lt;wsp:rsid wsp:val=&quot;00320AF4&quot;/&gt;&lt;wsp:rsid wsp:val=&quot;0036684C&quot;/&gt;&lt;wsp:rsid wsp:val=&quot;00370D4A&quot;/&gt;&lt;wsp:rsid wsp:val=&quot;00415348&quot;/&gt;&lt;wsp:rsid wsp:val=&quot;00465B5F&quot;/&gt;&lt;wsp:rsid wsp:val=&quot;004C7839&quot;/&gt;&lt;wsp:rsid wsp:val=&quot;004E6C5B&quot;/&gt;&lt;wsp:rsid wsp:val=&quot;00526E1F&quot;/&gt;&lt;wsp:rsid wsp:val=&quot;0057631B&quot;/&gt;&lt;wsp:rsid wsp:val=&quot;00580398&quot;/&gt;&lt;wsp:rsid wsp:val=&quot;00627679&quot;/&gt;&lt;wsp:rsid wsp:val=&quot;00727499&quot;/&gt;&lt;wsp:rsid wsp:val=&quot;007B5356&quot;/&gt;&lt;wsp:rsid wsp:val=&quot;00814BAE&quot;/&gt;&lt;wsp:rsid wsp:val=&quot;00817974&quot;/&gt;&lt;wsp:rsid wsp:val=&quot;00842D04&quot;/&gt;&lt;wsp:rsid wsp:val=&quot;0087308D&quot;/&gt;&lt;wsp:rsid wsp:val=&quot;00895855&quot;/&gt;&lt;wsp:rsid wsp:val=&quot;008B0EAA&quot;/&gt;&lt;wsp:rsid wsp:val=&quot;008C4AA8&quot;/&gt;&lt;wsp:rsid wsp:val=&quot;008C4BDC&quot;/&gt;&lt;wsp:rsid wsp:val=&quot;008C7671&quot;/&gt;&lt;wsp:rsid wsp:val=&quot;008E59A0&quot;/&gt;&lt;wsp:rsid wsp:val=&quot;009026D5&quot;/&gt;&lt;wsp:rsid wsp:val=&quot;009657CC&quot;/&gt;&lt;wsp:rsid wsp:val=&quot;009B55BE&quot;/&gt;&lt;wsp:rsid wsp:val=&quot;009C197A&quot;/&gt;&lt;wsp:rsid wsp:val=&quot;00A5576C&quot;/&gt;&lt;wsp:rsid wsp:val=&quot;00AC3EFF&quot;/&gt;&lt;wsp:rsid wsp:val=&quot;00AC7B74&quot;/&gt;&lt;wsp:rsid wsp:val=&quot;00AE15F5&quot;/&gt;&lt;wsp:rsid wsp:val=&quot;00AF7870&quot;/&gt;&lt;wsp:rsid wsp:val=&quot;00B470FF&quot;/&gt;&lt;wsp:rsid wsp:val=&quot;00B61E38&quot;/&gt;&lt;wsp:rsid wsp:val=&quot;00B739F9&quot;/&gt;&lt;wsp:rsid wsp:val=&quot;00B86728&quot;/&gt;&lt;wsp:rsid wsp:val=&quot;00BB11B7&quot;/&gt;&lt;wsp:rsid wsp:val=&quot;00BC5557&quot;/&gt;&lt;wsp:rsid wsp:val=&quot;00C36F0C&quot;/&gt;&lt;wsp:rsid wsp:val=&quot;00CD10B1&quot;/&gt;&lt;wsp:rsid wsp:val=&quot;00D06A97&quot;/&gt;&lt;wsp:rsid wsp:val=&quot;00DA5F17&quot;/&gt;&lt;wsp:rsid wsp:val=&quot;00E47EFC&quot;/&gt;&lt;wsp:rsid wsp:val=&quot;00E5258A&quot;/&gt;&lt;wsp:rsid wsp:val=&quot;00EA1429&quot;/&gt;&lt;wsp:rsid wsp:val=&quot;00EC003D&quot;/&gt;&lt;wsp:rsid wsp:val=&quot;00ED7EEE&quot;/&gt;&lt;wsp:rsid wsp:val=&quot;00F34498&quot;/&gt;&lt;wsp:rsid wsp:val=&quot;00FF0734&quot;/&gt;&lt;/wsp:rsids&gt;&lt;/w:docPr&gt;&lt;w:body&gt;&lt;w:p wsp:rsidR=&quot;00000000&quot; wsp:rsidRDefault=&quot;001318E2&quot;&gt;&lt;m:oMathPara&gt;&lt;m:oMath&gt;&lt;m:f&gt;&lt;m:fPr&gt;&lt;m:ctrlPr&gt;&lt;w:rPr&gt;&lt;w:rFonts w:ascii=&quot;Cambria Math&quot; w:fareast=&quot;Times New Roman&quot; w:h-ansi=&quot;Cambria Math&quot; w:cs=&quot;Times New Roman&quot;/&gt;&lt;wx:font wx:val=&quot;Cambria Math&quot;/&gt;&lt;w:i/&gt;&lt;w:sz w:val=&quot;28&quot;/&gt;&lt;w:sz-cs w:val=&quot;28&quot;/&gt;&lt;/w:rPr&gt;&lt;/m:ctrlPr&gt;&lt;/m:fPr&gt;&lt;m:num&gt;&lt;m:r&gt;&lt;w:rPr&gt;&lt;w:rFonts w:ascii=&quot;Cambria Math&quot; w:h-ansi=&quot;Cambria Math&quot; w:cs=&quot;Times New Roman&quot;/&gt;&lt;wx:font wx:val=&quot;Cambria Math&quot;/&gt;&lt;w:i/&gt;&lt;w:sz w:val=&quot;28&quot;/&gt;&lt;w:sz-cs w:val=&quot;28&quot;/&gt;&lt;/w:rPr&gt;&lt;m:t&gt;3057-2438,36&lt;/m:t&gt;&lt;/m:r&gt;&lt;/m:num&gt;&lt;m:den&gt;&lt;m:r&gt;&lt;w:rPr&gt;&lt;w:rFonts w:ascii=&quot;Cambria Math&quot; w:h-ansi=&quot;Cambria Math&quot; w:cs=&quot;Times New Roman&quot;/&gt;&lt;wx:font wx:val=&quot;Cambria Math&quot;/&gt;&lt;w:i/&gt;&lt;w:sz w:val=&quot;28&quot;/&gt;&lt;w:sz-cs w:val=&quot;28&quot;/&gt;&lt;/w:rPr&gt;&lt;m:t&gt;2438,36&lt;/m:t&gt;&lt;/m:r&gt;&lt;/m:den&gt;&lt;/m:f&gt;&lt;m:r&gt;&lt;w:rPr&gt;&lt;w:rFonts w:ascii=&quot;Cambria Math&quot; w:h-ansi=&quot;Cambria Math&quot; w:cs=&quot;Times New Roman&quot;/&gt;&lt;wx:font wx:val=&quot;Cambria Math&quot;/&gt;&lt;w:i/&gt;&lt;w:sz w:val=&quot;28&quot;/&gt;&lt;w:sz-cs w:val=&quot;28&quot;/&gt;&lt;/w:rPr&gt;&lt;m:t&gt; Г—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EC003D">
        <w:rPr>
          <w:rFonts w:ascii="Times New Roman" w:hAnsi="Times New Roman" w:cs="Times New Roman"/>
          <w:sz w:val="28"/>
          <w:szCs w:val="28"/>
        </w:rPr>
        <w:instrText xml:space="preserve"> </w:instrText>
      </w:r>
      <w:r w:rsidRPr="00EC003D">
        <w:rPr>
          <w:rFonts w:ascii="Times New Roman" w:hAnsi="Times New Roman" w:cs="Times New Roman"/>
          <w:sz w:val="28"/>
          <w:szCs w:val="28"/>
        </w:rPr>
        <w:fldChar w:fldCharType="separate"/>
      </w:r>
      <w:r w:rsidRPr="00EC003D">
        <w:pict>
          <v:shape id="_x0000_i1028" type="#_x0000_t75" style="width:150pt;height:27.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61E38&quot;/&gt;&lt;wsp:rsid wsp:val=&quot;00004264&quot;/&gt;&lt;wsp:rsid wsp:val=&quot;00094DA7&quot;/&gt;&lt;wsp:rsid wsp:val=&quot;000C189E&quot;/&gt;&lt;wsp:rsid wsp:val=&quot;001318E2&quot;/&gt;&lt;wsp:rsid wsp:val=&quot;00171467&quot;/&gt;&lt;wsp:rsid wsp:val=&quot;001F3DDE&quot;/&gt;&lt;wsp:rsid wsp:val=&quot;00207FA5&quot;/&gt;&lt;wsp:rsid wsp:val=&quot;00245FB9&quot;/&gt;&lt;wsp:rsid wsp:val=&quot;002568A2&quot;/&gt;&lt;wsp:rsid wsp:val=&quot;0027646F&quot;/&gt;&lt;wsp:rsid wsp:val=&quot;002919B2&quot;/&gt;&lt;wsp:rsid wsp:val=&quot;00320AF4&quot;/&gt;&lt;wsp:rsid wsp:val=&quot;0036684C&quot;/&gt;&lt;wsp:rsid wsp:val=&quot;00370D4A&quot;/&gt;&lt;wsp:rsid wsp:val=&quot;00415348&quot;/&gt;&lt;wsp:rsid wsp:val=&quot;00465B5F&quot;/&gt;&lt;wsp:rsid wsp:val=&quot;004C7839&quot;/&gt;&lt;wsp:rsid wsp:val=&quot;004E6C5B&quot;/&gt;&lt;wsp:rsid wsp:val=&quot;00526E1F&quot;/&gt;&lt;wsp:rsid wsp:val=&quot;0057631B&quot;/&gt;&lt;wsp:rsid wsp:val=&quot;00580398&quot;/&gt;&lt;wsp:rsid wsp:val=&quot;00627679&quot;/&gt;&lt;wsp:rsid wsp:val=&quot;00727499&quot;/&gt;&lt;wsp:rsid wsp:val=&quot;007B5356&quot;/&gt;&lt;wsp:rsid wsp:val=&quot;00814BAE&quot;/&gt;&lt;wsp:rsid wsp:val=&quot;00817974&quot;/&gt;&lt;wsp:rsid wsp:val=&quot;00842D04&quot;/&gt;&lt;wsp:rsid wsp:val=&quot;0087308D&quot;/&gt;&lt;wsp:rsid wsp:val=&quot;00895855&quot;/&gt;&lt;wsp:rsid wsp:val=&quot;008B0EAA&quot;/&gt;&lt;wsp:rsid wsp:val=&quot;008C4AA8&quot;/&gt;&lt;wsp:rsid wsp:val=&quot;008C4BDC&quot;/&gt;&lt;wsp:rsid wsp:val=&quot;008C7671&quot;/&gt;&lt;wsp:rsid wsp:val=&quot;008E59A0&quot;/&gt;&lt;wsp:rsid wsp:val=&quot;009026D5&quot;/&gt;&lt;wsp:rsid wsp:val=&quot;009657CC&quot;/&gt;&lt;wsp:rsid wsp:val=&quot;009B55BE&quot;/&gt;&lt;wsp:rsid wsp:val=&quot;009C197A&quot;/&gt;&lt;wsp:rsid wsp:val=&quot;00A5576C&quot;/&gt;&lt;wsp:rsid wsp:val=&quot;00AC3EFF&quot;/&gt;&lt;wsp:rsid wsp:val=&quot;00AC7B74&quot;/&gt;&lt;wsp:rsid wsp:val=&quot;00AE15F5&quot;/&gt;&lt;wsp:rsid wsp:val=&quot;00AF7870&quot;/&gt;&lt;wsp:rsid wsp:val=&quot;00B470FF&quot;/&gt;&lt;wsp:rsid wsp:val=&quot;00B61E38&quot;/&gt;&lt;wsp:rsid wsp:val=&quot;00B739F9&quot;/&gt;&lt;wsp:rsid wsp:val=&quot;00B86728&quot;/&gt;&lt;wsp:rsid wsp:val=&quot;00BB11B7&quot;/&gt;&lt;wsp:rsid wsp:val=&quot;00BC5557&quot;/&gt;&lt;wsp:rsid wsp:val=&quot;00C36F0C&quot;/&gt;&lt;wsp:rsid wsp:val=&quot;00CD10B1&quot;/&gt;&lt;wsp:rsid wsp:val=&quot;00D06A97&quot;/&gt;&lt;wsp:rsid wsp:val=&quot;00DA5F17&quot;/&gt;&lt;wsp:rsid wsp:val=&quot;00E47EFC&quot;/&gt;&lt;wsp:rsid wsp:val=&quot;00E5258A&quot;/&gt;&lt;wsp:rsid wsp:val=&quot;00EA1429&quot;/&gt;&lt;wsp:rsid wsp:val=&quot;00EC003D&quot;/&gt;&lt;wsp:rsid wsp:val=&quot;00ED7EEE&quot;/&gt;&lt;wsp:rsid wsp:val=&quot;00F34498&quot;/&gt;&lt;wsp:rsid wsp:val=&quot;00FF0734&quot;/&gt;&lt;/wsp:rsids&gt;&lt;/w:docPr&gt;&lt;w:body&gt;&lt;w:p wsp:rsidR=&quot;00000000&quot; wsp:rsidRDefault=&quot;001318E2&quot;&gt;&lt;m:oMathPara&gt;&lt;m:oMath&gt;&lt;m:f&gt;&lt;m:fPr&gt;&lt;m:ctrlPr&gt;&lt;w:rPr&gt;&lt;w:rFonts w:ascii=&quot;Cambria Math&quot; w:fareast=&quot;Times New Roman&quot; w:h-ansi=&quot;Cambria Math&quot; w:cs=&quot;Times New Roman&quot;/&gt;&lt;wx:font wx:val=&quot;Cambria Math&quot;/&gt;&lt;w:i/&gt;&lt;w:sz w:val=&quot;28&quot;/&gt;&lt;w:sz-cs w:val=&quot;28&quot;/&gt;&lt;/w:rPr&gt;&lt;/m:ctrlPr&gt;&lt;/m:fPr&gt;&lt;m:num&gt;&lt;m:r&gt;&lt;w:rPr&gt;&lt;w:rFonts w:ascii=&quot;Cambria Math&quot; w:h-ansi=&quot;Cambria Math&quot; w:cs=&quot;Times New Roman&quot;/&gt;&lt;wx:font wx:val=&quot;Cambria Math&quot;/&gt;&lt;w:i/&gt;&lt;w:sz w:val=&quot;28&quot;/&gt;&lt;w:sz-cs w:val=&quot;28&quot;/&gt;&lt;/w:rPr&gt;&lt;m:t&gt;3057-2438,36&lt;/m:t&gt;&lt;/m:r&gt;&lt;/m:num&gt;&lt;m:den&gt;&lt;m:r&gt;&lt;w:rPr&gt;&lt;w:rFonts w:ascii=&quot;Cambria Math&quot; w:h-ansi=&quot;Cambria Math&quot; w:cs=&quot;Times New Roman&quot;/&gt;&lt;wx:font wx:val=&quot;Cambria Math&quot;/&gt;&lt;w:i/&gt;&lt;w:sz w:val=&quot;28&quot;/&gt;&lt;w:sz-cs w:val=&quot;28&quot;/&gt;&lt;/w:rPr&gt;&lt;m:t&gt;2438,36&lt;/m:t&gt;&lt;/m:r&gt;&lt;/m:den&gt;&lt;/m:f&gt;&lt;m:r&gt;&lt;w:rPr&gt;&lt;w:rFonts w:ascii=&quot;Cambria Math&quot; w:h-ansi=&quot;Cambria Math&quot; w:cs=&quot;Times New Roman&quot;/&gt;&lt;wx:font wx:val=&quot;Cambria Math&quot;/&gt;&lt;w:i/&gt;&lt;w:sz w:val=&quot;28&quot;/&gt;&lt;w:sz-cs w:val=&quot;28&quot;/&gt;&lt;/w:rPr&gt;&lt;m:t&gt; Г—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EC003D">
        <w:rPr>
          <w:rFonts w:ascii="Times New Roman" w:hAnsi="Times New Roman" w:cs="Times New Roman"/>
          <w:sz w:val="28"/>
          <w:szCs w:val="28"/>
        </w:rPr>
        <w:fldChar w:fldCharType="end"/>
      </w:r>
      <w:r>
        <w:rPr>
          <w:rFonts w:ascii="Times New Roman" w:hAnsi="Times New Roman" w:cs="Times New Roman"/>
          <w:sz w:val="28"/>
          <w:szCs w:val="28"/>
        </w:rPr>
        <w:t xml:space="preserve">). В расчете на </w:t>
      </w:r>
      <w:smartTag w:uri="urn:schemas-microsoft-com:office:smarttags" w:element="City">
        <w:r>
          <w:rPr>
            <w:rFonts w:ascii="Times New Roman" w:hAnsi="Times New Roman" w:cs="Times New Roman"/>
            <w:sz w:val="28"/>
            <w:szCs w:val="28"/>
          </w:rPr>
          <w:t>1 га</w:t>
        </w:r>
      </w:smartTag>
      <w:r>
        <w:rPr>
          <w:rFonts w:ascii="Times New Roman" w:hAnsi="Times New Roman" w:cs="Times New Roman"/>
          <w:sz w:val="28"/>
          <w:szCs w:val="28"/>
        </w:rPr>
        <w:t xml:space="preserve"> насаждений винограда прибыли получено в сельскохозяйственной организации северной зоны 16500 руб.</w:t>
      </w:r>
      <w:r>
        <w:rPr>
          <w:rFonts w:ascii="Times New Roman" w:hAnsi="Times New Roman" w:cs="Times New Roman"/>
          <w:sz w:val="24"/>
          <w:szCs w:val="24"/>
        </w:rPr>
        <w:t xml:space="preserve"> </w:t>
      </w:r>
      <w:r w:rsidRPr="00EC003D">
        <w:rPr>
          <w:rFonts w:ascii="Times New Roman" w:hAnsi="Times New Roman" w:cs="Times New Roman"/>
          <w:sz w:val="24"/>
          <w:szCs w:val="24"/>
        </w:rPr>
        <w:fldChar w:fldCharType="begin"/>
      </w:r>
      <w:r w:rsidRPr="00EC003D">
        <w:rPr>
          <w:rFonts w:ascii="Times New Roman" w:hAnsi="Times New Roman" w:cs="Times New Roman"/>
          <w:sz w:val="24"/>
          <w:szCs w:val="24"/>
        </w:rPr>
        <w:instrText xml:space="preserve"> QUOTE </w:instrText>
      </w:r>
      <w:r w:rsidRPr="00EC003D">
        <w:pict>
          <v:shape id="_x0000_i1029" type="#_x0000_t75" style="width:139.8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61E38&quot;/&gt;&lt;wsp:rsid wsp:val=&quot;00004264&quot;/&gt;&lt;wsp:rsid wsp:val=&quot;00094DA7&quot;/&gt;&lt;wsp:rsid wsp:val=&quot;000C189E&quot;/&gt;&lt;wsp:rsid wsp:val=&quot;00171467&quot;/&gt;&lt;wsp:rsid wsp:val=&quot;001F3DDE&quot;/&gt;&lt;wsp:rsid wsp:val=&quot;00207FA5&quot;/&gt;&lt;wsp:rsid wsp:val=&quot;00245FB9&quot;/&gt;&lt;wsp:rsid wsp:val=&quot;002568A2&quot;/&gt;&lt;wsp:rsid wsp:val=&quot;0027646F&quot;/&gt;&lt;wsp:rsid wsp:val=&quot;002919B2&quot;/&gt;&lt;wsp:rsid wsp:val=&quot;00320AF4&quot;/&gt;&lt;wsp:rsid wsp:val=&quot;0036684C&quot;/&gt;&lt;wsp:rsid wsp:val=&quot;00370D4A&quot;/&gt;&lt;wsp:rsid wsp:val=&quot;00415348&quot;/&gt;&lt;wsp:rsid wsp:val=&quot;00465B5F&quot;/&gt;&lt;wsp:rsid wsp:val=&quot;004C7839&quot;/&gt;&lt;wsp:rsid wsp:val=&quot;004E6C5B&quot;/&gt;&lt;wsp:rsid wsp:val=&quot;00526E1F&quot;/&gt;&lt;wsp:rsid wsp:val=&quot;0057631B&quot;/&gt;&lt;wsp:rsid wsp:val=&quot;00580398&quot;/&gt;&lt;wsp:rsid wsp:val=&quot;005963DA&quot;/&gt;&lt;wsp:rsid wsp:val=&quot;00627679&quot;/&gt;&lt;wsp:rsid wsp:val=&quot;00727499&quot;/&gt;&lt;wsp:rsid wsp:val=&quot;007B5356&quot;/&gt;&lt;wsp:rsid wsp:val=&quot;00814BAE&quot;/&gt;&lt;wsp:rsid wsp:val=&quot;00817974&quot;/&gt;&lt;wsp:rsid wsp:val=&quot;00842D04&quot;/&gt;&lt;wsp:rsid wsp:val=&quot;0087308D&quot;/&gt;&lt;wsp:rsid wsp:val=&quot;00895855&quot;/&gt;&lt;wsp:rsid wsp:val=&quot;008B0EAA&quot;/&gt;&lt;wsp:rsid wsp:val=&quot;008C4AA8&quot;/&gt;&lt;wsp:rsid wsp:val=&quot;008C4BDC&quot;/&gt;&lt;wsp:rsid wsp:val=&quot;008C7671&quot;/&gt;&lt;wsp:rsid wsp:val=&quot;008E59A0&quot;/&gt;&lt;wsp:rsid wsp:val=&quot;009026D5&quot;/&gt;&lt;wsp:rsid wsp:val=&quot;009657CC&quot;/&gt;&lt;wsp:rsid wsp:val=&quot;009B55BE&quot;/&gt;&lt;wsp:rsid wsp:val=&quot;009C197A&quot;/&gt;&lt;wsp:rsid wsp:val=&quot;00A5576C&quot;/&gt;&lt;wsp:rsid wsp:val=&quot;00AC3EFF&quot;/&gt;&lt;wsp:rsid wsp:val=&quot;00AC7B74&quot;/&gt;&lt;wsp:rsid wsp:val=&quot;00AE15F5&quot;/&gt;&lt;wsp:rsid wsp:val=&quot;00AF7870&quot;/&gt;&lt;wsp:rsid wsp:val=&quot;00B470FF&quot;/&gt;&lt;wsp:rsid wsp:val=&quot;00B61E38&quot;/&gt;&lt;wsp:rsid wsp:val=&quot;00B739F9&quot;/&gt;&lt;wsp:rsid wsp:val=&quot;00B86728&quot;/&gt;&lt;wsp:rsid wsp:val=&quot;00BB11B7&quot;/&gt;&lt;wsp:rsid wsp:val=&quot;00BC5557&quot;/&gt;&lt;wsp:rsid wsp:val=&quot;00C36F0C&quot;/&gt;&lt;wsp:rsid wsp:val=&quot;00CD10B1&quot;/&gt;&lt;wsp:rsid wsp:val=&quot;00D06A97&quot;/&gt;&lt;wsp:rsid wsp:val=&quot;00DA5F17&quot;/&gt;&lt;wsp:rsid wsp:val=&quot;00E47EFC&quot;/&gt;&lt;wsp:rsid wsp:val=&quot;00E5258A&quot;/&gt;&lt;wsp:rsid wsp:val=&quot;00EA1429&quot;/&gt;&lt;wsp:rsid wsp:val=&quot;00EC003D&quot;/&gt;&lt;wsp:rsid wsp:val=&quot;00ED7EEE&quot;/&gt;&lt;wsp:rsid wsp:val=&quot;00F34498&quot;/&gt;&lt;wsp:rsid wsp:val=&quot;00FF0734&quot;/&gt;&lt;/wsp:rsids&gt;&lt;/w:docPr&gt;&lt;w:body&gt;&lt;w:p wsp:rsidR=&quot;00000000&quot; wsp:rsidRDefault=&quot;005963DA&quot;&gt;&lt;m:oMathPara&gt;&lt;m:oMath&gt;&lt;m:d&gt;&lt;m:dPr&gt;&lt;m:begChr m:val=&quot;[&quot;/&gt;&lt;m:endChr m:val=&quot;]&quot;/&gt;&lt;m:ctrlPr&gt;&lt;w:rPr&gt;&lt;w:rFonts w:ascii=&quot;Cambria Math&quot; w:fareast=&quot;Times New Roman&quot; w:h-ansi=&quot;Cambria Math&quot; w:cs=&quot;Times New Roman&quot;/&gt;&lt;wx:font wx:val=&quot;Cambria Math&quot;/&gt;&lt;w:i/&gt;&lt;w:sz w:val=&quot;24&quot;/&gt;&lt;w:sz-cs w:val=&quot;24&quot;/&gt;&lt;/w:rPr&gt;&lt;/m:ctrlPr&gt;&lt;/m:dPr&gt;&lt;m:e&gt;&lt;m:d&gt;&lt;m:dPr&gt;&lt;m:ctrlPr&gt;&lt;w:rPr&gt;&lt;w:rFonts w:ascii=&quot;Cambria Math&quot; w:fareast=&quot;Times New Roman&quot; w:h-ansi=&quot;Cambria Math&quot; w:cs=&quot;Times New Roman&quot;/&gt;&lt;wx:font wx:val=&quot;Cambria Math&quot;/&gt;&lt;w:i/&gt;&lt;w:sz w:val=&quot;24&quot;/&gt;&lt;w:sz-cs w:val=&quot;24&quot;/&gt;&lt;/w:rPr&gt;&lt;/m:ctrlPr&gt;&lt;/m:dPr&gt;&lt;m:e&gt;&lt;m:r&gt;&lt;w:rPr&gt;&lt;w:rFonts w:ascii=&quot;Cambria Math&quot; w:h-ansi=&quot;Cambria Math&quot; w:cs=&quot;Times New Roman&quot;/&gt;&lt;wx:font wx:val=&quot;Cambria Math&quot;/&gt;&lt;w:i/&gt;&lt;w:sz w:val=&quot;24&quot;/&gt;&lt;w:sz-cs w:val=&quot;24&quot;/&gt;&lt;/w:rPr&gt;&lt;m:t&gt;3250,00-2333,33&lt;/m:t&gt;&lt;/m:r&gt;&lt;/m:e&gt;&lt;/m:d&gt;&lt;m:r&gt;&lt;w:rPr&gt;&lt;w:rFonts w:ascii=&quot;Cambria Math&quot; w:h-ansi=&quot;Cambria Math&quot; w:cs=&quot;Times New Roman&quot;/&gt;&lt;wx:font wx:val=&quot;Cambria Math&quot;/&gt;&lt;w:i/&gt;&lt;w:sz w:val=&quot;24&quot;/&gt;&lt;w:sz-cs w:val=&quot;24&quot;/&gt;&lt;/w:rPr&gt;&lt;m:t&gt;Г—18&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EC003D">
        <w:rPr>
          <w:rFonts w:ascii="Times New Roman" w:hAnsi="Times New Roman" w:cs="Times New Roman"/>
          <w:sz w:val="24"/>
          <w:szCs w:val="24"/>
        </w:rPr>
        <w:instrText xml:space="preserve"> </w:instrText>
      </w:r>
      <w:r w:rsidRPr="00EC003D">
        <w:rPr>
          <w:rFonts w:ascii="Times New Roman" w:hAnsi="Times New Roman" w:cs="Times New Roman"/>
          <w:sz w:val="24"/>
          <w:szCs w:val="24"/>
        </w:rPr>
        <w:fldChar w:fldCharType="separate"/>
      </w:r>
      <w:r w:rsidRPr="00EC003D">
        <w:pict>
          <v:shape id="_x0000_i1030" type="#_x0000_t75" style="width:139.8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61E38&quot;/&gt;&lt;wsp:rsid wsp:val=&quot;00004264&quot;/&gt;&lt;wsp:rsid wsp:val=&quot;00094DA7&quot;/&gt;&lt;wsp:rsid wsp:val=&quot;000C189E&quot;/&gt;&lt;wsp:rsid wsp:val=&quot;00171467&quot;/&gt;&lt;wsp:rsid wsp:val=&quot;001F3DDE&quot;/&gt;&lt;wsp:rsid wsp:val=&quot;00207FA5&quot;/&gt;&lt;wsp:rsid wsp:val=&quot;00245FB9&quot;/&gt;&lt;wsp:rsid wsp:val=&quot;002568A2&quot;/&gt;&lt;wsp:rsid wsp:val=&quot;0027646F&quot;/&gt;&lt;wsp:rsid wsp:val=&quot;002919B2&quot;/&gt;&lt;wsp:rsid wsp:val=&quot;00320AF4&quot;/&gt;&lt;wsp:rsid wsp:val=&quot;0036684C&quot;/&gt;&lt;wsp:rsid wsp:val=&quot;00370D4A&quot;/&gt;&lt;wsp:rsid wsp:val=&quot;00415348&quot;/&gt;&lt;wsp:rsid wsp:val=&quot;00465B5F&quot;/&gt;&lt;wsp:rsid wsp:val=&quot;004C7839&quot;/&gt;&lt;wsp:rsid wsp:val=&quot;004E6C5B&quot;/&gt;&lt;wsp:rsid wsp:val=&quot;00526E1F&quot;/&gt;&lt;wsp:rsid wsp:val=&quot;0057631B&quot;/&gt;&lt;wsp:rsid wsp:val=&quot;00580398&quot;/&gt;&lt;wsp:rsid wsp:val=&quot;005963DA&quot;/&gt;&lt;wsp:rsid wsp:val=&quot;00627679&quot;/&gt;&lt;wsp:rsid wsp:val=&quot;00727499&quot;/&gt;&lt;wsp:rsid wsp:val=&quot;007B5356&quot;/&gt;&lt;wsp:rsid wsp:val=&quot;00814BAE&quot;/&gt;&lt;wsp:rsid wsp:val=&quot;00817974&quot;/&gt;&lt;wsp:rsid wsp:val=&quot;00842D04&quot;/&gt;&lt;wsp:rsid wsp:val=&quot;0087308D&quot;/&gt;&lt;wsp:rsid wsp:val=&quot;00895855&quot;/&gt;&lt;wsp:rsid wsp:val=&quot;008B0EAA&quot;/&gt;&lt;wsp:rsid wsp:val=&quot;008C4AA8&quot;/&gt;&lt;wsp:rsid wsp:val=&quot;008C4BDC&quot;/&gt;&lt;wsp:rsid wsp:val=&quot;008C7671&quot;/&gt;&lt;wsp:rsid wsp:val=&quot;008E59A0&quot;/&gt;&lt;wsp:rsid wsp:val=&quot;009026D5&quot;/&gt;&lt;wsp:rsid wsp:val=&quot;009657CC&quot;/&gt;&lt;wsp:rsid wsp:val=&quot;009B55BE&quot;/&gt;&lt;wsp:rsid wsp:val=&quot;009C197A&quot;/&gt;&lt;wsp:rsid wsp:val=&quot;00A5576C&quot;/&gt;&lt;wsp:rsid wsp:val=&quot;00AC3EFF&quot;/&gt;&lt;wsp:rsid wsp:val=&quot;00AC7B74&quot;/&gt;&lt;wsp:rsid wsp:val=&quot;00AE15F5&quot;/&gt;&lt;wsp:rsid wsp:val=&quot;00AF7870&quot;/&gt;&lt;wsp:rsid wsp:val=&quot;00B470FF&quot;/&gt;&lt;wsp:rsid wsp:val=&quot;00B61E38&quot;/&gt;&lt;wsp:rsid wsp:val=&quot;00B739F9&quot;/&gt;&lt;wsp:rsid wsp:val=&quot;00B86728&quot;/&gt;&lt;wsp:rsid wsp:val=&quot;00BB11B7&quot;/&gt;&lt;wsp:rsid wsp:val=&quot;00BC5557&quot;/&gt;&lt;wsp:rsid wsp:val=&quot;00C36F0C&quot;/&gt;&lt;wsp:rsid wsp:val=&quot;00CD10B1&quot;/&gt;&lt;wsp:rsid wsp:val=&quot;00D06A97&quot;/&gt;&lt;wsp:rsid wsp:val=&quot;00DA5F17&quot;/&gt;&lt;wsp:rsid wsp:val=&quot;00E47EFC&quot;/&gt;&lt;wsp:rsid wsp:val=&quot;00E5258A&quot;/&gt;&lt;wsp:rsid wsp:val=&quot;00EA1429&quot;/&gt;&lt;wsp:rsid wsp:val=&quot;00EC003D&quot;/&gt;&lt;wsp:rsid wsp:val=&quot;00ED7EEE&quot;/&gt;&lt;wsp:rsid wsp:val=&quot;00F34498&quot;/&gt;&lt;wsp:rsid wsp:val=&quot;00FF0734&quot;/&gt;&lt;/wsp:rsids&gt;&lt;/w:docPr&gt;&lt;w:body&gt;&lt;w:p wsp:rsidR=&quot;00000000&quot; wsp:rsidRDefault=&quot;005963DA&quot;&gt;&lt;m:oMathPara&gt;&lt;m:oMath&gt;&lt;m:d&gt;&lt;m:dPr&gt;&lt;m:begChr m:val=&quot;[&quot;/&gt;&lt;m:endChr m:val=&quot;]&quot;/&gt;&lt;m:ctrlPr&gt;&lt;w:rPr&gt;&lt;w:rFonts w:ascii=&quot;Cambria Math&quot; w:fareast=&quot;Times New Roman&quot; w:h-ansi=&quot;Cambria Math&quot; w:cs=&quot;Times New Roman&quot;/&gt;&lt;wx:font wx:val=&quot;Cambria Math&quot;/&gt;&lt;w:i/&gt;&lt;w:sz w:val=&quot;24&quot;/&gt;&lt;w:sz-cs w:val=&quot;24&quot;/&gt;&lt;/w:rPr&gt;&lt;/m:ctrlPr&gt;&lt;/m:dPr&gt;&lt;m:e&gt;&lt;m:d&gt;&lt;m:dPr&gt;&lt;m:ctrlPr&gt;&lt;w:rPr&gt;&lt;w:rFonts w:ascii=&quot;Cambria Math&quot; w:fareast=&quot;Times New Roman&quot; w:h-ansi=&quot;Cambria Math&quot; w:cs=&quot;Times New Roman&quot;/&gt;&lt;wx:font wx:val=&quot;Cambria Math&quot;/&gt;&lt;w:i/&gt;&lt;w:sz w:val=&quot;24&quot;/&gt;&lt;w:sz-cs w:val=&quot;24&quot;/&gt;&lt;/w:rPr&gt;&lt;/m:ctrlPr&gt;&lt;/m:dPr&gt;&lt;m:e&gt;&lt;m:r&gt;&lt;w:rPr&gt;&lt;w:rFonts w:ascii=&quot;Cambria Math&quot; w:h-ansi=&quot;Cambria Math&quot; w:cs=&quot;Times New Roman&quot;/&gt;&lt;wx:font wx:val=&quot;Cambria Math&quot;/&gt;&lt;w:i/&gt;&lt;w:sz w:val=&quot;24&quot;/&gt;&lt;w:sz-cs w:val=&quot;24&quot;/&gt;&lt;/w:rPr&gt;&lt;m:t&gt;3250,00-2333,33&lt;/m:t&gt;&lt;/m:r&gt;&lt;/m:e&gt;&lt;/m:d&gt;&lt;m:r&gt;&lt;w:rPr&gt;&lt;w:rFonts w:ascii=&quot;Cambria Math&quot; w:h-ansi=&quot;Cambria Math&quot; w:cs=&quot;Times New Roman&quot;/&gt;&lt;wx:font wx:val=&quot;Cambria Math&quot;/&gt;&lt;w:i/&gt;&lt;w:sz w:val=&quot;24&quot;/&gt;&lt;w:sz-cs w:val=&quot;24&quot;/&gt;&lt;/w:rPr&gt;&lt;m:t&gt;Г—18&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EC003D">
        <w:rPr>
          <w:rFonts w:ascii="Times New Roman" w:hAnsi="Times New Roman" w:cs="Times New Roman"/>
          <w:sz w:val="24"/>
          <w:szCs w:val="24"/>
        </w:rPr>
        <w:fldChar w:fldCharType="end"/>
      </w:r>
      <w:r>
        <w:rPr>
          <w:rFonts w:ascii="Times New Roman" w:hAnsi="Times New Roman" w:cs="Times New Roman"/>
          <w:sz w:val="24"/>
          <w:szCs w:val="24"/>
        </w:rPr>
        <w:t xml:space="preserve">, в </w:t>
      </w:r>
      <w:r>
        <w:rPr>
          <w:rFonts w:ascii="Times New Roman" w:hAnsi="Times New Roman" w:cs="Times New Roman"/>
          <w:sz w:val="28"/>
          <w:szCs w:val="28"/>
        </w:rPr>
        <w:t xml:space="preserve">южной зоне 45161 </w:t>
      </w:r>
      <w:r w:rsidRPr="00EC003D">
        <w:rPr>
          <w:rFonts w:ascii="Times New Roman" w:hAnsi="Times New Roman" w:cs="Times New Roman"/>
          <w:sz w:val="28"/>
          <w:szCs w:val="28"/>
        </w:rPr>
        <w:fldChar w:fldCharType="begin"/>
      </w:r>
      <w:r w:rsidRPr="00EC003D">
        <w:rPr>
          <w:rFonts w:ascii="Times New Roman" w:hAnsi="Times New Roman" w:cs="Times New Roman"/>
          <w:sz w:val="28"/>
          <w:szCs w:val="28"/>
        </w:rPr>
        <w:instrText xml:space="preserve"> QUOTE </w:instrText>
      </w:r>
      <w:r w:rsidRPr="00EC003D">
        <w:pict>
          <v:shape id="_x0000_i1031" type="#_x0000_t75" style="width:159.6pt;height:13.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61E38&quot;/&gt;&lt;wsp:rsid wsp:val=&quot;00004264&quot;/&gt;&lt;wsp:rsid wsp:val=&quot;00094DA7&quot;/&gt;&lt;wsp:rsid wsp:val=&quot;000C189E&quot;/&gt;&lt;wsp:rsid wsp:val=&quot;00171467&quot;/&gt;&lt;wsp:rsid wsp:val=&quot;001F3DDE&quot;/&gt;&lt;wsp:rsid wsp:val=&quot;00207FA5&quot;/&gt;&lt;wsp:rsid wsp:val=&quot;00245FB9&quot;/&gt;&lt;wsp:rsid wsp:val=&quot;002568A2&quot;/&gt;&lt;wsp:rsid wsp:val=&quot;0027646F&quot;/&gt;&lt;wsp:rsid wsp:val=&quot;002919B2&quot;/&gt;&lt;wsp:rsid wsp:val=&quot;00320AF4&quot;/&gt;&lt;wsp:rsid wsp:val=&quot;0036684C&quot;/&gt;&lt;wsp:rsid wsp:val=&quot;00370D4A&quot;/&gt;&lt;wsp:rsid wsp:val=&quot;00415348&quot;/&gt;&lt;wsp:rsid wsp:val=&quot;00465B5F&quot;/&gt;&lt;wsp:rsid wsp:val=&quot;004C7839&quot;/&gt;&lt;wsp:rsid wsp:val=&quot;004E6C5B&quot;/&gt;&lt;wsp:rsid wsp:val=&quot;00526E1F&quot;/&gt;&lt;wsp:rsid wsp:val=&quot;0057631B&quot;/&gt;&lt;wsp:rsid wsp:val=&quot;00580398&quot;/&gt;&lt;wsp:rsid wsp:val=&quot;00627679&quot;/&gt;&lt;wsp:rsid wsp:val=&quot;00727499&quot;/&gt;&lt;wsp:rsid wsp:val=&quot;007B5356&quot;/&gt;&lt;wsp:rsid wsp:val=&quot;00814BAE&quot;/&gt;&lt;wsp:rsid wsp:val=&quot;00817974&quot;/&gt;&lt;wsp:rsid wsp:val=&quot;00842D04&quot;/&gt;&lt;wsp:rsid wsp:val=&quot;0087308D&quot;/&gt;&lt;wsp:rsid wsp:val=&quot;00895855&quot;/&gt;&lt;wsp:rsid wsp:val=&quot;008B0EAA&quot;/&gt;&lt;wsp:rsid wsp:val=&quot;008C4AA8&quot;/&gt;&lt;wsp:rsid wsp:val=&quot;008C4BDC&quot;/&gt;&lt;wsp:rsid wsp:val=&quot;008C7671&quot;/&gt;&lt;wsp:rsid wsp:val=&quot;008E59A0&quot;/&gt;&lt;wsp:rsid wsp:val=&quot;009026D5&quot;/&gt;&lt;wsp:rsid wsp:val=&quot;009657CC&quot;/&gt;&lt;wsp:rsid wsp:val=&quot;009B55BE&quot;/&gt;&lt;wsp:rsid wsp:val=&quot;009C197A&quot;/&gt;&lt;wsp:rsid wsp:val=&quot;00A5576C&quot;/&gt;&lt;wsp:rsid wsp:val=&quot;00AC3EFF&quot;/&gt;&lt;wsp:rsid wsp:val=&quot;00AC7B74&quot;/&gt;&lt;wsp:rsid wsp:val=&quot;00AE15F5&quot;/&gt;&lt;wsp:rsid wsp:val=&quot;00AF7870&quot;/&gt;&lt;wsp:rsid wsp:val=&quot;00B3616E&quot;/&gt;&lt;wsp:rsid wsp:val=&quot;00B470FF&quot;/&gt;&lt;wsp:rsid wsp:val=&quot;00B61E38&quot;/&gt;&lt;wsp:rsid wsp:val=&quot;00B739F9&quot;/&gt;&lt;wsp:rsid wsp:val=&quot;00B86728&quot;/&gt;&lt;wsp:rsid wsp:val=&quot;00BB11B7&quot;/&gt;&lt;wsp:rsid wsp:val=&quot;00BC5557&quot;/&gt;&lt;wsp:rsid wsp:val=&quot;00C36F0C&quot;/&gt;&lt;wsp:rsid wsp:val=&quot;00CD10B1&quot;/&gt;&lt;wsp:rsid wsp:val=&quot;00D06A97&quot;/&gt;&lt;wsp:rsid wsp:val=&quot;00DA5F17&quot;/&gt;&lt;wsp:rsid wsp:val=&quot;00E47EFC&quot;/&gt;&lt;wsp:rsid wsp:val=&quot;00E5258A&quot;/&gt;&lt;wsp:rsid wsp:val=&quot;00EA1429&quot;/&gt;&lt;wsp:rsid wsp:val=&quot;00EC003D&quot;/&gt;&lt;wsp:rsid wsp:val=&quot;00ED7EEE&quot;/&gt;&lt;wsp:rsid wsp:val=&quot;00F34498&quot;/&gt;&lt;wsp:rsid wsp:val=&quot;00FF0734&quot;/&gt;&lt;/wsp:rsids&gt;&lt;/w:docPr&gt;&lt;w:body&gt;&lt;w:p wsp:rsidR=&quot;00000000&quot; wsp:rsidRDefault=&quot;00B3616E&quot;&gt;&lt;m:oMathPara&gt;&lt;m:oMath&gt;&lt;m:d&gt;&lt;m:dPr&gt;&lt;m:begChr m:val=&quot;[&quot;/&gt;&lt;m:endChr m:val=&quot;]&quot;/&gt;&lt;m:ctrlPr&gt;&lt;w:rPr&gt;&lt;w:rFonts w:ascii=&quot;Cambria Math&quot; w:fareast=&quot;Times New Roman&quot; w:h-ansi=&quot;Cambria Math&quot; w:cs=&quot;Times New Roman&quot;/&gt;&lt;wx:font wx:val=&quot;Cambria Math&quot;/&gt;&lt;w:i/&gt;&lt;w:sz w:val=&quot;28&quot;/&gt;&lt;w:sz-cs w:val=&quot;28&quot;/&gt;&lt;/w:rPr&gt;&lt;/m:ctrlPr&gt;&lt;/m:dPr&gt;&lt;m:e&gt;&lt;m:d&gt;&lt;m:dPr&gt;&lt;m:ctrlPr&gt;&lt;w:rPr&gt;&lt;w:rFonts w:ascii=&quot;Cambria Math&quot; w:fareast=&quot;Times New Roman&quot; w:h-ansi=&quot;Cambria Math&quot; w:cs=&quot;Times New Roman&quot;/&gt;&lt;wx:font wx:val=&quot;Cambria Math&quot;/&gt;&lt;w:i/&gt;&lt;w:sz w:val=&quot;28&quot;/&gt;&lt;w:sz-cs w:val=&quot;28&quot;/&gt;&lt;/w:rPr&gt;&lt;/m:ctrlPr&gt;&lt;/m:dPr&gt;&lt;m:e&gt;&lt;m:r&gt;&lt;w:rPr&gt;&lt;w:rFonts w:ascii=&quot;Cambria Math&quot; w:h-ansi=&quot;Cambria Math&quot; w:cs=&quot;Times New Roman&quot;/&gt;&lt;wx:font wx:val=&quot;Cambria Math&quot;/&gt;&lt;w:i/&gt;&lt;w:sz w:val=&quot;28&quot;/&gt;&lt;w:sz-cs w:val=&quot;28&quot;/&gt;&lt;/w:rPr&gt;&lt;m:t&gt;3057,00-2438,36&lt;/m:t&gt;&lt;/m:r&gt;&lt;/m:e&gt;&lt;/m:d&gt;&lt;m:r&gt;&lt;w:rPr&gt;&lt;w:rFonts w:ascii=&quot;Cambria Math&quot; w:h-ansi=&quot;Cambria Math&quot; w:cs=&quot;Times New Roman&quot;/&gt;&lt;wx:font wx:val=&quot;Cambria Math&quot;/&gt;&lt;w:i/&gt;&lt;w:sz w:val=&quot;28&quot;/&gt;&lt;w:sz-cs w:val=&quot;28&quot;/&gt;&lt;/w:rPr&gt;&lt;m:t&gt;Г—73&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EC003D">
        <w:rPr>
          <w:rFonts w:ascii="Times New Roman" w:hAnsi="Times New Roman" w:cs="Times New Roman"/>
          <w:sz w:val="28"/>
          <w:szCs w:val="28"/>
        </w:rPr>
        <w:instrText xml:space="preserve"> </w:instrText>
      </w:r>
      <w:r w:rsidRPr="00EC003D">
        <w:rPr>
          <w:rFonts w:ascii="Times New Roman" w:hAnsi="Times New Roman" w:cs="Times New Roman"/>
          <w:sz w:val="28"/>
          <w:szCs w:val="28"/>
        </w:rPr>
        <w:fldChar w:fldCharType="separate"/>
      </w:r>
      <w:r w:rsidRPr="00EC003D">
        <w:pict>
          <v:shape id="_x0000_i1032" type="#_x0000_t75" style="width:159.6pt;height:13.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61E38&quot;/&gt;&lt;wsp:rsid wsp:val=&quot;00004264&quot;/&gt;&lt;wsp:rsid wsp:val=&quot;00094DA7&quot;/&gt;&lt;wsp:rsid wsp:val=&quot;000C189E&quot;/&gt;&lt;wsp:rsid wsp:val=&quot;00171467&quot;/&gt;&lt;wsp:rsid wsp:val=&quot;001F3DDE&quot;/&gt;&lt;wsp:rsid wsp:val=&quot;00207FA5&quot;/&gt;&lt;wsp:rsid wsp:val=&quot;00245FB9&quot;/&gt;&lt;wsp:rsid wsp:val=&quot;002568A2&quot;/&gt;&lt;wsp:rsid wsp:val=&quot;0027646F&quot;/&gt;&lt;wsp:rsid wsp:val=&quot;002919B2&quot;/&gt;&lt;wsp:rsid wsp:val=&quot;00320AF4&quot;/&gt;&lt;wsp:rsid wsp:val=&quot;0036684C&quot;/&gt;&lt;wsp:rsid wsp:val=&quot;00370D4A&quot;/&gt;&lt;wsp:rsid wsp:val=&quot;00415348&quot;/&gt;&lt;wsp:rsid wsp:val=&quot;00465B5F&quot;/&gt;&lt;wsp:rsid wsp:val=&quot;004C7839&quot;/&gt;&lt;wsp:rsid wsp:val=&quot;004E6C5B&quot;/&gt;&lt;wsp:rsid wsp:val=&quot;00526E1F&quot;/&gt;&lt;wsp:rsid wsp:val=&quot;0057631B&quot;/&gt;&lt;wsp:rsid wsp:val=&quot;00580398&quot;/&gt;&lt;wsp:rsid wsp:val=&quot;00627679&quot;/&gt;&lt;wsp:rsid wsp:val=&quot;00727499&quot;/&gt;&lt;wsp:rsid wsp:val=&quot;007B5356&quot;/&gt;&lt;wsp:rsid wsp:val=&quot;00814BAE&quot;/&gt;&lt;wsp:rsid wsp:val=&quot;00817974&quot;/&gt;&lt;wsp:rsid wsp:val=&quot;00842D04&quot;/&gt;&lt;wsp:rsid wsp:val=&quot;0087308D&quot;/&gt;&lt;wsp:rsid wsp:val=&quot;00895855&quot;/&gt;&lt;wsp:rsid wsp:val=&quot;008B0EAA&quot;/&gt;&lt;wsp:rsid wsp:val=&quot;008C4AA8&quot;/&gt;&lt;wsp:rsid wsp:val=&quot;008C4BDC&quot;/&gt;&lt;wsp:rsid wsp:val=&quot;008C7671&quot;/&gt;&lt;wsp:rsid wsp:val=&quot;008E59A0&quot;/&gt;&lt;wsp:rsid wsp:val=&quot;009026D5&quot;/&gt;&lt;wsp:rsid wsp:val=&quot;009657CC&quot;/&gt;&lt;wsp:rsid wsp:val=&quot;009B55BE&quot;/&gt;&lt;wsp:rsid wsp:val=&quot;009C197A&quot;/&gt;&lt;wsp:rsid wsp:val=&quot;00A5576C&quot;/&gt;&lt;wsp:rsid wsp:val=&quot;00AC3EFF&quot;/&gt;&lt;wsp:rsid wsp:val=&quot;00AC7B74&quot;/&gt;&lt;wsp:rsid wsp:val=&quot;00AE15F5&quot;/&gt;&lt;wsp:rsid wsp:val=&quot;00AF7870&quot;/&gt;&lt;wsp:rsid wsp:val=&quot;00B3616E&quot;/&gt;&lt;wsp:rsid wsp:val=&quot;00B470FF&quot;/&gt;&lt;wsp:rsid wsp:val=&quot;00B61E38&quot;/&gt;&lt;wsp:rsid wsp:val=&quot;00B739F9&quot;/&gt;&lt;wsp:rsid wsp:val=&quot;00B86728&quot;/&gt;&lt;wsp:rsid wsp:val=&quot;00BB11B7&quot;/&gt;&lt;wsp:rsid wsp:val=&quot;00BC5557&quot;/&gt;&lt;wsp:rsid wsp:val=&quot;00C36F0C&quot;/&gt;&lt;wsp:rsid wsp:val=&quot;00CD10B1&quot;/&gt;&lt;wsp:rsid wsp:val=&quot;00D06A97&quot;/&gt;&lt;wsp:rsid wsp:val=&quot;00DA5F17&quot;/&gt;&lt;wsp:rsid wsp:val=&quot;00E47EFC&quot;/&gt;&lt;wsp:rsid wsp:val=&quot;00E5258A&quot;/&gt;&lt;wsp:rsid wsp:val=&quot;00EA1429&quot;/&gt;&lt;wsp:rsid wsp:val=&quot;00EC003D&quot;/&gt;&lt;wsp:rsid wsp:val=&quot;00ED7EEE&quot;/&gt;&lt;wsp:rsid wsp:val=&quot;00F34498&quot;/&gt;&lt;wsp:rsid wsp:val=&quot;00FF0734&quot;/&gt;&lt;/wsp:rsids&gt;&lt;/w:docPr&gt;&lt;w:body&gt;&lt;w:p wsp:rsidR=&quot;00000000&quot; wsp:rsidRDefault=&quot;00B3616E&quot;&gt;&lt;m:oMathPara&gt;&lt;m:oMath&gt;&lt;m:d&gt;&lt;m:dPr&gt;&lt;m:begChr m:val=&quot;[&quot;/&gt;&lt;m:endChr m:val=&quot;]&quot;/&gt;&lt;m:ctrlPr&gt;&lt;w:rPr&gt;&lt;w:rFonts w:ascii=&quot;Cambria Math&quot; w:fareast=&quot;Times New Roman&quot; w:h-ansi=&quot;Cambria Math&quot; w:cs=&quot;Times New Roman&quot;/&gt;&lt;wx:font wx:val=&quot;Cambria Math&quot;/&gt;&lt;w:i/&gt;&lt;w:sz w:val=&quot;28&quot;/&gt;&lt;w:sz-cs w:val=&quot;28&quot;/&gt;&lt;/w:rPr&gt;&lt;/m:ctrlPr&gt;&lt;/m:dPr&gt;&lt;m:e&gt;&lt;m:d&gt;&lt;m:dPr&gt;&lt;m:ctrlPr&gt;&lt;w:rPr&gt;&lt;w:rFonts w:ascii=&quot;Cambria Math&quot; w:fareast=&quot;Times New Roman&quot; w:h-ansi=&quot;Cambria Math&quot; w:cs=&quot;Times New Roman&quot;/&gt;&lt;wx:font wx:val=&quot;Cambria Math&quot;/&gt;&lt;w:i/&gt;&lt;w:sz w:val=&quot;28&quot;/&gt;&lt;w:sz-cs w:val=&quot;28&quot;/&gt;&lt;/w:rPr&gt;&lt;/m:ctrlPr&gt;&lt;/m:dPr&gt;&lt;m:e&gt;&lt;m:r&gt;&lt;w:rPr&gt;&lt;w:rFonts w:ascii=&quot;Cambria Math&quot; w:h-ansi=&quot;Cambria Math&quot; w:cs=&quot;Times New Roman&quot;/&gt;&lt;wx:font wx:val=&quot;Cambria Math&quot;/&gt;&lt;w:i/&gt;&lt;w:sz w:val=&quot;28&quot;/&gt;&lt;w:sz-cs w:val=&quot;28&quot;/&gt;&lt;/w:rPr&gt;&lt;m:t&gt;3057,00-2438,36&lt;/m:t&gt;&lt;/m:r&gt;&lt;/m:e&gt;&lt;/m:d&gt;&lt;m:r&gt;&lt;w:rPr&gt;&lt;w:rFonts w:ascii=&quot;Cambria Math&quot; w:h-ansi=&quot;Cambria Math&quot; w:cs=&quot;Times New Roman&quot;/&gt;&lt;wx:font wx:val=&quot;Cambria Math&quot;/&gt;&lt;w:i/&gt;&lt;w:sz w:val=&quot;28&quot;/&gt;&lt;w:sz-cs w:val=&quot;28&quot;/&gt;&lt;/w:rPr&gt;&lt;m:t&gt;Г—73&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EC003D">
        <w:rPr>
          <w:rFonts w:ascii="Times New Roman" w:hAnsi="Times New Roman" w:cs="Times New Roman"/>
          <w:sz w:val="28"/>
          <w:szCs w:val="28"/>
        </w:rPr>
        <w:fldChar w:fldCharType="end"/>
      </w:r>
      <w:r>
        <w:rPr>
          <w:rFonts w:ascii="Times New Roman" w:hAnsi="Times New Roman" w:cs="Times New Roman"/>
          <w:sz w:val="28"/>
          <w:szCs w:val="28"/>
        </w:rPr>
        <w:t xml:space="preserve">; в южной зоне валовой прибыли с </w:t>
      </w:r>
      <w:smartTag w:uri="urn:schemas-microsoft-com:office:smarttags" w:element="City">
        <w:r>
          <w:rPr>
            <w:rFonts w:ascii="Times New Roman" w:hAnsi="Times New Roman" w:cs="Times New Roman"/>
            <w:sz w:val="28"/>
            <w:szCs w:val="28"/>
          </w:rPr>
          <w:t>1 га</w:t>
        </w:r>
      </w:smartTag>
      <w:r>
        <w:rPr>
          <w:rFonts w:ascii="Times New Roman" w:hAnsi="Times New Roman" w:cs="Times New Roman"/>
          <w:sz w:val="28"/>
          <w:szCs w:val="28"/>
        </w:rPr>
        <w:t xml:space="preserve"> насаждений получено больше на 28661 руб. иди на 173,7 % (в 2,74 раза).</w:t>
      </w:r>
    </w:p>
    <w:p w:rsidR="008B5BAE" w:rsidRDefault="008B5BAE" w:rsidP="009026D5">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Таким образом, рентабельность как относительный показатель эффективности производства не всегда отражает точную оценку прибыльности. Это вызывает необходимость использования не только относительных, но и абсолютных показателей оценки деятельности хозяйствующего субъекта. Целью данного исследования является апробация методики анализа и оценки финансового состояния по фактическим данным финансовой (бухгалтерской) отчетности, обоснование резервов укрепления финансового положения за счет увеличения выручки, прибыли от продаж, прибыли до налогообложения в ООО «Кубань-Вино».</w:t>
      </w:r>
    </w:p>
    <w:p w:rsidR="008B5BAE" w:rsidRDefault="008B5BAE" w:rsidP="00CD10B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Анализ динамики финансовых результатов деятельности ООО «Кубань-Вино» выявил тенденцию заметного роста выручки, валовой прибыли, прибыли от продаж, прибыли до налогообложения, чистой прибыли.</w:t>
      </w:r>
    </w:p>
    <w:p w:rsidR="008B5BAE" w:rsidRDefault="008B5BAE" w:rsidP="00CD10B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 xml:space="preserve">Тенденция роста выручки и прибыли оказала положительное влияние на финансовое состояние организации. Так, валюта бухгалтерского баланса на конец </w:t>
      </w:r>
      <w:smartTag w:uri="urn:schemas-microsoft-com:office:smarttags" w:element="City">
        <w:r>
          <w:rPr>
            <w:rFonts w:ascii="Times New Roman" w:hAnsi="Times New Roman" w:cs="Times New Roman"/>
            <w:sz w:val="28"/>
            <w:szCs w:val="28"/>
          </w:rPr>
          <w:t>2014 г</w:t>
        </w:r>
      </w:smartTag>
      <w:r>
        <w:rPr>
          <w:rFonts w:ascii="Times New Roman" w:hAnsi="Times New Roman" w:cs="Times New Roman"/>
          <w:sz w:val="28"/>
          <w:szCs w:val="28"/>
        </w:rPr>
        <w:t>. по сравнению с 2012 – 2013 гг. увеличилась на 658962</w:t>
      </w:r>
      <w:r>
        <w:rPr>
          <w:rFonts w:ascii="Times New Roman" w:hAnsi="Times New Roman" w:cs="Times New Roman"/>
          <w:sz w:val="28"/>
          <w:szCs w:val="28"/>
          <w:lang w:eastAsia="en-US"/>
        </w:rPr>
        <w:t xml:space="preserve"> тыс. руб. – 528519 тыс. руб. или на 62,1 – 44,3%. </w:t>
      </w:r>
      <w:r>
        <w:rPr>
          <w:rFonts w:ascii="Times New Roman" w:hAnsi="Times New Roman" w:cs="Times New Roman"/>
          <w:sz w:val="28"/>
          <w:szCs w:val="28"/>
        </w:rPr>
        <w:t xml:space="preserve">Внеоборотные активы увеличились до 334828 </w:t>
      </w:r>
      <w:r>
        <w:rPr>
          <w:rFonts w:ascii="Times New Roman" w:hAnsi="Times New Roman" w:cs="Times New Roman"/>
          <w:sz w:val="28"/>
          <w:szCs w:val="28"/>
          <w:lang w:eastAsia="en-US"/>
        </w:rPr>
        <w:t xml:space="preserve">тыс. руб. или на 125594 – 83051 тыс. руб., или на 60,0 – 33,0 % </w:t>
      </w:r>
      <w:r>
        <w:rPr>
          <w:rFonts w:ascii="Times New Roman" w:hAnsi="Times New Roman" w:cs="Times New Roman"/>
          <w:sz w:val="28"/>
          <w:szCs w:val="28"/>
        </w:rPr>
        <w:t xml:space="preserve">соответственно; основные средства возросли на 75419 – 46604 </w:t>
      </w:r>
      <w:r>
        <w:rPr>
          <w:rFonts w:ascii="Times New Roman" w:hAnsi="Times New Roman" w:cs="Times New Roman"/>
          <w:sz w:val="28"/>
          <w:szCs w:val="28"/>
          <w:lang w:eastAsia="en-US"/>
        </w:rPr>
        <w:t xml:space="preserve">тыс. руб. или на 46,0 – 24,2 %, а их остаточная </w:t>
      </w:r>
      <w:r>
        <w:rPr>
          <w:rFonts w:ascii="Times New Roman" w:hAnsi="Times New Roman" w:cs="Times New Roman"/>
          <w:sz w:val="28"/>
          <w:szCs w:val="28"/>
        </w:rPr>
        <w:t xml:space="preserve">стоимость достигла 238987 </w:t>
      </w:r>
      <w:r>
        <w:rPr>
          <w:rFonts w:ascii="Times New Roman" w:hAnsi="Times New Roman" w:cs="Times New Roman"/>
          <w:sz w:val="28"/>
          <w:szCs w:val="28"/>
          <w:lang w:eastAsia="en-US"/>
        </w:rPr>
        <w:t xml:space="preserve">тыс. руб. С финансовой точки зрения  произошедшие изменения </w:t>
      </w:r>
      <w:r>
        <w:rPr>
          <w:rFonts w:ascii="Times New Roman" w:hAnsi="Times New Roman" w:cs="Times New Roman"/>
          <w:sz w:val="28"/>
          <w:szCs w:val="28"/>
        </w:rPr>
        <w:t xml:space="preserve">внеоборотных активов надо считать позитивными. Положительным является также финансовое вложение в размере 46248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на конец </w:t>
      </w:r>
      <w:smartTag w:uri="urn:schemas-microsoft-com:office:smarttags" w:element="City">
        <w:r>
          <w:rPr>
            <w:rFonts w:ascii="Times New Roman" w:hAnsi="Times New Roman" w:cs="Times New Roman"/>
            <w:sz w:val="28"/>
            <w:szCs w:val="28"/>
          </w:rPr>
          <w:t>2014 г</w:t>
        </w:r>
      </w:smartTag>
      <w:r>
        <w:rPr>
          <w:rFonts w:ascii="Times New Roman" w:hAnsi="Times New Roman" w:cs="Times New Roman"/>
          <w:sz w:val="28"/>
          <w:szCs w:val="28"/>
        </w:rPr>
        <w:t xml:space="preserve">. Прочие внеоборотные активы варьировались от 25385 </w:t>
      </w:r>
      <w:r>
        <w:rPr>
          <w:rFonts w:ascii="Times New Roman" w:hAnsi="Times New Roman" w:cs="Times New Roman"/>
          <w:sz w:val="28"/>
          <w:szCs w:val="28"/>
          <w:lang w:eastAsia="en-US"/>
        </w:rPr>
        <w:t>тыс. руб. (</w:t>
      </w:r>
      <w:r>
        <w:rPr>
          <w:rFonts w:ascii="Times New Roman" w:hAnsi="Times New Roman" w:cs="Times New Roman"/>
          <w:sz w:val="28"/>
          <w:szCs w:val="28"/>
        </w:rPr>
        <w:t xml:space="preserve">на конец </w:t>
      </w:r>
      <w:smartTag w:uri="urn:schemas-microsoft-com:office:smarttags" w:element="City">
        <w:r>
          <w:rPr>
            <w:rFonts w:ascii="Times New Roman" w:hAnsi="Times New Roman" w:cs="Times New Roman"/>
            <w:sz w:val="28"/>
            <w:szCs w:val="28"/>
          </w:rPr>
          <w:t>2012 г</w:t>
        </w:r>
      </w:smartTag>
      <w:r>
        <w:rPr>
          <w:rFonts w:ascii="Times New Roman" w:hAnsi="Times New Roman" w:cs="Times New Roman"/>
          <w:sz w:val="28"/>
          <w:szCs w:val="28"/>
        </w:rPr>
        <w:t>.</w:t>
      </w:r>
      <w:r>
        <w:rPr>
          <w:rFonts w:ascii="Times New Roman" w:hAnsi="Times New Roman" w:cs="Times New Roman"/>
          <w:sz w:val="28"/>
          <w:szCs w:val="28"/>
          <w:lang w:eastAsia="en-US"/>
        </w:rPr>
        <w:t>) до 39112 тыс. руб. (</w:t>
      </w:r>
      <w:r>
        <w:rPr>
          <w:rFonts w:ascii="Times New Roman" w:hAnsi="Times New Roman" w:cs="Times New Roman"/>
          <w:sz w:val="28"/>
          <w:szCs w:val="28"/>
        </w:rPr>
        <w:t xml:space="preserve">на конец </w:t>
      </w:r>
      <w:smartTag w:uri="urn:schemas-microsoft-com:office:smarttags" w:element="City">
        <w:r>
          <w:rPr>
            <w:rFonts w:ascii="Times New Roman" w:hAnsi="Times New Roman" w:cs="Times New Roman"/>
            <w:sz w:val="28"/>
            <w:szCs w:val="28"/>
          </w:rPr>
          <w:t>2013 г</w:t>
        </w:r>
      </w:smartTag>
      <w:r>
        <w:rPr>
          <w:rFonts w:ascii="Times New Roman" w:hAnsi="Times New Roman" w:cs="Times New Roman"/>
          <w:sz w:val="28"/>
          <w:szCs w:val="28"/>
        </w:rPr>
        <w:t>.</w:t>
      </w:r>
      <w:r>
        <w:rPr>
          <w:rFonts w:ascii="Times New Roman" w:hAnsi="Times New Roman" w:cs="Times New Roman"/>
          <w:sz w:val="28"/>
          <w:szCs w:val="28"/>
          <w:lang w:eastAsia="en-US"/>
        </w:rPr>
        <w:t xml:space="preserve">); </w:t>
      </w:r>
      <w:r>
        <w:rPr>
          <w:rFonts w:ascii="Times New Roman" w:hAnsi="Times New Roman" w:cs="Times New Roman"/>
          <w:sz w:val="28"/>
          <w:szCs w:val="28"/>
        </w:rPr>
        <w:t xml:space="preserve">на конец </w:t>
      </w:r>
      <w:smartTag w:uri="urn:schemas-microsoft-com:office:smarttags" w:element="City">
        <w:r>
          <w:rPr>
            <w:rFonts w:ascii="Times New Roman" w:hAnsi="Times New Roman" w:cs="Times New Roman"/>
            <w:sz w:val="28"/>
            <w:szCs w:val="28"/>
          </w:rPr>
          <w:t>2014 г</w:t>
        </w:r>
      </w:smartTag>
      <w:r>
        <w:rPr>
          <w:rFonts w:ascii="Times New Roman" w:hAnsi="Times New Roman" w:cs="Times New Roman"/>
          <w:sz w:val="28"/>
          <w:szCs w:val="28"/>
        </w:rPr>
        <w:t xml:space="preserve">. по сравнению с </w:t>
      </w:r>
      <w:smartTag w:uri="urn:schemas-microsoft-com:office:smarttags" w:element="City">
        <w:r>
          <w:rPr>
            <w:rFonts w:ascii="Times New Roman" w:hAnsi="Times New Roman" w:cs="Times New Roman"/>
            <w:sz w:val="28"/>
            <w:szCs w:val="28"/>
          </w:rPr>
          <w:t>2012 г</w:t>
        </w:r>
      </w:smartTag>
      <w:r>
        <w:rPr>
          <w:rFonts w:ascii="Times New Roman" w:hAnsi="Times New Roman" w:cs="Times New Roman"/>
          <w:sz w:val="28"/>
          <w:szCs w:val="28"/>
        </w:rPr>
        <w:t xml:space="preserve">. их сумма возросла на 3927 </w:t>
      </w:r>
      <w:r>
        <w:rPr>
          <w:rFonts w:ascii="Times New Roman" w:hAnsi="Times New Roman" w:cs="Times New Roman"/>
          <w:sz w:val="28"/>
          <w:szCs w:val="28"/>
          <w:lang w:eastAsia="en-US"/>
        </w:rPr>
        <w:t xml:space="preserve">тыс. руб. или на 15,5 %, </w:t>
      </w:r>
      <w:r>
        <w:rPr>
          <w:rFonts w:ascii="Times New Roman" w:hAnsi="Times New Roman" w:cs="Times New Roman"/>
          <w:sz w:val="28"/>
          <w:szCs w:val="28"/>
        </w:rPr>
        <w:t xml:space="preserve">в сравнении с </w:t>
      </w:r>
      <w:smartTag w:uri="urn:schemas-microsoft-com:office:smarttags" w:element="City">
        <w:r>
          <w:rPr>
            <w:rFonts w:ascii="Times New Roman" w:hAnsi="Times New Roman" w:cs="Times New Roman"/>
            <w:sz w:val="28"/>
            <w:szCs w:val="28"/>
          </w:rPr>
          <w:t>2013 г</w:t>
        </w:r>
      </w:smartTag>
      <w:r>
        <w:rPr>
          <w:rFonts w:ascii="Times New Roman" w:hAnsi="Times New Roman" w:cs="Times New Roman"/>
          <w:sz w:val="28"/>
          <w:szCs w:val="28"/>
        </w:rPr>
        <w:t xml:space="preserve">. их стоимость уменьшилась на 9800 </w:t>
      </w:r>
      <w:r>
        <w:rPr>
          <w:rFonts w:ascii="Times New Roman" w:hAnsi="Times New Roman" w:cs="Times New Roman"/>
          <w:sz w:val="28"/>
          <w:szCs w:val="28"/>
          <w:lang w:eastAsia="en-US"/>
        </w:rPr>
        <w:t xml:space="preserve">тыс. руб. или на 25,1 %. </w:t>
      </w:r>
      <w:r>
        <w:rPr>
          <w:rFonts w:ascii="Times New Roman" w:hAnsi="Times New Roman" w:cs="Times New Roman"/>
          <w:sz w:val="28"/>
          <w:szCs w:val="28"/>
        </w:rPr>
        <w:t>Отложенные налоговые активы практически не изменились за исследуемый период.</w:t>
      </w:r>
    </w:p>
    <w:p w:rsidR="008B5BAE" w:rsidRDefault="008B5BAE" w:rsidP="00CD10B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 xml:space="preserve">Балансовая стоимость оборотных активов на конец </w:t>
      </w:r>
      <w:smartTag w:uri="urn:schemas-microsoft-com:office:smarttags" w:element="City">
        <w:r>
          <w:rPr>
            <w:rFonts w:ascii="Times New Roman" w:hAnsi="Times New Roman" w:cs="Times New Roman"/>
            <w:sz w:val="28"/>
            <w:szCs w:val="28"/>
          </w:rPr>
          <w:t>2014 г</w:t>
        </w:r>
      </w:smartTag>
      <w:r>
        <w:rPr>
          <w:rFonts w:ascii="Times New Roman" w:hAnsi="Times New Roman" w:cs="Times New Roman"/>
          <w:sz w:val="28"/>
          <w:szCs w:val="28"/>
        </w:rPr>
        <w:t xml:space="preserve">. возросла до 1386052 </w:t>
      </w:r>
      <w:r>
        <w:rPr>
          <w:rFonts w:ascii="Times New Roman" w:hAnsi="Times New Roman" w:cs="Times New Roman"/>
          <w:sz w:val="28"/>
          <w:szCs w:val="28"/>
          <w:lang w:eastAsia="en-US"/>
        </w:rPr>
        <w:t xml:space="preserve">тыс. руб.; </w:t>
      </w:r>
      <w:r>
        <w:rPr>
          <w:rFonts w:ascii="Times New Roman" w:hAnsi="Times New Roman" w:cs="Times New Roman"/>
          <w:sz w:val="28"/>
          <w:szCs w:val="28"/>
        </w:rPr>
        <w:t xml:space="preserve">по сравнению с 2012 – 2013 гг. она увеличилась на 533368 – 445468 </w:t>
      </w:r>
      <w:r>
        <w:rPr>
          <w:rFonts w:ascii="Times New Roman" w:hAnsi="Times New Roman" w:cs="Times New Roman"/>
          <w:sz w:val="28"/>
          <w:szCs w:val="28"/>
          <w:lang w:eastAsia="en-US"/>
        </w:rPr>
        <w:t xml:space="preserve">тыс. руб. или на 62,6 – 47,4 %, что объясняется необходимостью покрытия плановой потребности в запасах, а также </w:t>
      </w:r>
      <w:r>
        <w:rPr>
          <w:rFonts w:ascii="Times New Roman" w:hAnsi="Times New Roman" w:cs="Times New Roman"/>
          <w:sz w:val="28"/>
          <w:szCs w:val="28"/>
        </w:rPr>
        <w:t xml:space="preserve">увеличением дебиторской задолженности, финансовых вложений. Стоимость производственных запасов на конец </w:t>
      </w:r>
      <w:smartTag w:uri="urn:schemas-microsoft-com:office:smarttags" w:element="City">
        <w:r>
          <w:rPr>
            <w:rFonts w:ascii="Times New Roman" w:hAnsi="Times New Roman" w:cs="Times New Roman"/>
            <w:sz w:val="28"/>
            <w:szCs w:val="28"/>
          </w:rPr>
          <w:t>2014 г</w:t>
        </w:r>
      </w:smartTag>
      <w:r>
        <w:rPr>
          <w:rFonts w:ascii="Times New Roman" w:hAnsi="Times New Roman" w:cs="Times New Roman"/>
          <w:sz w:val="28"/>
          <w:szCs w:val="28"/>
        </w:rPr>
        <w:t xml:space="preserve">. по сравнению с 2012 – 2013 гг. увеличилась на 125536 – 94412 </w:t>
      </w:r>
      <w:r>
        <w:rPr>
          <w:rFonts w:ascii="Times New Roman" w:hAnsi="Times New Roman" w:cs="Times New Roman"/>
          <w:sz w:val="28"/>
          <w:szCs w:val="28"/>
          <w:lang w:eastAsia="en-US"/>
        </w:rPr>
        <w:t>тыс. руб. или на 39,5 – 27,0%</w:t>
      </w:r>
      <w:r>
        <w:rPr>
          <w:rFonts w:ascii="Times New Roman" w:hAnsi="Times New Roman" w:cs="Times New Roman"/>
          <w:sz w:val="28"/>
          <w:szCs w:val="28"/>
        </w:rPr>
        <w:t xml:space="preserve"> соответственно. Дебиторская задолженность возросла за исследуемый период с 527096 </w:t>
      </w:r>
      <w:r>
        <w:rPr>
          <w:rFonts w:ascii="Times New Roman" w:hAnsi="Times New Roman" w:cs="Times New Roman"/>
          <w:sz w:val="28"/>
          <w:szCs w:val="28"/>
          <w:lang w:eastAsia="en-US"/>
        </w:rPr>
        <w:t xml:space="preserve">тыс. руб. до 751811 тыс. руб. или на 224715 тыс. руб. (42,6 %) – 169839 тыс. руб. (29,2 %) </w:t>
      </w:r>
      <w:r>
        <w:rPr>
          <w:rFonts w:ascii="Times New Roman" w:hAnsi="Times New Roman" w:cs="Times New Roman"/>
          <w:sz w:val="28"/>
          <w:szCs w:val="28"/>
        </w:rPr>
        <w:t xml:space="preserve">соответственно. </w:t>
      </w:r>
      <w:r>
        <w:rPr>
          <w:rFonts w:ascii="Times New Roman" w:hAnsi="Times New Roman" w:cs="Times New Roman"/>
          <w:sz w:val="28"/>
          <w:szCs w:val="28"/>
          <w:lang w:eastAsia="en-US"/>
        </w:rPr>
        <w:t>С финансовой точки зрения ее рост нельзя считать п</w:t>
      </w:r>
      <w:r>
        <w:rPr>
          <w:rFonts w:ascii="Times New Roman" w:hAnsi="Times New Roman" w:cs="Times New Roman"/>
          <w:sz w:val="28"/>
          <w:szCs w:val="28"/>
        </w:rPr>
        <w:t>оложительной тенденцией, так как произошло отвлечение средств из оборота ООО «Кубань-Вино».</w:t>
      </w:r>
    </w:p>
    <w:p w:rsidR="008B5BAE" w:rsidRDefault="008B5BAE" w:rsidP="00CD10B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 xml:space="preserve">Положительным фактом хозяйственной жизни организации являются финансовые вложения в размере 182350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на конец 2014 г. Положительная роль этого факта хозяйственно-финансовой деятельности состоит в возможности притока прибыли от использования финансовых вложений, если они были осуществлены не на покупку иностранной валюты, которая обесценилась в первом квартале 2015 г. по сравнению с </w:t>
      </w:r>
      <w:r>
        <w:rPr>
          <w:rFonts w:ascii="Times New Roman" w:hAnsi="Times New Roman" w:cs="Times New Roman"/>
          <w:sz w:val="28"/>
          <w:szCs w:val="28"/>
          <w:lang w:val="en-US"/>
        </w:rPr>
        <w:t>III</w:t>
      </w:r>
      <w:r>
        <w:rPr>
          <w:rFonts w:ascii="Times New Roman" w:hAnsi="Times New Roman" w:cs="Times New Roman"/>
          <w:sz w:val="28"/>
          <w:szCs w:val="28"/>
        </w:rPr>
        <w:t xml:space="preserve"> кварталом 2014 г.</w:t>
      </w:r>
    </w:p>
    <w:p w:rsidR="008B5BAE" w:rsidRDefault="008B5BAE" w:rsidP="00CD10B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 xml:space="preserve">Динамика денежных средств и денежных эквивалентов на конец 2014 г. по сравнению с 2012 – 2013 гг. характеризуется тенденцией уменьшения с 5758 до 2771 </w:t>
      </w:r>
      <w:r>
        <w:rPr>
          <w:rFonts w:ascii="Times New Roman" w:hAnsi="Times New Roman" w:cs="Times New Roman"/>
          <w:sz w:val="28"/>
          <w:szCs w:val="28"/>
          <w:lang w:eastAsia="en-US"/>
        </w:rPr>
        <w:t xml:space="preserve">тыс. руб. или на 2987 тыс. руб. (51,9 %) – 2493 тыс. руб. (47,4 %) </w:t>
      </w:r>
      <w:r>
        <w:rPr>
          <w:rFonts w:ascii="Times New Roman" w:hAnsi="Times New Roman" w:cs="Times New Roman"/>
          <w:sz w:val="28"/>
          <w:szCs w:val="28"/>
        </w:rPr>
        <w:t>соответственно. Уменьшение денежных средств отрицательно повлияло на ликвидность оборотных активов, платежеспособность организации. В то же время их использование в обороте позволит увеличить доход, повысить эффективность ресурсов.</w:t>
      </w:r>
    </w:p>
    <w:p w:rsidR="008B5BAE" w:rsidRDefault="008B5BAE" w:rsidP="00CD10B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 xml:space="preserve">Прочие оборотные активы на конец 2014 г. по сравнению с 2012 – 2013гг. увеличились до 5520 </w:t>
      </w:r>
      <w:r>
        <w:rPr>
          <w:rFonts w:ascii="Times New Roman" w:hAnsi="Times New Roman" w:cs="Times New Roman"/>
          <w:sz w:val="28"/>
          <w:szCs w:val="28"/>
          <w:lang w:eastAsia="en-US"/>
        </w:rPr>
        <w:t xml:space="preserve">тыс. руб. или на 3754 тыс. руб. (на 212,6 %) – 1360 тыс. руб. (на 33,7%), способствовали повышению ликвидности </w:t>
      </w:r>
      <w:r>
        <w:rPr>
          <w:rFonts w:ascii="Times New Roman" w:hAnsi="Times New Roman" w:cs="Times New Roman"/>
          <w:sz w:val="28"/>
          <w:szCs w:val="28"/>
        </w:rPr>
        <w:t>оборотных активов, укреплению финансового состояния ООО «Кубань-Вино».</w:t>
      </w:r>
    </w:p>
    <w:p w:rsidR="008B5BAE" w:rsidRDefault="008B5BAE" w:rsidP="00CD10B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 xml:space="preserve">Анализ показал, что величина собственного капитала на конец 2014г. по сравнению с 2012 – 2013 гг. возросла до 348558 </w:t>
      </w:r>
      <w:r>
        <w:rPr>
          <w:rFonts w:ascii="Times New Roman" w:hAnsi="Times New Roman" w:cs="Times New Roman"/>
          <w:sz w:val="28"/>
          <w:szCs w:val="28"/>
          <w:lang w:eastAsia="en-US"/>
        </w:rPr>
        <w:t xml:space="preserve">тыс.руб. или на 183897 – 112675 тыс. руб., на 111,7 -47,8 % </w:t>
      </w:r>
      <w:r>
        <w:rPr>
          <w:rFonts w:ascii="Times New Roman" w:hAnsi="Times New Roman" w:cs="Times New Roman"/>
          <w:sz w:val="28"/>
          <w:szCs w:val="28"/>
        </w:rPr>
        <w:t xml:space="preserve">соответственно. Рост собственного капитала произошел за счет нераспределенной прибыли, которая в 2014 г. по сравнению с 2012 – 2013 гг. увеличилась на 183897 – 112675 </w:t>
      </w:r>
      <w:r>
        <w:rPr>
          <w:rFonts w:ascii="Times New Roman" w:hAnsi="Times New Roman" w:cs="Times New Roman"/>
          <w:sz w:val="28"/>
          <w:szCs w:val="28"/>
          <w:lang w:eastAsia="en-US"/>
        </w:rPr>
        <w:t>тыс.</w:t>
      </w:r>
      <w:r w:rsidRPr="00842D04">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 xml:space="preserve">руб. или на 160,4 – 60,6 % </w:t>
      </w:r>
      <w:r>
        <w:rPr>
          <w:rFonts w:ascii="Times New Roman" w:hAnsi="Times New Roman" w:cs="Times New Roman"/>
          <w:sz w:val="28"/>
          <w:szCs w:val="28"/>
        </w:rPr>
        <w:t>соответственно.</w:t>
      </w:r>
    </w:p>
    <w:p w:rsidR="008B5BAE" w:rsidRDefault="008B5BAE" w:rsidP="00CD10B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 xml:space="preserve">Динамика долгосрочных обязательств характеризуется тенденцией роста на конец 2014 г. по сравнению с 2012 – 2013 гг., но задолженность сформировалась, главным образом, за счет отложенных обязательств. Так, общая сумма долгосрочных обязательств на конец 2014 г. была равна 72231 </w:t>
      </w:r>
      <w:r>
        <w:rPr>
          <w:rFonts w:ascii="Times New Roman" w:hAnsi="Times New Roman" w:cs="Times New Roman"/>
          <w:sz w:val="28"/>
          <w:szCs w:val="28"/>
          <w:lang w:eastAsia="en-US"/>
        </w:rPr>
        <w:t xml:space="preserve">тыс. руб., в том числе </w:t>
      </w:r>
      <w:r>
        <w:rPr>
          <w:rFonts w:ascii="Times New Roman" w:hAnsi="Times New Roman" w:cs="Times New Roman"/>
          <w:sz w:val="28"/>
          <w:szCs w:val="28"/>
        </w:rPr>
        <w:t xml:space="preserve">заёмные средства равны 24909 </w:t>
      </w:r>
      <w:r>
        <w:rPr>
          <w:rFonts w:ascii="Times New Roman" w:hAnsi="Times New Roman" w:cs="Times New Roman"/>
          <w:sz w:val="28"/>
          <w:szCs w:val="28"/>
          <w:lang w:eastAsia="en-US"/>
        </w:rPr>
        <w:t xml:space="preserve">тыс. руб., </w:t>
      </w:r>
      <w:r>
        <w:rPr>
          <w:rFonts w:ascii="Times New Roman" w:hAnsi="Times New Roman" w:cs="Times New Roman"/>
          <w:sz w:val="28"/>
          <w:szCs w:val="28"/>
        </w:rPr>
        <w:t xml:space="preserve">отложенные обязательства 47322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На конец 2012 – 2013 гг. долгосрочные обязательства были представлены отложенными обязательствами в сумме 42116 и 44871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соответственно. На конец 2014 г. по сравнению с 2012 – 2013 гг. сумма отложенных обязательств возросла на 5206 – 2451 </w:t>
      </w:r>
      <w:r>
        <w:rPr>
          <w:rFonts w:ascii="Times New Roman" w:hAnsi="Times New Roman" w:cs="Times New Roman"/>
          <w:sz w:val="28"/>
          <w:szCs w:val="28"/>
          <w:lang w:eastAsia="en-US"/>
        </w:rPr>
        <w:t xml:space="preserve">тыс. руб. или на 12,4 – 5,5 %, а общая сумма </w:t>
      </w:r>
      <w:r>
        <w:rPr>
          <w:rFonts w:ascii="Times New Roman" w:hAnsi="Times New Roman" w:cs="Times New Roman"/>
          <w:sz w:val="28"/>
          <w:szCs w:val="28"/>
        </w:rPr>
        <w:t xml:space="preserve">долгосрочных обязательств увеличилась за исследуемый период на 30115 – 27360 </w:t>
      </w:r>
      <w:r>
        <w:rPr>
          <w:rFonts w:ascii="Times New Roman" w:hAnsi="Times New Roman" w:cs="Times New Roman"/>
          <w:sz w:val="28"/>
          <w:szCs w:val="28"/>
          <w:lang w:eastAsia="en-US"/>
        </w:rPr>
        <w:t>тыс. руб. или на 71,5 – 61,0 %. С финансовой точки зрения, рост</w:t>
      </w:r>
      <w:r>
        <w:rPr>
          <w:rFonts w:ascii="Times New Roman" w:hAnsi="Times New Roman" w:cs="Times New Roman"/>
          <w:sz w:val="28"/>
          <w:szCs w:val="28"/>
        </w:rPr>
        <w:t xml:space="preserve"> долгосрочных обязательств надо рассматривать как позитивную тенденцию, укрепляющую финансовое состояние ООО «Кубань-Вино». Вместе с тем долгосрочные обязательства – это задолженность, которая подлежит также погашению, снижающая финансовую устойчивость организации.</w:t>
      </w:r>
    </w:p>
    <w:p w:rsidR="008B5BAE" w:rsidRDefault="008B5BAE" w:rsidP="00CD10B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 xml:space="preserve">Динамика краткосрочных обязательств характеризуется тенденцией роста на конец 2014 г. по сравнению с 2012 – 2013 гг. с 855141 до 1300091 </w:t>
      </w:r>
      <w:r>
        <w:rPr>
          <w:rFonts w:ascii="Times New Roman" w:hAnsi="Times New Roman" w:cs="Times New Roman"/>
          <w:sz w:val="28"/>
          <w:szCs w:val="28"/>
          <w:lang w:eastAsia="en-US"/>
        </w:rPr>
        <w:t xml:space="preserve">тыс. руб. или на 444950 – 388484 тыс. руб. (на 52,0 – 42,6 %) </w:t>
      </w:r>
      <w:r>
        <w:rPr>
          <w:rFonts w:ascii="Times New Roman" w:hAnsi="Times New Roman" w:cs="Times New Roman"/>
          <w:sz w:val="28"/>
          <w:szCs w:val="28"/>
        </w:rPr>
        <w:t xml:space="preserve">соответственно. В составе краткосрочных обязательств наибольшую сумму занимает кредиторская задолженность. В динамике кредиторской задолженности на конец 2014 г. по сравнению с 2012 – 2013 гг. произошло увеличение задолженности с 445770 до 652274 </w:t>
      </w:r>
      <w:r>
        <w:rPr>
          <w:rFonts w:ascii="Times New Roman" w:hAnsi="Times New Roman" w:cs="Times New Roman"/>
          <w:sz w:val="28"/>
          <w:szCs w:val="28"/>
          <w:lang w:eastAsia="en-US"/>
        </w:rPr>
        <w:t xml:space="preserve">тыс. руб. или на 206504 тыс. руб. (46,3 %) – 118375 тыс. руб. (22,2%) </w:t>
      </w:r>
      <w:r>
        <w:rPr>
          <w:rFonts w:ascii="Times New Roman" w:hAnsi="Times New Roman" w:cs="Times New Roman"/>
          <w:sz w:val="28"/>
          <w:szCs w:val="28"/>
        </w:rPr>
        <w:t>соответственно.</w:t>
      </w:r>
    </w:p>
    <w:p w:rsidR="008B5BAE" w:rsidRDefault="008B5BAE" w:rsidP="00CD10B1">
      <w:pPr>
        <w:widowControl w:val="0"/>
        <w:autoSpaceDE w:val="0"/>
        <w:autoSpaceDN w:val="0"/>
        <w:adjustRightInd w:val="0"/>
        <w:spacing w:after="0" w:line="360" w:lineRule="auto"/>
        <w:ind w:right="-1" w:firstLine="709"/>
        <w:jc w:val="both"/>
        <w:rPr>
          <w:rFonts w:ascii="Times New Roman" w:hAnsi="Times New Roman" w:cs="Times New Roman"/>
          <w:sz w:val="28"/>
          <w:szCs w:val="28"/>
          <w:lang w:eastAsia="en-US"/>
        </w:rPr>
      </w:pPr>
      <w:r>
        <w:rPr>
          <w:rFonts w:ascii="Times New Roman" w:hAnsi="Times New Roman" w:cs="Times New Roman"/>
          <w:sz w:val="28"/>
          <w:szCs w:val="28"/>
        </w:rPr>
        <w:t xml:space="preserve">Рост кредиторской задолженности означает привлечение в оборот денежных средств, и рассматривается как позитивная тенденция, укрепляющая финансовое состояние ООО «Кубань-Вино». Однако кредиторская задолженность – это краткосрочные обязательства, которые подлежат погашению в течение отчетного периода, создают финансовую напряженность. Динамика заёмных краткосрочных средств на конец 2014г. по сравнению с 2012 – 2013 гг. характеризуется тенденцией роста с 398876 </w:t>
      </w:r>
      <w:r>
        <w:rPr>
          <w:rFonts w:ascii="Times New Roman" w:hAnsi="Times New Roman" w:cs="Times New Roman"/>
          <w:sz w:val="28"/>
          <w:szCs w:val="28"/>
          <w:lang w:eastAsia="en-US"/>
        </w:rPr>
        <w:t>тыс. руб. до 624319 тыс. руб. или на 225443 – 258488 тыс. руб., на 56,5 – 70,7 %.</w:t>
      </w:r>
    </w:p>
    <w:p w:rsidR="008B5BAE" w:rsidRDefault="008B5BAE" w:rsidP="00CD10B1">
      <w:pPr>
        <w:widowControl w:val="0"/>
        <w:autoSpaceDE w:val="0"/>
        <w:autoSpaceDN w:val="0"/>
        <w:adjustRightInd w:val="0"/>
        <w:spacing w:after="0" w:line="360" w:lineRule="auto"/>
        <w:ind w:right="-1" w:firstLine="709"/>
        <w:jc w:val="both"/>
        <w:rPr>
          <w:rFonts w:ascii="Times New Roman" w:hAnsi="Times New Roman" w:cs="Times New Roman"/>
          <w:sz w:val="28"/>
          <w:szCs w:val="28"/>
          <w:lang w:eastAsia="ru-RU"/>
        </w:rPr>
      </w:pPr>
      <w:r>
        <w:rPr>
          <w:rFonts w:ascii="Times New Roman" w:hAnsi="Times New Roman" w:cs="Times New Roman"/>
          <w:sz w:val="28"/>
          <w:szCs w:val="28"/>
          <w:lang w:eastAsia="en-US"/>
        </w:rPr>
        <w:t xml:space="preserve">В динамике </w:t>
      </w:r>
      <w:r>
        <w:rPr>
          <w:rFonts w:ascii="Times New Roman" w:hAnsi="Times New Roman" w:cs="Times New Roman"/>
          <w:sz w:val="28"/>
          <w:szCs w:val="28"/>
        </w:rPr>
        <w:t xml:space="preserve">оценочных обязательств произошло их увеличение до 23498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на конец 2014 г., и по сравнению с 2012 – 2013 гг. рост равен 13003 – 11621 </w:t>
      </w:r>
      <w:r>
        <w:rPr>
          <w:rFonts w:ascii="Times New Roman" w:hAnsi="Times New Roman" w:cs="Times New Roman"/>
          <w:sz w:val="28"/>
          <w:szCs w:val="28"/>
          <w:lang w:eastAsia="en-US"/>
        </w:rPr>
        <w:t xml:space="preserve">тыс. руб. или 123,9 – 97,8 </w:t>
      </w:r>
      <w:r>
        <w:rPr>
          <w:rFonts w:ascii="Times New Roman" w:hAnsi="Times New Roman" w:cs="Times New Roman"/>
          <w:sz w:val="28"/>
          <w:szCs w:val="28"/>
        </w:rPr>
        <w:t>соответственно.</w:t>
      </w:r>
    </w:p>
    <w:p w:rsidR="008B5BAE" w:rsidRDefault="008B5BAE" w:rsidP="00CD10B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 xml:space="preserve">Оценку качественных изменений в структуре источников финансирования хозяйственно-финансовой деятельности дополним с помощью анализа структурных изменений в пассиве бухгалтерского баланса. Анализ показал, что </w:t>
      </w:r>
      <w:r>
        <w:rPr>
          <w:rFonts w:ascii="Times New Roman" w:hAnsi="Times New Roman" w:cs="Times New Roman"/>
          <w:sz w:val="28"/>
          <w:szCs w:val="28"/>
          <w:lang w:eastAsia="en-US"/>
        </w:rPr>
        <w:t>удельный вес</w:t>
      </w:r>
      <w:r>
        <w:rPr>
          <w:rFonts w:ascii="Times New Roman" w:hAnsi="Times New Roman" w:cs="Times New Roman"/>
          <w:sz w:val="28"/>
          <w:szCs w:val="28"/>
        </w:rPr>
        <w:t xml:space="preserve"> собственного капитала на конец 2014 г. по сравнению с 2012 – 2013 гг. увеличился до 20,2 % от общей величины источников финансирования и задолженности или на 4,7 – 0,4 пунктопроцента соответственно. </w:t>
      </w:r>
    </w:p>
    <w:p w:rsidR="008B5BAE" w:rsidRDefault="008B5BAE" w:rsidP="00CD10B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lang w:eastAsia="en-US"/>
        </w:rPr>
        <w:t>С финансовой точки зрения,</w:t>
      </w:r>
      <w:r>
        <w:rPr>
          <w:rFonts w:ascii="Times New Roman" w:hAnsi="Times New Roman" w:cs="Times New Roman"/>
          <w:sz w:val="28"/>
          <w:szCs w:val="28"/>
        </w:rPr>
        <w:t xml:space="preserve"> произошедшие структурные изменения надо рассматривать как позитивную финансовую ситуацию. Аналогичной </w:t>
      </w:r>
      <w:r>
        <w:rPr>
          <w:rFonts w:ascii="Times New Roman" w:hAnsi="Times New Roman" w:cs="Times New Roman"/>
          <w:sz w:val="28"/>
          <w:szCs w:val="28"/>
          <w:lang w:eastAsia="en-US"/>
        </w:rPr>
        <w:t>п</w:t>
      </w:r>
      <w:r>
        <w:rPr>
          <w:rFonts w:ascii="Times New Roman" w:hAnsi="Times New Roman" w:cs="Times New Roman"/>
          <w:sz w:val="28"/>
          <w:szCs w:val="28"/>
        </w:rPr>
        <w:t xml:space="preserve">оложительной оценки заслуживает тенденция динамики </w:t>
      </w:r>
      <w:r>
        <w:rPr>
          <w:rFonts w:ascii="Times New Roman" w:hAnsi="Times New Roman" w:cs="Times New Roman"/>
          <w:sz w:val="28"/>
          <w:szCs w:val="28"/>
          <w:lang w:eastAsia="en-US"/>
        </w:rPr>
        <w:t>удельного веса</w:t>
      </w:r>
      <w:r>
        <w:rPr>
          <w:rFonts w:ascii="Times New Roman" w:hAnsi="Times New Roman" w:cs="Times New Roman"/>
          <w:sz w:val="28"/>
          <w:szCs w:val="28"/>
        </w:rPr>
        <w:t xml:space="preserve"> нераспределенной прибыли. </w:t>
      </w:r>
      <w:r>
        <w:rPr>
          <w:rFonts w:ascii="Times New Roman" w:hAnsi="Times New Roman" w:cs="Times New Roman"/>
          <w:sz w:val="28"/>
          <w:szCs w:val="28"/>
          <w:lang w:eastAsia="en-US"/>
        </w:rPr>
        <w:t>Удельный вес</w:t>
      </w:r>
      <w:r>
        <w:rPr>
          <w:rFonts w:ascii="Times New Roman" w:hAnsi="Times New Roman" w:cs="Times New Roman"/>
          <w:sz w:val="28"/>
          <w:szCs w:val="28"/>
        </w:rPr>
        <w:t xml:space="preserve"> нераспределенной прибыли на конец 2014 г. по сравнению с 2012 – 2013 гг. повысился до 17,3 % или на 6,5 – 1,7 пунктопроцента соответственно. </w:t>
      </w:r>
      <w:r>
        <w:rPr>
          <w:rFonts w:ascii="Times New Roman" w:hAnsi="Times New Roman" w:cs="Times New Roman"/>
          <w:sz w:val="28"/>
          <w:szCs w:val="28"/>
          <w:lang w:eastAsia="en-US"/>
        </w:rPr>
        <w:t>Удельный вес</w:t>
      </w:r>
      <w:r>
        <w:rPr>
          <w:rFonts w:ascii="Times New Roman" w:hAnsi="Times New Roman" w:cs="Times New Roman"/>
          <w:sz w:val="28"/>
          <w:szCs w:val="28"/>
        </w:rPr>
        <w:t xml:space="preserve"> долгосрочных обязательств за анализируемый период увеличился до 4,2 % или на 0,2 – 0,5 пунктопроцента. Доля отложенных обязательств уменьшилась с 4,0 до 2,8 %. В динамике </w:t>
      </w:r>
      <w:r>
        <w:rPr>
          <w:rFonts w:ascii="Times New Roman" w:hAnsi="Times New Roman" w:cs="Times New Roman"/>
          <w:sz w:val="28"/>
          <w:szCs w:val="28"/>
          <w:lang w:eastAsia="en-US"/>
        </w:rPr>
        <w:t xml:space="preserve">удельного веса </w:t>
      </w:r>
      <w:r>
        <w:rPr>
          <w:rFonts w:ascii="Times New Roman" w:hAnsi="Times New Roman" w:cs="Times New Roman"/>
          <w:sz w:val="28"/>
          <w:szCs w:val="28"/>
        </w:rPr>
        <w:t xml:space="preserve">краткосрочных обязательств сформировалась тенденция его уменьшения с 80,5 до 75,6 % или на 4,9 – 0,9 пунктопроцента. </w:t>
      </w:r>
      <w:r>
        <w:rPr>
          <w:rFonts w:ascii="Times New Roman" w:hAnsi="Times New Roman" w:cs="Times New Roman"/>
          <w:sz w:val="28"/>
          <w:szCs w:val="28"/>
          <w:lang w:eastAsia="en-US"/>
        </w:rPr>
        <w:t>Удельный вес</w:t>
      </w:r>
      <w:r>
        <w:rPr>
          <w:rFonts w:ascii="Times New Roman" w:hAnsi="Times New Roman" w:cs="Times New Roman"/>
          <w:sz w:val="28"/>
          <w:szCs w:val="28"/>
        </w:rPr>
        <w:t xml:space="preserve"> краткосрочных заёмных средств на конец 2014 г. по сравнению с 2012 – 2013 гг. уменьшился с 37,5 до 36,3 % или на 1,2 – 5,6 пунктопроцента, а </w:t>
      </w:r>
      <w:r>
        <w:rPr>
          <w:rFonts w:ascii="Times New Roman" w:hAnsi="Times New Roman" w:cs="Times New Roman"/>
          <w:sz w:val="28"/>
          <w:szCs w:val="28"/>
          <w:lang w:eastAsia="en-US"/>
        </w:rPr>
        <w:t xml:space="preserve">удельный вес </w:t>
      </w:r>
      <w:r>
        <w:rPr>
          <w:rFonts w:ascii="Times New Roman" w:hAnsi="Times New Roman" w:cs="Times New Roman"/>
          <w:sz w:val="28"/>
          <w:szCs w:val="28"/>
        </w:rPr>
        <w:t>кредиторской задолженности уменьшился с 42,0 – 37,9 % или на 4,1 – 6,9 пунктопроцента. Доля оценочных обязательств в структуре источников финансирования и задолженности возросла с 1,0 до 1,4%.</w:t>
      </w:r>
    </w:p>
    <w:p w:rsidR="008B5BAE" w:rsidRDefault="008B5BAE" w:rsidP="00CD10B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lang w:eastAsia="en-US"/>
        </w:rPr>
        <w:t xml:space="preserve">С финансовой точки зрения, </w:t>
      </w:r>
      <w:r>
        <w:rPr>
          <w:rFonts w:ascii="Times New Roman" w:hAnsi="Times New Roman" w:cs="Times New Roman"/>
          <w:sz w:val="28"/>
          <w:szCs w:val="28"/>
        </w:rPr>
        <w:t>произошедшие структурные изменения в источниках финансирования и задолженности надо рассматривать как позитивные, укрепляющие финансовое состояние ООО «Кубань-Вино».</w:t>
      </w:r>
    </w:p>
    <w:p w:rsidR="008B5BAE" w:rsidRDefault="008B5BAE" w:rsidP="00CD10B1">
      <w:pPr>
        <w:pStyle w:val="msonormalbullet2gifbullet3gifbullet1gif"/>
        <w:widowControl w:val="0"/>
        <w:spacing w:before="0" w:beforeAutospacing="0" w:after="0" w:afterAutospacing="0" w:line="360" w:lineRule="auto"/>
        <w:ind w:firstLine="720"/>
        <w:contextualSpacing/>
        <w:jc w:val="both"/>
      </w:pPr>
      <w:r>
        <w:rPr>
          <w:sz w:val="28"/>
          <w:szCs w:val="28"/>
        </w:rPr>
        <w:t xml:space="preserve">Анализ показал, что за </w:t>
      </w:r>
      <w:r>
        <w:rPr>
          <w:sz w:val="28"/>
          <w:szCs w:val="28"/>
          <w:lang w:eastAsia="en-US"/>
        </w:rPr>
        <w:t>исследуемый период организация была финансово неустойчивой. Организация ООО «Кубань-Вино» испытывала недостаток с</w:t>
      </w:r>
      <w:r>
        <w:rPr>
          <w:sz w:val="28"/>
          <w:szCs w:val="28"/>
        </w:rPr>
        <w:t xml:space="preserve">обственных </w:t>
      </w:r>
      <w:r>
        <w:rPr>
          <w:sz w:val="28"/>
          <w:szCs w:val="28"/>
          <w:lang w:eastAsia="en-US"/>
        </w:rPr>
        <w:t xml:space="preserve">оборотных средств. Поэтому для покрытия потребности в </w:t>
      </w:r>
      <w:r>
        <w:rPr>
          <w:sz w:val="28"/>
          <w:szCs w:val="28"/>
        </w:rPr>
        <w:t xml:space="preserve">запасах </w:t>
      </w:r>
      <w:r>
        <w:rPr>
          <w:sz w:val="28"/>
          <w:szCs w:val="28"/>
          <w:lang w:eastAsia="en-US"/>
        </w:rPr>
        <w:t>организация привлекала</w:t>
      </w:r>
      <w:r>
        <w:rPr>
          <w:sz w:val="28"/>
          <w:szCs w:val="28"/>
        </w:rPr>
        <w:t xml:space="preserve"> краткосрочные кредиты и займы в объемах, покрывающих балансовую стоимость запасов. Так, </w:t>
      </w:r>
      <w:r>
        <w:rPr>
          <w:sz w:val="28"/>
          <w:szCs w:val="28"/>
          <w:lang w:eastAsia="en-US"/>
        </w:rPr>
        <w:t>недостаток с</w:t>
      </w:r>
      <w:r>
        <w:rPr>
          <w:sz w:val="28"/>
          <w:szCs w:val="28"/>
        </w:rPr>
        <w:t xml:space="preserve">обственных </w:t>
      </w:r>
      <w:r>
        <w:rPr>
          <w:sz w:val="28"/>
          <w:szCs w:val="28"/>
          <w:lang w:eastAsia="en-US"/>
        </w:rPr>
        <w:t>оборотных средств варьировался от 362637 тыс. руб.</w:t>
      </w:r>
      <w:r>
        <w:rPr>
          <w:sz w:val="28"/>
          <w:szCs w:val="28"/>
        </w:rPr>
        <w:t xml:space="preserve"> на конец 2012 г. до 429870 </w:t>
      </w:r>
      <w:r>
        <w:rPr>
          <w:sz w:val="28"/>
          <w:szCs w:val="28"/>
          <w:lang w:eastAsia="en-US"/>
        </w:rPr>
        <w:t>тыс. руб.</w:t>
      </w:r>
      <w:r>
        <w:rPr>
          <w:sz w:val="28"/>
          <w:szCs w:val="28"/>
        </w:rPr>
        <w:t xml:space="preserve"> на конец 2014г. Это вызвало необходимость привлечения краткосрочных кредитов 398876 </w:t>
      </w:r>
      <w:r>
        <w:rPr>
          <w:sz w:val="28"/>
          <w:szCs w:val="28"/>
          <w:lang w:eastAsia="en-US"/>
        </w:rPr>
        <w:t>тыс. руб. (</w:t>
      </w:r>
      <w:r>
        <w:rPr>
          <w:sz w:val="28"/>
          <w:szCs w:val="28"/>
        </w:rPr>
        <w:t>на конец 2012 г.</w:t>
      </w:r>
      <w:r>
        <w:rPr>
          <w:sz w:val="28"/>
          <w:szCs w:val="28"/>
          <w:lang w:eastAsia="en-US"/>
        </w:rPr>
        <w:t>), 365831 тыс. руб. (</w:t>
      </w:r>
      <w:r>
        <w:rPr>
          <w:sz w:val="28"/>
          <w:szCs w:val="28"/>
        </w:rPr>
        <w:t>на конец 2013г.</w:t>
      </w:r>
      <w:r>
        <w:rPr>
          <w:sz w:val="28"/>
          <w:szCs w:val="28"/>
          <w:lang w:eastAsia="en-US"/>
        </w:rPr>
        <w:t>) и 624319 тыс. руб.</w:t>
      </w:r>
      <w:r>
        <w:rPr>
          <w:sz w:val="28"/>
          <w:szCs w:val="28"/>
        </w:rPr>
        <w:t xml:space="preserve"> (на конец 2014 г.). Общая величина источников формирования запасов превысила их балансовую стоимость  на 78355</w:t>
      </w:r>
      <w:r>
        <w:rPr>
          <w:sz w:val="28"/>
          <w:szCs w:val="28"/>
          <w:lang w:eastAsia="en-US"/>
        </w:rPr>
        <w:t xml:space="preserve"> тыс. руб.</w:t>
      </w:r>
      <w:r>
        <w:rPr>
          <w:sz w:val="28"/>
          <w:szCs w:val="28"/>
        </w:rPr>
        <w:t xml:space="preserve"> на конец 2012 г., на 45620 </w:t>
      </w:r>
      <w:r>
        <w:rPr>
          <w:sz w:val="28"/>
          <w:szCs w:val="28"/>
          <w:lang w:eastAsia="en-US"/>
        </w:rPr>
        <w:t>тыс. руб.</w:t>
      </w:r>
      <w:r>
        <w:rPr>
          <w:sz w:val="28"/>
          <w:szCs w:val="28"/>
        </w:rPr>
        <w:t xml:space="preserve"> на конец 2013 г. и на 266680 </w:t>
      </w:r>
      <w:r>
        <w:rPr>
          <w:sz w:val="28"/>
          <w:szCs w:val="28"/>
          <w:lang w:eastAsia="en-US"/>
        </w:rPr>
        <w:t>тыс. руб.</w:t>
      </w:r>
      <w:r>
        <w:rPr>
          <w:sz w:val="28"/>
          <w:szCs w:val="28"/>
        </w:rPr>
        <w:t xml:space="preserve"> на конец 2014 г.</w:t>
      </w:r>
    </w:p>
    <w:p w:rsidR="008B5BAE" w:rsidRDefault="008B5BAE" w:rsidP="00CD10B1">
      <w:pPr>
        <w:pStyle w:val="msonormalbullet2gifbullet3gif"/>
        <w:widowControl w:val="0"/>
        <w:spacing w:before="0" w:beforeAutospacing="0" w:after="0" w:afterAutospacing="0" w:line="360" w:lineRule="auto"/>
        <w:ind w:firstLine="720"/>
        <w:contextualSpacing/>
        <w:jc w:val="both"/>
        <w:rPr>
          <w:sz w:val="28"/>
          <w:szCs w:val="28"/>
          <w:lang w:eastAsia="en-US"/>
        </w:rPr>
      </w:pPr>
      <w:r>
        <w:rPr>
          <w:sz w:val="28"/>
          <w:szCs w:val="28"/>
          <w:lang w:eastAsia="en-US"/>
        </w:rPr>
        <w:t xml:space="preserve">Анализ выявил тенденцию увеличения </w:t>
      </w:r>
      <w:r>
        <w:rPr>
          <w:sz w:val="28"/>
          <w:szCs w:val="28"/>
        </w:rPr>
        <w:t xml:space="preserve">коэффициента автономии, который составлял на конец 2014 г. 0,203 и по сравнению с 2012 г. возрос на 0,048, а в сравнении с 2013 г. на 0,005. Однако </w:t>
      </w:r>
      <w:r>
        <w:rPr>
          <w:sz w:val="28"/>
          <w:szCs w:val="28"/>
          <w:lang w:eastAsia="en-US"/>
        </w:rPr>
        <w:t xml:space="preserve">фактическое значение меньше более чем в 2 раза теоретически достаточной величины коэффициента. Но сформировавшуюся тенденцию роста </w:t>
      </w:r>
      <w:r>
        <w:rPr>
          <w:sz w:val="28"/>
          <w:szCs w:val="28"/>
        </w:rPr>
        <w:t xml:space="preserve">коэффициента </w:t>
      </w:r>
      <w:r>
        <w:rPr>
          <w:sz w:val="28"/>
          <w:szCs w:val="28"/>
          <w:lang w:eastAsia="en-US"/>
        </w:rPr>
        <w:t>финансовой</w:t>
      </w:r>
      <w:r>
        <w:rPr>
          <w:sz w:val="28"/>
          <w:szCs w:val="28"/>
        </w:rPr>
        <w:t xml:space="preserve"> независимости следует рассматривать как положительную, способствующую повышению </w:t>
      </w:r>
      <w:r>
        <w:rPr>
          <w:sz w:val="28"/>
          <w:szCs w:val="28"/>
          <w:lang w:eastAsia="en-US"/>
        </w:rPr>
        <w:t>финансовой устойчивости, укреплению финансового состояния организации.</w:t>
      </w:r>
    </w:p>
    <w:p w:rsidR="008B5BAE" w:rsidRDefault="008B5BAE" w:rsidP="00CD10B1">
      <w:pPr>
        <w:pStyle w:val="msonormalbullet2gifbullet3gif"/>
        <w:widowControl w:val="0"/>
        <w:spacing w:before="0" w:beforeAutospacing="0" w:after="0" w:afterAutospacing="0" w:line="360" w:lineRule="auto"/>
        <w:ind w:firstLine="720"/>
        <w:contextualSpacing/>
        <w:jc w:val="both"/>
        <w:rPr>
          <w:sz w:val="28"/>
          <w:szCs w:val="28"/>
        </w:rPr>
      </w:pPr>
      <w:r>
        <w:rPr>
          <w:sz w:val="28"/>
          <w:szCs w:val="28"/>
        </w:rPr>
        <w:t xml:space="preserve">Положительной является </w:t>
      </w:r>
      <w:r>
        <w:rPr>
          <w:sz w:val="28"/>
          <w:szCs w:val="28"/>
          <w:lang w:eastAsia="en-US"/>
        </w:rPr>
        <w:t xml:space="preserve">тенденция повышения величины </w:t>
      </w:r>
      <w:r>
        <w:rPr>
          <w:sz w:val="28"/>
          <w:szCs w:val="28"/>
        </w:rPr>
        <w:t xml:space="preserve">коэффициента,  характеризующего </w:t>
      </w:r>
      <w:r>
        <w:rPr>
          <w:sz w:val="28"/>
          <w:szCs w:val="28"/>
          <w:lang w:eastAsia="en-US"/>
        </w:rPr>
        <w:t xml:space="preserve">финансовую самостоятельность как </w:t>
      </w:r>
      <w:r>
        <w:rPr>
          <w:sz w:val="28"/>
          <w:szCs w:val="28"/>
        </w:rPr>
        <w:t>соотношение</w:t>
      </w:r>
      <w:r>
        <w:rPr>
          <w:sz w:val="28"/>
          <w:szCs w:val="28"/>
          <w:lang w:eastAsia="en-US"/>
        </w:rPr>
        <w:t xml:space="preserve"> всей суммы источников финансирования и балансовой стоимости </w:t>
      </w:r>
      <w:r>
        <w:rPr>
          <w:sz w:val="28"/>
          <w:szCs w:val="28"/>
        </w:rPr>
        <w:t xml:space="preserve">запасов. На конец 2014 г. </w:t>
      </w:r>
      <w:r>
        <w:rPr>
          <w:sz w:val="28"/>
          <w:szCs w:val="28"/>
          <w:lang w:eastAsia="en-US"/>
        </w:rPr>
        <w:t xml:space="preserve">величина </w:t>
      </w:r>
      <w:r>
        <w:rPr>
          <w:sz w:val="28"/>
          <w:szCs w:val="28"/>
        </w:rPr>
        <w:t xml:space="preserve">коэффициента достигла 1,601 и по сравнению с 2012 – 2013 гг. возросла на 0,355 – 0,470 соответственно. Однако отметим, что </w:t>
      </w:r>
      <w:r>
        <w:rPr>
          <w:sz w:val="28"/>
          <w:szCs w:val="28"/>
          <w:lang w:eastAsia="en-US"/>
        </w:rPr>
        <w:t xml:space="preserve">сформировавшаяся тенденция объясняется влиянием, главным образом, </w:t>
      </w:r>
      <w:r>
        <w:rPr>
          <w:sz w:val="28"/>
          <w:szCs w:val="28"/>
        </w:rPr>
        <w:t>привлеченных краткосрочных заемных средств.</w:t>
      </w:r>
    </w:p>
    <w:p w:rsidR="008B5BAE" w:rsidRDefault="008B5BAE" w:rsidP="00CD10B1">
      <w:pPr>
        <w:pStyle w:val="msonormalbullet2gifbullet3gif"/>
        <w:widowControl w:val="0"/>
        <w:spacing w:before="0" w:beforeAutospacing="0" w:after="0" w:afterAutospacing="0" w:line="360" w:lineRule="auto"/>
        <w:ind w:firstLine="720"/>
        <w:contextualSpacing/>
        <w:jc w:val="both"/>
        <w:rPr>
          <w:sz w:val="28"/>
          <w:szCs w:val="28"/>
          <w:lang w:eastAsia="en-US"/>
        </w:rPr>
      </w:pPr>
      <w:r>
        <w:rPr>
          <w:sz w:val="28"/>
          <w:szCs w:val="28"/>
        </w:rPr>
        <w:t xml:space="preserve">Наметилась </w:t>
      </w:r>
      <w:r>
        <w:rPr>
          <w:sz w:val="28"/>
          <w:szCs w:val="28"/>
          <w:lang w:eastAsia="en-US"/>
        </w:rPr>
        <w:t xml:space="preserve">тенденция уменьшения величины </w:t>
      </w:r>
      <w:r>
        <w:rPr>
          <w:sz w:val="28"/>
          <w:szCs w:val="28"/>
        </w:rPr>
        <w:t>коэффициента соотношения заёмных и собственных средств</w:t>
      </w:r>
      <w:r>
        <w:rPr>
          <w:sz w:val="28"/>
          <w:szCs w:val="28"/>
          <w:lang w:eastAsia="en-US"/>
        </w:rPr>
        <w:t xml:space="preserve"> организации, что надо </w:t>
      </w:r>
      <w:r>
        <w:rPr>
          <w:sz w:val="28"/>
          <w:szCs w:val="28"/>
        </w:rPr>
        <w:t xml:space="preserve">рассматривать ее как позитивную ситуацию: на конец 2014 г. по сравнению с 2012 г. </w:t>
      </w:r>
      <w:r>
        <w:rPr>
          <w:sz w:val="28"/>
          <w:szCs w:val="28"/>
          <w:lang w:eastAsia="en-US"/>
        </w:rPr>
        <w:t xml:space="preserve">величина </w:t>
      </w:r>
      <w:r>
        <w:rPr>
          <w:sz w:val="28"/>
          <w:szCs w:val="28"/>
        </w:rPr>
        <w:t>коэффициента</w:t>
      </w:r>
      <w:r>
        <w:rPr>
          <w:sz w:val="28"/>
          <w:szCs w:val="28"/>
          <w:lang w:eastAsia="en-US"/>
        </w:rPr>
        <w:t xml:space="preserve"> уменьшилась с 2,678 до 1,998. </w:t>
      </w:r>
      <w:r>
        <w:rPr>
          <w:sz w:val="28"/>
          <w:szCs w:val="28"/>
        </w:rPr>
        <w:t xml:space="preserve">Однако </w:t>
      </w:r>
      <w:r>
        <w:rPr>
          <w:sz w:val="28"/>
          <w:szCs w:val="28"/>
          <w:lang w:eastAsia="en-US"/>
        </w:rPr>
        <w:t>фактическое значение коэффициента не отвечает критерию оценки финансово устойчивой организации.</w:t>
      </w:r>
    </w:p>
    <w:p w:rsidR="008B5BAE" w:rsidRDefault="008B5BAE" w:rsidP="00CD10B1">
      <w:pPr>
        <w:pStyle w:val="msonormalbullet2gifbullet1gif"/>
        <w:widowControl w:val="0"/>
        <w:spacing w:before="0" w:beforeAutospacing="0" w:after="0" w:afterAutospacing="0" w:line="360" w:lineRule="auto"/>
        <w:ind w:firstLine="709"/>
        <w:jc w:val="both"/>
        <w:rPr>
          <w:sz w:val="28"/>
          <w:szCs w:val="28"/>
          <w:lang w:eastAsia="en-US"/>
        </w:rPr>
      </w:pPr>
      <w:r>
        <w:rPr>
          <w:sz w:val="28"/>
          <w:szCs w:val="28"/>
        </w:rPr>
        <w:t xml:space="preserve">Анализ </w:t>
      </w:r>
      <w:r>
        <w:rPr>
          <w:sz w:val="28"/>
          <w:szCs w:val="28"/>
          <w:lang w:eastAsia="en-US"/>
        </w:rPr>
        <w:t>ликвидности оборотных активов как способности организации погашать текущие (краткосрочные) обязательства выявил следующие результаты.</w:t>
      </w:r>
      <w:r>
        <w:rPr>
          <w:sz w:val="28"/>
          <w:szCs w:val="28"/>
        </w:rPr>
        <w:t xml:space="preserve"> На конец 2014 г. </w:t>
      </w:r>
      <w:r>
        <w:rPr>
          <w:sz w:val="28"/>
          <w:szCs w:val="28"/>
          <w:lang w:eastAsia="en-US"/>
        </w:rPr>
        <w:t xml:space="preserve">коэффициент текущей ликвидности оборотных активов был равен 1,066, и </w:t>
      </w:r>
      <w:r>
        <w:rPr>
          <w:sz w:val="28"/>
          <w:szCs w:val="28"/>
        </w:rPr>
        <w:t>увеличился на 0,066 – 0,034 по сравнению с 2012 – 2013 гг.</w:t>
      </w:r>
      <w:r>
        <w:rPr>
          <w:sz w:val="28"/>
          <w:szCs w:val="28"/>
          <w:lang w:eastAsia="en-US"/>
        </w:rPr>
        <w:t xml:space="preserve"> Это означает, что ООО «Кубань-Вино» является платежеспособным предприятием, однако фактическое значение данного коэффициента меньше теоретически достаточной величины. Коэффициент абсолютной ликвидности в 2012 г. составил 0,013; в 2013 г. он был равен 0,010, а в 2014 г. возрос до 0,284. С финансовой точки зрения рост коэффициента абсолютной ликвидности </w:t>
      </w:r>
      <w:r>
        <w:rPr>
          <w:sz w:val="28"/>
          <w:szCs w:val="28"/>
        </w:rPr>
        <w:t>на конец 2014 г. надо рассматривать положительно. Динамика значения к</w:t>
      </w:r>
      <w:r>
        <w:rPr>
          <w:sz w:val="28"/>
          <w:szCs w:val="28"/>
          <w:lang w:eastAsia="en-US"/>
        </w:rPr>
        <w:t xml:space="preserve">оэффициента соотношения заемных и собственных средств за исследуемый период </w:t>
      </w:r>
      <w:r>
        <w:rPr>
          <w:sz w:val="28"/>
          <w:szCs w:val="28"/>
        </w:rPr>
        <w:t xml:space="preserve">характеризовалась тенденцией уменьшения, что </w:t>
      </w:r>
      <w:r>
        <w:rPr>
          <w:sz w:val="28"/>
          <w:szCs w:val="28"/>
          <w:lang w:eastAsia="en-US"/>
        </w:rPr>
        <w:t>с финансовой точки зрения является позитивной ситуацией.</w:t>
      </w:r>
    </w:p>
    <w:p w:rsidR="008B5BAE" w:rsidRDefault="008B5BAE" w:rsidP="00CD10B1">
      <w:pPr>
        <w:pStyle w:val="msonormalbullet2gifbullet3gifbullet3gif"/>
        <w:widowControl w:val="0"/>
        <w:spacing w:before="0" w:beforeAutospacing="0" w:after="0" w:afterAutospacing="0" w:line="360" w:lineRule="auto"/>
        <w:ind w:firstLine="720"/>
        <w:contextualSpacing/>
        <w:jc w:val="both"/>
        <w:rPr>
          <w:sz w:val="28"/>
          <w:szCs w:val="28"/>
          <w:lang w:eastAsia="en-US"/>
        </w:rPr>
      </w:pPr>
      <w:r>
        <w:rPr>
          <w:sz w:val="28"/>
          <w:szCs w:val="28"/>
          <w:lang w:eastAsia="en-US"/>
        </w:rPr>
        <w:t>Коэффициент обеспеченности собственными оборотными средствами за исследуемый период возрос до 0,010</w:t>
      </w:r>
      <w:r>
        <w:rPr>
          <w:sz w:val="28"/>
          <w:szCs w:val="28"/>
        </w:rPr>
        <w:t xml:space="preserve"> на конец 2014 г. Однако </w:t>
      </w:r>
      <w:r>
        <w:rPr>
          <w:sz w:val="28"/>
          <w:szCs w:val="28"/>
          <w:lang w:eastAsia="en-US"/>
        </w:rPr>
        <w:t>фактическое значение коэффициента меньше во много раз по сравнению с теоретически достаточной величиной.</w:t>
      </w:r>
    </w:p>
    <w:p w:rsidR="008B5BAE" w:rsidRDefault="008B5BAE" w:rsidP="00CD10B1">
      <w:pPr>
        <w:widowControl w:val="0"/>
        <w:autoSpaceDE w:val="0"/>
        <w:autoSpaceDN w:val="0"/>
        <w:adjustRightInd w:val="0"/>
        <w:spacing w:after="0" w:line="360" w:lineRule="auto"/>
        <w:ind w:right="-1" w:firstLine="709"/>
        <w:jc w:val="both"/>
        <w:rPr>
          <w:rFonts w:ascii="Times New Roman" w:hAnsi="Times New Roman" w:cs="Times New Roman"/>
          <w:sz w:val="28"/>
          <w:szCs w:val="28"/>
          <w:lang w:eastAsia="ru-RU"/>
        </w:rPr>
      </w:pPr>
      <w:r>
        <w:rPr>
          <w:rFonts w:ascii="Times New Roman" w:hAnsi="Times New Roman" w:cs="Times New Roman"/>
          <w:sz w:val="28"/>
          <w:szCs w:val="28"/>
          <w:lang w:eastAsia="en-US"/>
        </w:rPr>
        <w:t>Одним из важных показателей оценки</w:t>
      </w:r>
      <w:r>
        <w:rPr>
          <w:rFonts w:ascii="Times New Roman" w:hAnsi="Times New Roman" w:cs="Times New Roman"/>
          <w:sz w:val="28"/>
          <w:szCs w:val="28"/>
        </w:rPr>
        <w:t xml:space="preserve"> финансового состояния хозяйствующего субъекта является оборачиваемость капитала. Чем короче </w:t>
      </w:r>
      <w:r>
        <w:rPr>
          <w:rFonts w:ascii="Times New Roman" w:hAnsi="Times New Roman" w:cs="Times New Roman"/>
          <w:sz w:val="28"/>
          <w:szCs w:val="28"/>
          <w:lang w:eastAsia="en-US"/>
        </w:rPr>
        <w:t xml:space="preserve">продолжительность одного оборота, тем выше эффективность использования ресурсов организации, </w:t>
      </w:r>
      <w:r>
        <w:rPr>
          <w:rFonts w:ascii="Times New Roman" w:hAnsi="Times New Roman" w:cs="Times New Roman"/>
          <w:sz w:val="28"/>
          <w:szCs w:val="28"/>
        </w:rPr>
        <w:t xml:space="preserve">финансовая устойчивость. </w:t>
      </w:r>
    </w:p>
    <w:p w:rsidR="008B5BAE" w:rsidRDefault="008B5BAE" w:rsidP="00CD10B1">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Таблица 1 – Исходные показатели и анализ о</w:t>
      </w:r>
      <w:r>
        <w:rPr>
          <w:rFonts w:ascii="Times New Roman" w:hAnsi="Times New Roman" w:cs="Times New Roman"/>
          <w:sz w:val="28"/>
          <w:szCs w:val="28"/>
        </w:rPr>
        <w:t>борачиваемости капитала,</w:t>
      </w:r>
    </w:p>
    <w:p w:rsidR="008B5BAE" w:rsidRDefault="008B5BAE" w:rsidP="00CD10B1">
      <w:pPr>
        <w:tabs>
          <w:tab w:val="left" w:pos="0"/>
        </w:tabs>
        <w:spacing w:after="0" w:line="240" w:lineRule="auto"/>
        <w:jc w:val="both"/>
        <w:rPr>
          <w:rFonts w:ascii="Times New Roman" w:hAnsi="Times New Roman" w:cs="Times New Roman"/>
          <w:color w:val="000000"/>
          <w:sz w:val="28"/>
          <w:szCs w:val="28"/>
        </w:rPr>
      </w:pPr>
      <w:r>
        <w:rPr>
          <w:rFonts w:ascii="Times New Roman" w:hAnsi="Times New Roman" w:cs="Times New Roman"/>
          <w:sz w:val="28"/>
          <w:szCs w:val="28"/>
        </w:rPr>
        <w:t xml:space="preserve">                     его основных компонентов </w:t>
      </w:r>
      <w:r>
        <w:rPr>
          <w:rFonts w:ascii="Times New Roman" w:hAnsi="Times New Roman" w:cs="Times New Roman"/>
          <w:sz w:val="28"/>
          <w:szCs w:val="28"/>
          <w:lang w:eastAsia="en-US"/>
        </w:rPr>
        <w:t>ООО «Кубань-Вино»</w:t>
      </w:r>
    </w:p>
    <w:tbl>
      <w:tblPr>
        <w:tblW w:w="9312" w:type="dxa"/>
        <w:jc w:val="center"/>
        <w:tblInd w:w="91" w:type="dxa"/>
        <w:tblLayout w:type="fixed"/>
        <w:tblCellMar>
          <w:left w:w="40" w:type="dxa"/>
          <w:right w:w="40" w:type="dxa"/>
        </w:tblCellMar>
        <w:tblLook w:val="00A0"/>
      </w:tblPr>
      <w:tblGrid>
        <w:gridCol w:w="3784"/>
        <w:gridCol w:w="1047"/>
        <w:gridCol w:w="1047"/>
        <w:gridCol w:w="1047"/>
        <w:gridCol w:w="1324"/>
        <w:gridCol w:w="1063"/>
      </w:tblGrid>
      <w:tr w:rsidR="008B5BAE" w:rsidTr="008C7671">
        <w:trPr>
          <w:trHeight w:hRule="exact" w:val="612"/>
          <w:jc w:val="center"/>
        </w:trPr>
        <w:tc>
          <w:tcPr>
            <w:tcW w:w="3784" w:type="dxa"/>
            <w:vMerge w:val="restart"/>
            <w:tcBorders>
              <w:top w:val="single" w:sz="6" w:space="0" w:color="auto"/>
              <w:left w:val="single" w:sz="6" w:space="0" w:color="auto"/>
              <w:bottom w:val="single" w:sz="6" w:space="0" w:color="auto"/>
              <w:right w:val="single" w:sz="6" w:space="0" w:color="auto"/>
            </w:tcBorders>
            <w:shd w:val="clear" w:color="auto" w:fill="FFFFFF"/>
            <w:vAlign w:val="center"/>
          </w:tcPr>
          <w:p w:rsidR="008B5BAE" w:rsidRPr="00CD10B1" w:rsidRDefault="008B5BAE">
            <w:pPr>
              <w:tabs>
                <w:tab w:val="left" w:pos="0"/>
              </w:tabs>
              <w:spacing w:after="0" w:line="240" w:lineRule="auto"/>
              <w:jc w:val="center"/>
              <w:rPr>
                <w:rFonts w:ascii="Times New Roman" w:hAnsi="Times New Roman" w:cs="Times New Roman"/>
                <w:lang w:eastAsia="en-US"/>
              </w:rPr>
            </w:pPr>
            <w:r w:rsidRPr="00CD10B1">
              <w:rPr>
                <w:rFonts w:ascii="Times New Roman" w:hAnsi="Times New Roman" w:cs="Times New Roman"/>
                <w:lang w:eastAsia="en-US"/>
              </w:rPr>
              <w:t>Показатель</w:t>
            </w:r>
          </w:p>
        </w:tc>
        <w:tc>
          <w:tcPr>
            <w:tcW w:w="3141"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8B5BAE" w:rsidRPr="00CD10B1" w:rsidRDefault="008B5BAE">
            <w:pPr>
              <w:tabs>
                <w:tab w:val="left" w:pos="0"/>
              </w:tabs>
              <w:spacing w:after="0" w:line="240" w:lineRule="auto"/>
              <w:jc w:val="center"/>
              <w:rPr>
                <w:rFonts w:ascii="Times New Roman" w:hAnsi="Times New Roman" w:cs="Times New Roman"/>
                <w:lang w:eastAsia="en-US"/>
              </w:rPr>
            </w:pPr>
            <w:r w:rsidRPr="00CD10B1">
              <w:rPr>
                <w:rFonts w:ascii="Times New Roman" w:hAnsi="Times New Roman" w:cs="Times New Roman"/>
                <w:lang w:eastAsia="en-US"/>
              </w:rPr>
              <w:t>Год</w:t>
            </w:r>
          </w:p>
        </w:tc>
        <w:tc>
          <w:tcPr>
            <w:tcW w:w="2387"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B5BAE" w:rsidRPr="00CD10B1" w:rsidRDefault="008B5BAE" w:rsidP="00CD10B1">
            <w:pPr>
              <w:tabs>
                <w:tab w:val="left" w:pos="0"/>
              </w:tabs>
              <w:spacing w:after="0" w:line="240" w:lineRule="auto"/>
              <w:jc w:val="center"/>
              <w:rPr>
                <w:rFonts w:ascii="Times New Roman" w:hAnsi="Times New Roman" w:cs="Times New Roman"/>
                <w:lang w:eastAsia="en-US"/>
              </w:rPr>
            </w:pPr>
            <w:r w:rsidRPr="00CD10B1">
              <w:rPr>
                <w:rFonts w:ascii="Times New Roman" w:hAnsi="Times New Roman" w:cs="Times New Roman"/>
                <w:lang w:eastAsia="en-US"/>
              </w:rPr>
              <w:t xml:space="preserve">Изменение (+,–) в </w:t>
            </w:r>
          </w:p>
          <w:p w:rsidR="008B5BAE" w:rsidRPr="00CD10B1" w:rsidRDefault="008B5BAE" w:rsidP="00CD10B1">
            <w:pPr>
              <w:tabs>
                <w:tab w:val="left" w:pos="0"/>
              </w:tabs>
              <w:spacing w:after="0" w:line="240" w:lineRule="auto"/>
              <w:jc w:val="center"/>
              <w:rPr>
                <w:rFonts w:ascii="Times New Roman" w:hAnsi="Times New Roman" w:cs="Times New Roman"/>
                <w:lang w:eastAsia="en-US"/>
              </w:rPr>
            </w:pPr>
            <w:r w:rsidRPr="00CD10B1">
              <w:rPr>
                <w:rFonts w:ascii="Times New Roman" w:hAnsi="Times New Roman" w:cs="Times New Roman"/>
                <w:lang w:eastAsia="en-US"/>
              </w:rPr>
              <w:t>2014 г. по сравнению с</w:t>
            </w:r>
          </w:p>
        </w:tc>
      </w:tr>
      <w:tr w:rsidR="008B5BAE" w:rsidTr="008C7671">
        <w:trPr>
          <w:trHeight w:hRule="exact" w:val="288"/>
          <w:jc w:val="center"/>
        </w:trPr>
        <w:tc>
          <w:tcPr>
            <w:tcW w:w="3784" w:type="dxa"/>
            <w:vMerge/>
            <w:tcBorders>
              <w:top w:val="single" w:sz="6" w:space="0" w:color="auto"/>
              <w:left w:val="single" w:sz="6" w:space="0" w:color="auto"/>
              <w:bottom w:val="single" w:sz="6" w:space="0" w:color="auto"/>
              <w:right w:val="single" w:sz="6" w:space="0" w:color="auto"/>
            </w:tcBorders>
            <w:vAlign w:val="center"/>
          </w:tcPr>
          <w:p w:rsidR="008B5BAE" w:rsidRPr="00CD10B1" w:rsidRDefault="008B5BAE">
            <w:pPr>
              <w:spacing w:after="0" w:line="240" w:lineRule="auto"/>
              <w:rPr>
                <w:rFonts w:ascii="Times New Roman" w:hAnsi="Times New Roman" w:cs="Times New Roman"/>
                <w:lang w:eastAsia="en-US"/>
              </w:rPr>
            </w:pP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pPr>
              <w:tabs>
                <w:tab w:val="left" w:pos="0"/>
              </w:tabs>
              <w:spacing w:after="0" w:line="240" w:lineRule="auto"/>
              <w:jc w:val="center"/>
              <w:rPr>
                <w:rFonts w:ascii="Times New Roman" w:hAnsi="Times New Roman" w:cs="Times New Roman"/>
                <w:lang w:eastAsia="en-US"/>
              </w:rPr>
            </w:pPr>
            <w:r w:rsidRPr="00CD10B1">
              <w:rPr>
                <w:rFonts w:ascii="Times New Roman" w:hAnsi="Times New Roman" w:cs="Times New Roman"/>
                <w:lang w:eastAsia="en-US"/>
              </w:rPr>
              <w:t>2012</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pPr>
              <w:tabs>
                <w:tab w:val="left" w:pos="0"/>
              </w:tabs>
              <w:spacing w:after="0" w:line="240" w:lineRule="auto"/>
              <w:jc w:val="center"/>
              <w:rPr>
                <w:rFonts w:ascii="Times New Roman" w:hAnsi="Times New Roman" w:cs="Times New Roman"/>
                <w:lang w:eastAsia="en-US"/>
              </w:rPr>
            </w:pPr>
            <w:r w:rsidRPr="00CD10B1">
              <w:rPr>
                <w:rFonts w:ascii="Times New Roman" w:hAnsi="Times New Roman" w:cs="Times New Roman"/>
                <w:lang w:eastAsia="en-US"/>
              </w:rPr>
              <w:t>2013</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pPr>
              <w:tabs>
                <w:tab w:val="left" w:pos="0"/>
              </w:tabs>
              <w:spacing w:after="0" w:line="240" w:lineRule="auto"/>
              <w:jc w:val="center"/>
              <w:rPr>
                <w:rFonts w:ascii="Times New Roman" w:hAnsi="Times New Roman" w:cs="Times New Roman"/>
                <w:lang w:eastAsia="en-US"/>
              </w:rPr>
            </w:pPr>
            <w:r w:rsidRPr="00CD10B1">
              <w:rPr>
                <w:rFonts w:ascii="Times New Roman" w:hAnsi="Times New Roman" w:cs="Times New Roman"/>
                <w:lang w:eastAsia="en-US"/>
              </w:rPr>
              <w:t>2014</w:t>
            </w:r>
          </w:p>
        </w:tc>
        <w:tc>
          <w:tcPr>
            <w:tcW w:w="1324"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pPr>
              <w:tabs>
                <w:tab w:val="left" w:pos="0"/>
              </w:tabs>
              <w:spacing w:after="0" w:line="240" w:lineRule="auto"/>
              <w:jc w:val="center"/>
              <w:rPr>
                <w:rFonts w:ascii="Times New Roman" w:hAnsi="Times New Roman" w:cs="Times New Roman"/>
                <w:lang w:eastAsia="en-US"/>
              </w:rPr>
            </w:pPr>
            <w:r w:rsidRPr="00CD10B1">
              <w:rPr>
                <w:rFonts w:ascii="Times New Roman" w:hAnsi="Times New Roman" w:cs="Times New Roman"/>
                <w:lang w:eastAsia="en-US"/>
              </w:rPr>
              <w:t>2012 г.</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pPr>
              <w:tabs>
                <w:tab w:val="left" w:pos="0"/>
              </w:tabs>
              <w:spacing w:after="0" w:line="240" w:lineRule="auto"/>
              <w:jc w:val="center"/>
              <w:rPr>
                <w:rFonts w:ascii="Times New Roman" w:hAnsi="Times New Roman" w:cs="Times New Roman"/>
                <w:lang w:eastAsia="en-US"/>
              </w:rPr>
            </w:pPr>
            <w:r w:rsidRPr="00CD10B1">
              <w:rPr>
                <w:rFonts w:ascii="Times New Roman" w:hAnsi="Times New Roman" w:cs="Times New Roman"/>
                <w:lang w:eastAsia="en-US"/>
              </w:rPr>
              <w:t>2013 г.</w:t>
            </w:r>
          </w:p>
        </w:tc>
      </w:tr>
      <w:tr w:rsidR="008B5BAE" w:rsidTr="008C7671">
        <w:trPr>
          <w:trHeight w:hRule="exact" w:val="332"/>
          <w:jc w:val="center"/>
        </w:trPr>
        <w:tc>
          <w:tcPr>
            <w:tcW w:w="3784" w:type="dxa"/>
            <w:tcBorders>
              <w:top w:val="single" w:sz="6" w:space="0" w:color="auto"/>
              <w:left w:val="single" w:sz="6" w:space="0" w:color="auto"/>
              <w:bottom w:val="single" w:sz="6"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rPr>
                <w:rFonts w:ascii="Times New Roman" w:hAnsi="Times New Roman" w:cs="Times New Roman"/>
                <w:lang w:eastAsia="en-US"/>
              </w:rPr>
            </w:pPr>
            <w:r w:rsidRPr="00CD10B1">
              <w:rPr>
                <w:rFonts w:ascii="Times New Roman" w:hAnsi="Times New Roman" w:cs="Times New Roman"/>
                <w:lang w:eastAsia="en-US"/>
              </w:rPr>
              <w:t>Выручка, тыс. руб.</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1565097</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1697061</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2105217</w:t>
            </w:r>
          </w:p>
        </w:tc>
        <w:tc>
          <w:tcPr>
            <w:tcW w:w="1324"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540120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408156</w:t>
            </w:r>
          </w:p>
        </w:tc>
      </w:tr>
      <w:tr w:rsidR="008B5BAE" w:rsidTr="00FE7CF3">
        <w:trPr>
          <w:trHeight w:hRule="exact" w:val="340"/>
          <w:jc w:val="center"/>
        </w:trPr>
        <w:tc>
          <w:tcPr>
            <w:tcW w:w="9312" w:type="dxa"/>
            <w:gridSpan w:val="6"/>
            <w:tcBorders>
              <w:top w:val="single" w:sz="6" w:space="0" w:color="auto"/>
              <w:left w:val="single" w:sz="6" w:space="0" w:color="auto"/>
              <w:bottom w:val="single" w:sz="6" w:space="0" w:color="auto"/>
              <w:right w:val="single" w:sz="4" w:space="0" w:color="auto"/>
            </w:tcBorders>
            <w:shd w:val="clear" w:color="auto" w:fill="FFFFFF"/>
            <w:vAlign w:val="center"/>
          </w:tcPr>
          <w:p w:rsidR="008B5BAE" w:rsidRPr="00CD10B1" w:rsidRDefault="008B5BAE" w:rsidP="00CD10B1">
            <w:pPr>
              <w:spacing w:after="0" w:line="240" w:lineRule="auto"/>
              <w:rPr>
                <w:lang w:eastAsia="en-US"/>
              </w:rPr>
            </w:pPr>
            <w:r w:rsidRPr="00CD10B1">
              <w:rPr>
                <w:rFonts w:ascii="Times New Roman" w:hAnsi="Times New Roman" w:cs="Times New Roman"/>
                <w:lang w:eastAsia="en-US"/>
              </w:rPr>
              <w:t>Среднегодовая величина, тыс. руб.:</w:t>
            </w:r>
          </w:p>
        </w:tc>
      </w:tr>
      <w:tr w:rsidR="008B5BAE" w:rsidTr="008C7671">
        <w:trPr>
          <w:trHeight w:hRule="exact" w:val="310"/>
          <w:jc w:val="center"/>
        </w:trPr>
        <w:tc>
          <w:tcPr>
            <w:tcW w:w="3784" w:type="dxa"/>
            <w:tcBorders>
              <w:top w:val="single" w:sz="6" w:space="0" w:color="auto"/>
              <w:left w:val="single" w:sz="6" w:space="0" w:color="auto"/>
              <w:bottom w:val="single" w:sz="6" w:space="0" w:color="auto"/>
              <w:right w:val="single" w:sz="4" w:space="0" w:color="auto"/>
            </w:tcBorders>
            <w:shd w:val="clear" w:color="auto" w:fill="FFFFFF"/>
            <w:vAlign w:val="center"/>
          </w:tcPr>
          <w:p w:rsidR="008B5BAE" w:rsidRPr="00CD10B1" w:rsidRDefault="008B5BAE" w:rsidP="00CD10B1">
            <w:pPr>
              <w:tabs>
                <w:tab w:val="left" w:pos="-551"/>
              </w:tabs>
              <w:spacing w:after="0" w:line="240" w:lineRule="auto"/>
              <w:ind w:left="158"/>
              <w:jc w:val="both"/>
              <w:rPr>
                <w:rFonts w:ascii="Times New Roman" w:hAnsi="Times New Roman" w:cs="Times New Roman"/>
                <w:lang w:eastAsia="en-US"/>
              </w:rPr>
            </w:pPr>
            <w:r w:rsidRPr="00CD10B1">
              <w:rPr>
                <w:rFonts w:ascii="Times New Roman" w:hAnsi="Times New Roman" w:cs="Times New Roman"/>
                <w:lang w:eastAsia="en-US"/>
              </w:rPr>
              <w:t>всего капитала</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992597</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1127140</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1456621</w:t>
            </w:r>
          </w:p>
        </w:tc>
        <w:tc>
          <w:tcPr>
            <w:tcW w:w="1324"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464024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329481</w:t>
            </w:r>
          </w:p>
        </w:tc>
      </w:tr>
      <w:tr w:rsidR="008B5BAE" w:rsidTr="008C7671">
        <w:trPr>
          <w:trHeight w:hRule="exact" w:val="287"/>
          <w:jc w:val="center"/>
        </w:trPr>
        <w:tc>
          <w:tcPr>
            <w:tcW w:w="3784" w:type="dxa"/>
            <w:tcBorders>
              <w:top w:val="single" w:sz="6" w:space="0" w:color="auto"/>
              <w:left w:val="single" w:sz="6" w:space="0" w:color="auto"/>
              <w:bottom w:val="single" w:sz="6" w:space="0" w:color="auto"/>
              <w:right w:val="single" w:sz="4" w:space="0" w:color="auto"/>
            </w:tcBorders>
            <w:shd w:val="clear" w:color="auto" w:fill="FFFFFF"/>
            <w:vAlign w:val="center"/>
          </w:tcPr>
          <w:p w:rsidR="008B5BAE" w:rsidRPr="00CD10B1" w:rsidRDefault="008B5BAE" w:rsidP="00CD10B1">
            <w:pPr>
              <w:tabs>
                <w:tab w:val="left" w:pos="-551"/>
              </w:tabs>
              <w:spacing w:after="0" w:line="240" w:lineRule="auto"/>
              <w:ind w:left="158"/>
              <w:jc w:val="both"/>
              <w:rPr>
                <w:rFonts w:ascii="Times New Roman" w:hAnsi="Times New Roman" w:cs="Times New Roman"/>
                <w:lang w:eastAsia="en-US"/>
              </w:rPr>
            </w:pPr>
            <w:r w:rsidRPr="00CD10B1">
              <w:rPr>
                <w:rFonts w:ascii="Times New Roman" w:hAnsi="Times New Roman" w:cs="Times New Roman"/>
                <w:lang w:eastAsia="en-US"/>
              </w:rPr>
              <w:t>собственного капитала</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139857</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200272</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292221</w:t>
            </w:r>
          </w:p>
        </w:tc>
        <w:tc>
          <w:tcPr>
            <w:tcW w:w="1324"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152364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91949</w:t>
            </w:r>
          </w:p>
        </w:tc>
      </w:tr>
      <w:tr w:rsidR="008B5BAE" w:rsidTr="008C7671">
        <w:trPr>
          <w:trHeight w:hRule="exact" w:val="290"/>
          <w:jc w:val="center"/>
        </w:trPr>
        <w:tc>
          <w:tcPr>
            <w:tcW w:w="3784" w:type="dxa"/>
            <w:tcBorders>
              <w:top w:val="single" w:sz="6" w:space="0" w:color="auto"/>
              <w:left w:val="single" w:sz="6" w:space="0" w:color="auto"/>
              <w:bottom w:val="single" w:sz="6" w:space="0" w:color="auto"/>
              <w:right w:val="single" w:sz="4" w:space="0" w:color="auto"/>
            </w:tcBorders>
            <w:shd w:val="clear" w:color="auto" w:fill="FFFFFF"/>
            <w:vAlign w:val="center"/>
          </w:tcPr>
          <w:p w:rsidR="008B5BAE" w:rsidRPr="00CD10B1" w:rsidRDefault="008B5BAE" w:rsidP="00CD10B1">
            <w:pPr>
              <w:tabs>
                <w:tab w:val="left" w:pos="-551"/>
              </w:tabs>
              <w:spacing w:after="0" w:line="240" w:lineRule="auto"/>
              <w:ind w:left="158"/>
              <w:jc w:val="both"/>
              <w:rPr>
                <w:rFonts w:ascii="Times New Roman" w:hAnsi="Times New Roman" w:cs="Times New Roman"/>
                <w:lang w:eastAsia="en-US"/>
              </w:rPr>
            </w:pPr>
            <w:r w:rsidRPr="00CD10B1">
              <w:rPr>
                <w:rFonts w:ascii="Times New Roman" w:hAnsi="Times New Roman" w:cs="Times New Roman"/>
                <w:lang w:eastAsia="en-US"/>
              </w:rPr>
              <w:t>заёмного капитала</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852740</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926868</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1164400</w:t>
            </w:r>
          </w:p>
        </w:tc>
        <w:tc>
          <w:tcPr>
            <w:tcW w:w="1324"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311660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237532</w:t>
            </w:r>
          </w:p>
        </w:tc>
      </w:tr>
      <w:tr w:rsidR="008B5BAE" w:rsidTr="008C7671">
        <w:trPr>
          <w:trHeight w:hRule="exact" w:val="278"/>
          <w:jc w:val="center"/>
        </w:trPr>
        <w:tc>
          <w:tcPr>
            <w:tcW w:w="3784" w:type="dxa"/>
            <w:tcBorders>
              <w:top w:val="single" w:sz="6" w:space="0" w:color="auto"/>
              <w:left w:val="single" w:sz="6" w:space="0" w:color="auto"/>
              <w:bottom w:val="single" w:sz="6" w:space="0" w:color="auto"/>
              <w:right w:val="single" w:sz="4" w:space="0" w:color="auto"/>
            </w:tcBorders>
            <w:shd w:val="clear" w:color="auto" w:fill="FFFFFF"/>
            <w:vAlign w:val="center"/>
          </w:tcPr>
          <w:p w:rsidR="008B5BAE" w:rsidRPr="00CD10B1" w:rsidRDefault="008B5BAE" w:rsidP="00CD10B1">
            <w:pPr>
              <w:tabs>
                <w:tab w:val="left" w:pos="-551"/>
              </w:tabs>
              <w:spacing w:after="0" w:line="240" w:lineRule="auto"/>
              <w:ind w:left="158"/>
              <w:jc w:val="both"/>
              <w:rPr>
                <w:rFonts w:ascii="Times New Roman" w:hAnsi="Times New Roman" w:cs="Times New Roman"/>
                <w:lang w:eastAsia="en-US"/>
              </w:rPr>
            </w:pPr>
            <w:r w:rsidRPr="00CD10B1">
              <w:rPr>
                <w:rFonts w:ascii="Times New Roman" w:hAnsi="Times New Roman" w:cs="Times New Roman"/>
                <w:lang w:eastAsia="en-US"/>
              </w:rPr>
              <w:t>запасов</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336855</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333626</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396394</w:t>
            </w:r>
          </w:p>
        </w:tc>
        <w:tc>
          <w:tcPr>
            <w:tcW w:w="1324"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59539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62768</w:t>
            </w:r>
          </w:p>
        </w:tc>
      </w:tr>
      <w:tr w:rsidR="008B5BAE" w:rsidTr="008C7671">
        <w:trPr>
          <w:trHeight w:hRule="exact" w:val="342"/>
          <w:jc w:val="center"/>
        </w:trPr>
        <w:tc>
          <w:tcPr>
            <w:tcW w:w="3784" w:type="dxa"/>
            <w:tcBorders>
              <w:top w:val="single" w:sz="6" w:space="0" w:color="auto"/>
              <w:left w:val="single" w:sz="6" w:space="0" w:color="auto"/>
              <w:bottom w:val="single" w:sz="6" w:space="0" w:color="auto"/>
              <w:right w:val="single" w:sz="4" w:space="0" w:color="auto"/>
            </w:tcBorders>
            <w:shd w:val="clear" w:color="auto" w:fill="FFFFFF"/>
            <w:vAlign w:val="center"/>
          </w:tcPr>
          <w:p w:rsidR="008B5BAE" w:rsidRPr="00CD10B1" w:rsidRDefault="008B5BAE" w:rsidP="00CD10B1">
            <w:pPr>
              <w:tabs>
                <w:tab w:val="left" w:pos="-551"/>
              </w:tabs>
              <w:spacing w:after="0" w:line="240" w:lineRule="auto"/>
              <w:ind w:left="158"/>
              <w:jc w:val="both"/>
              <w:rPr>
                <w:rFonts w:ascii="Times New Roman" w:hAnsi="Times New Roman" w:cs="Times New Roman"/>
                <w:lang w:eastAsia="en-US"/>
              </w:rPr>
            </w:pPr>
            <w:r w:rsidRPr="00CD10B1">
              <w:rPr>
                <w:rFonts w:ascii="Times New Roman" w:hAnsi="Times New Roman" w:cs="Times New Roman"/>
                <w:lang w:eastAsia="en-US"/>
              </w:rPr>
              <w:t>оборотных активов</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783065</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896634</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1163318</w:t>
            </w:r>
          </w:p>
        </w:tc>
        <w:tc>
          <w:tcPr>
            <w:tcW w:w="1324"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380253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266684</w:t>
            </w:r>
          </w:p>
        </w:tc>
      </w:tr>
      <w:tr w:rsidR="008B5BAE" w:rsidTr="008C7671">
        <w:trPr>
          <w:trHeight w:hRule="exact" w:val="295"/>
          <w:jc w:val="center"/>
        </w:trPr>
        <w:tc>
          <w:tcPr>
            <w:tcW w:w="3784" w:type="dxa"/>
            <w:tcBorders>
              <w:top w:val="single" w:sz="6" w:space="0" w:color="auto"/>
              <w:left w:val="single" w:sz="6" w:space="0" w:color="auto"/>
              <w:bottom w:val="single" w:sz="6" w:space="0" w:color="auto"/>
              <w:right w:val="single" w:sz="4" w:space="0" w:color="auto"/>
            </w:tcBorders>
            <w:shd w:val="clear" w:color="auto" w:fill="FFFFFF"/>
            <w:vAlign w:val="center"/>
          </w:tcPr>
          <w:p w:rsidR="008B5BAE" w:rsidRPr="00CD10B1" w:rsidRDefault="008B5BAE" w:rsidP="00CD10B1">
            <w:pPr>
              <w:tabs>
                <w:tab w:val="left" w:pos="-551"/>
              </w:tabs>
              <w:spacing w:after="0" w:line="240" w:lineRule="auto"/>
              <w:ind w:left="158"/>
              <w:jc w:val="both"/>
              <w:rPr>
                <w:rFonts w:ascii="Times New Roman" w:hAnsi="Times New Roman" w:cs="Times New Roman"/>
                <w:lang w:eastAsia="en-US"/>
              </w:rPr>
            </w:pPr>
            <w:r w:rsidRPr="00CD10B1">
              <w:rPr>
                <w:rFonts w:ascii="Times New Roman" w:hAnsi="Times New Roman" w:cs="Times New Roman"/>
                <w:lang w:eastAsia="en-US"/>
              </w:rPr>
              <w:t>дебиторской задолженности</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435365</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554534</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666892</w:t>
            </w:r>
          </w:p>
        </w:tc>
        <w:tc>
          <w:tcPr>
            <w:tcW w:w="1324"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231527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112358</w:t>
            </w:r>
          </w:p>
        </w:tc>
      </w:tr>
      <w:tr w:rsidR="008B5BAE" w:rsidTr="008C7671">
        <w:trPr>
          <w:trHeight w:hRule="exact" w:val="295"/>
          <w:jc w:val="center"/>
        </w:trPr>
        <w:tc>
          <w:tcPr>
            <w:tcW w:w="3784" w:type="dxa"/>
            <w:tcBorders>
              <w:top w:val="single" w:sz="6" w:space="0" w:color="auto"/>
              <w:left w:val="single" w:sz="6" w:space="0" w:color="auto"/>
              <w:bottom w:val="single" w:sz="6" w:space="0" w:color="auto"/>
              <w:right w:val="single" w:sz="4" w:space="0" w:color="auto"/>
            </w:tcBorders>
            <w:shd w:val="clear" w:color="auto" w:fill="FFFFFF"/>
            <w:vAlign w:val="center"/>
          </w:tcPr>
          <w:p w:rsidR="008B5BAE" w:rsidRPr="00CD10B1" w:rsidRDefault="008B5BAE" w:rsidP="00CD10B1">
            <w:pPr>
              <w:tabs>
                <w:tab w:val="left" w:pos="-551"/>
              </w:tabs>
              <w:spacing w:after="0" w:line="240" w:lineRule="auto"/>
              <w:ind w:left="158"/>
              <w:jc w:val="both"/>
              <w:rPr>
                <w:rFonts w:ascii="Times New Roman" w:hAnsi="Times New Roman" w:cs="Times New Roman"/>
                <w:lang w:eastAsia="en-US"/>
              </w:rPr>
            </w:pPr>
            <w:r w:rsidRPr="00CD10B1">
              <w:rPr>
                <w:rFonts w:ascii="Times New Roman" w:hAnsi="Times New Roman" w:cs="Times New Roman"/>
                <w:lang w:eastAsia="en-US"/>
              </w:rPr>
              <w:t>кредиторской задолженности</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373018</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489835</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593087</w:t>
            </w:r>
          </w:p>
        </w:tc>
        <w:tc>
          <w:tcPr>
            <w:tcW w:w="1324"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220069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103252</w:t>
            </w:r>
          </w:p>
        </w:tc>
      </w:tr>
      <w:tr w:rsidR="008B5BAE" w:rsidTr="006F0992">
        <w:trPr>
          <w:trHeight w:hRule="exact" w:val="295"/>
          <w:jc w:val="center"/>
        </w:trPr>
        <w:tc>
          <w:tcPr>
            <w:tcW w:w="9312" w:type="dxa"/>
            <w:gridSpan w:val="6"/>
            <w:tcBorders>
              <w:top w:val="single" w:sz="6" w:space="0" w:color="auto"/>
              <w:left w:val="single" w:sz="6" w:space="0" w:color="auto"/>
              <w:bottom w:val="single" w:sz="6" w:space="0" w:color="auto"/>
              <w:right w:val="single" w:sz="4" w:space="0" w:color="auto"/>
            </w:tcBorders>
            <w:shd w:val="clear" w:color="auto" w:fill="FFFFFF"/>
            <w:vAlign w:val="center"/>
          </w:tcPr>
          <w:p w:rsidR="008B5BAE" w:rsidRPr="00CD10B1" w:rsidRDefault="008B5BAE" w:rsidP="00CD10B1">
            <w:pPr>
              <w:spacing w:after="0" w:line="240" w:lineRule="auto"/>
              <w:rPr>
                <w:lang w:eastAsia="en-US"/>
              </w:rPr>
            </w:pPr>
            <w:r w:rsidRPr="00CD10B1">
              <w:rPr>
                <w:rFonts w:ascii="Times New Roman" w:hAnsi="Times New Roman" w:cs="Times New Roman"/>
                <w:lang w:eastAsia="en-US"/>
              </w:rPr>
              <w:t>Коэффициент оборачиваемости:</w:t>
            </w:r>
          </w:p>
        </w:tc>
      </w:tr>
      <w:tr w:rsidR="008B5BAE" w:rsidTr="008C7671">
        <w:trPr>
          <w:trHeight w:hRule="exact" w:val="295"/>
          <w:jc w:val="center"/>
        </w:trPr>
        <w:tc>
          <w:tcPr>
            <w:tcW w:w="3784" w:type="dxa"/>
            <w:tcBorders>
              <w:top w:val="single" w:sz="6" w:space="0" w:color="auto"/>
              <w:left w:val="single" w:sz="6" w:space="0" w:color="auto"/>
              <w:bottom w:val="single" w:sz="6" w:space="0" w:color="auto"/>
              <w:right w:val="single" w:sz="4" w:space="0" w:color="auto"/>
            </w:tcBorders>
            <w:shd w:val="clear" w:color="auto" w:fill="FFFFFF"/>
            <w:vAlign w:val="center"/>
          </w:tcPr>
          <w:p w:rsidR="008B5BAE" w:rsidRPr="00CD10B1" w:rsidRDefault="008B5BAE" w:rsidP="00CD10B1">
            <w:pPr>
              <w:tabs>
                <w:tab w:val="left" w:pos="-551"/>
              </w:tabs>
              <w:spacing w:after="0" w:line="240" w:lineRule="auto"/>
              <w:ind w:left="158"/>
              <w:jc w:val="both"/>
              <w:rPr>
                <w:rFonts w:ascii="Times New Roman" w:hAnsi="Times New Roman" w:cs="Times New Roman"/>
                <w:lang w:eastAsia="en-US"/>
              </w:rPr>
            </w:pPr>
            <w:r w:rsidRPr="00CD10B1">
              <w:rPr>
                <w:rFonts w:ascii="Times New Roman" w:hAnsi="Times New Roman" w:cs="Times New Roman"/>
                <w:lang w:eastAsia="en-US"/>
              </w:rPr>
              <w:t>всего капитала</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1,577</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1,506</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1,445</w:t>
            </w:r>
          </w:p>
        </w:tc>
        <w:tc>
          <w:tcPr>
            <w:tcW w:w="1324"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–0,132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–0,061</w:t>
            </w:r>
          </w:p>
        </w:tc>
      </w:tr>
      <w:tr w:rsidR="008B5BAE" w:rsidTr="008C7671">
        <w:trPr>
          <w:trHeight w:hRule="exact" w:val="350"/>
          <w:jc w:val="center"/>
        </w:trPr>
        <w:tc>
          <w:tcPr>
            <w:tcW w:w="3784" w:type="dxa"/>
            <w:tcBorders>
              <w:top w:val="single" w:sz="6" w:space="0" w:color="auto"/>
              <w:left w:val="single" w:sz="6" w:space="0" w:color="auto"/>
              <w:bottom w:val="single" w:sz="6" w:space="0" w:color="auto"/>
              <w:right w:val="single" w:sz="4" w:space="0" w:color="auto"/>
            </w:tcBorders>
            <w:shd w:val="clear" w:color="auto" w:fill="FFFFFF"/>
            <w:vAlign w:val="center"/>
          </w:tcPr>
          <w:p w:rsidR="008B5BAE" w:rsidRPr="00CD10B1" w:rsidRDefault="008B5BAE" w:rsidP="00CD10B1">
            <w:pPr>
              <w:tabs>
                <w:tab w:val="left" w:pos="-551"/>
              </w:tabs>
              <w:spacing w:after="0" w:line="240" w:lineRule="auto"/>
              <w:ind w:left="158"/>
              <w:jc w:val="both"/>
              <w:rPr>
                <w:rFonts w:ascii="Times New Roman" w:hAnsi="Times New Roman" w:cs="Times New Roman"/>
                <w:lang w:eastAsia="en-US"/>
              </w:rPr>
            </w:pPr>
            <w:r w:rsidRPr="00CD10B1">
              <w:rPr>
                <w:rFonts w:ascii="Times New Roman" w:hAnsi="Times New Roman" w:cs="Times New Roman"/>
                <w:lang w:eastAsia="en-US"/>
              </w:rPr>
              <w:t>собственного капитала</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11,191</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8,474</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7,205</w:t>
            </w:r>
          </w:p>
        </w:tc>
        <w:tc>
          <w:tcPr>
            <w:tcW w:w="1324"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–3,986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–1,269</w:t>
            </w:r>
          </w:p>
        </w:tc>
      </w:tr>
      <w:tr w:rsidR="008B5BAE" w:rsidTr="008C7671">
        <w:trPr>
          <w:trHeight w:hRule="exact" w:val="293"/>
          <w:jc w:val="center"/>
        </w:trPr>
        <w:tc>
          <w:tcPr>
            <w:tcW w:w="3784" w:type="dxa"/>
            <w:tcBorders>
              <w:top w:val="single" w:sz="6" w:space="0" w:color="auto"/>
              <w:left w:val="single" w:sz="6" w:space="0" w:color="auto"/>
              <w:bottom w:val="single" w:sz="6" w:space="0" w:color="auto"/>
              <w:right w:val="single" w:sz="4" w:space="0" w:color="auto"/>
            </w:tcBorders>
            <w:shd w:val="clear" w:color="auto" w:fill="FFFFFF"/>
            <w:vAlign w:val="center"/>
          </w:tcPr>
          <w:p w:rsidR="008B5BAE" w:rsidRPr="00CD10B1" w:rsidRDefault="008B5BAE" w:rsidP="00CD10B1">
            <w:pPr>
              <w:tabs>
                <w:tab w:val="left" w:pos="-551"/>
              </w:tabs>
              <w:spacing w:after="0" w:line="240" w:lineRule="auto"/>
              <w:ind w:left="158"/>
              <w:jc w:val="both"/>
              <w:rPr>
                <w:rFonts w:ascii="Times New Roman" w:hAnsi="Times New Roman" w:cs="Times New Roman"/>
                <w:lang w:eastAsia="en-US"/>
              </w:rPr>
            </w:pPr>
            <w:r w:rsidRPr="00CD10B1">
              <w:rPr>
                <w:rFonts w:ascii="Times New Roman" w:hAnsi="Times New Roman" w:cs="Times New Roman"/>
                <w:lang w:eastAsia="en-US"/>
              </w:rPr>
              <w:t>заёмного капитала</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1,835</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1,831</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1,808</w:t>
            </w:r>
          </w:p>
        </w:tc>
        <w:tc>
          <w:tcPr>
            <w:tcW w:w="1324"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–0,027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–0,023</w:t>
            </w:r>
          </w:p>
        </w:tc>
      </w:tr>
      <w:tr w:rsidR="008B5BAE" w:rsidTr="008C7671">
        <w:trPr>
          <w:trHeight w:hRule="exact" w:val="293"/>
          <w:jc w:val="center"/>
        </w:trPr>
        <w:tc>
          <w:tcPr>
            <w:tcW w:w="3784" w:type="dxa"/>
            <w:tcBorders>
              <w:top w:val="single" w:sz="6" w:space="0" w:color="auto"/>
              <w:left w:val="single" w:sz="6" w:space="0" w:color="auto"/>
              <w:bottom w:val="single" w:sz="6" w:space="0" w:color="auto"/>
              <w:right w:val="single" w:sz="4" w:space="0" w:color="auto"/>
            </w:tcBorders>
            <w:shd w:val="clear" w:color="auto" w:fill="FFFFFF"/>
            <w:vAlign w:val="center"/>
          </w:tcPr>
          <w:p w:rsidR="008B5BAE" w:rsidRPr="00CD10B1" w:rsidRDefault="008B5BAE" w:rsidP="00CD10B1">
            <w:pPr>
              <w:tabs>
                <w:tab w:val="left" w:pos="-551"/>
              </w:tabs>
              <w:spacing w:after="0" w:line="240" w:lineRule="auto"/>
              <w:ind w:left="158"/>
              <w:jc w:val="both"/>
              <w:rPr>
                <w:rFonts w:ascii="Times New Roman" w:hAnsi="Times New Roman" w:cs="Times New Roman"/>
                <w:lang w:eastAsia="en-US"/>
              </w:rPr>
            </w:pPr>
            <w:r w:rsidRPr="00CD10B1">
              <w:rPr>
                <w:rFonts w:ascii="Times New Roman" w:hAnsi="Times New Roman" w:cs="Times New Roman"/>
                <w:lang w:eastAsia="en-US"/>
              </w:rPr>
              <w:t>запасов</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4,646</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5,087</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5,311</w:t>
            </w:r>
          </w:p>
        </w:tc>
        <w:tc>
          <w:tcPr>
            <w:tcW w:w="1324"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0,665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0,224</w:t>
            </w:r>
          </w:p>
        </w:tc>
      </w:tr>
      <w:tr w:rsidR="008B5BAE" w:rsidTr="008C7671">
        <w:trPr>
          <w:trHeight w:hRule="exact" w:val="269"/>
          <w:jc w:val="center"/>
        </w:trPr>
        <w:tc>
          <w:tcPr>
            <w:tcW w:w="3784" w:type="dxa"/>
            <w:tcBorders>
              <w:top w:val="single" w:sz="6" w:space="0" w:color="auto"/>
              <w:left w:val="single" w:sz="6" w:space="0" w:color="auto"/>
              <w:bottom w:val="single" w:sz="6" w:space="0" w:color="auto"/>
              <w:right w:val="single" w:sz="4" w:space="0" w:color="auto"/>
            </w:tcBorders>
            <w:shd w:val="clear" w:color="auto" w:fill="FFFFFF"/>
            <w:vAlign w:val="center"/>
          </w:tcPr>
          <w:p w:rsidR="008B5BAE" w:rsidRPr="00CD10B1" w:rsidRDefault="008B5BAE" w:rsidP="00CD10B1">
            <w:pPr>
              <w:tabs>
                <w:tab w:val="left" w:pos="-551"/>
              </w:tabs>
              <w:spacing w:after="0" w:line="240" w:lineRule="auto"/>
              <w:ind w:left="158"/>
              <w:jc w:val="both"/>
              <w:rPr>
                <w:rFonts w:ascii="Times New Roman" w:hAnsi="Times New Roman" w:cs="Times New Roman"/>
                <w:lang w:eastAsia="en-US"/>
              </w:rPr>
            </w:pPr>
            <w:r w:rsidRPr="00CD10B1">
              <w:rPr>
                <w:rFonts w:ascii="Times New Roman" w:hAnsi="Times New Roman" w:cs="Times New Roman"/>
                <w:lang w:eastAsia="en-US"/>
              </w:rPr>
              <w:t>оборотных активов</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2,000</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1,893</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1,810</w:t>
            </w:r>
          </w:p>
        </w:tc>
        <w:tc>
          <w:tcPr>
            <w:tcW w:w="1324"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–0,190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–0,083</w:t>
            </w:r>
          </w:p>
        </w:tc>
      </w:tr>
      <w:tr w:rsidR="008B5BAE" w:rsidTr="008C7671">
        <w:trPr>
          <w:trHeight w:hRule="exact" w:val="286"/>
          <w:jc w:val="center"/>
        </w:trPr>
        <w:tc>
          <w:tcPr>
            <w:tcW w:w="3784" w:type="dxa"/>
            <w:tcBorders>
              <w:top w:val="single" w:sz="6" w:space="0" w:color="auto"/>
              <w:left w:val="single" w:sz="6" w:space="0" w:color="auto"/>
              <w:bottom w:val="single" w:sz="6" w:space="0" w:color="auto"/>
              <w:right w:val="single" w:sz="4" w:space="0" w:color="auto"/>
            </w:tcBorders>
            <w:shd w:val="clear" w:color="auto" w:fill="FFFFFF"/>
            <w:vAlign w:val="center"/>
          </w:tcPr>
          <w:p w:rsidR="008B5BAE" w:rsidRPr="00CD10B1" w:rsidRDefault="008B5BAE" w:rsidP="00CD10B1">
            <w:pPr>
              <w:tabs>
                <w:tab w:val="left" w:pos="-551"/>
              </w:tabs>
              <w:spacing w:after="0" w:line="240" w:lineRule="auto"/>
              <w:ind w:left="158"/>
              <w:jc w:val="both"/>
              <w:rPr>
                <w:rFonts w:ascii="Times New Roman" w:hAnsi="Times New Roman" w:cs="Times New Roman"/>
                <w:lang w:eastAsia="en-US"/>
              </w:rPr>
            </w:pPr>
            <w:r w:rsidRPr="00CD10B1">
              <w:rPr>
                <w:rFonts w:ascii="Times New Roman" w:hAnsi="Times New Roman" w:cs="Times New Roman"/>
                <w:lang w:eastAsia="en-US"/>
              </w:rPr>
              <w:t>дебиторской задолженности</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3,595</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3,060</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3,157</w:t>
            </w:r>
          </w:p>
        </w:tc>
        <w:tc>
          <w:tcPr>
            <w:tcW w:w="1324"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–0,438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0,097</w:t>
            </w:r>
          </w:p>
        </w:tc>
      </w:tr>
      <w:tr w:rsidR="008B5BAE" w:rsidTr="008C7671">
        <w:trPr>
          <w:trHeight w:hRule="exact" w:val="277"/>
          <w:jc w:val="center"/>
        </w:trPr>
        <w:tc>
          <w:tcPr>
            <w:tcW w:w="3784" w:type="dxa"/>
            <w:tcBorders>
              <w:top w:val="single" w:sz="6" w:space="0" w:color="auto"/>
              <w:left w:val="single" w:sz="6" w:space="0" w:color="auto"/>
              <w:bottom w:val="single" w:sz="6" w:space="0" w:color="auto"/>
              <w:right w:val="single" w:sz="4" w:space="0" w:color="auto"/>
            </w:tcBorders>
            <w:shd w:val="clear" w:color="auto" w:fill="FFFFFF"/>
            <w:vAlign w:val="center"/>
          </w:tcPr>
          <w:p w:rsidR="008B5BAE" w:rsidRPr="00CD10B1" w:rsidRDefault="008B5BAE" w:rsidP="00CD10B1">
            <w:pPr>
              <w:tabs>
                <w:tab w:val="left" w:pos="-551"/>
              </w:tabs>
              <w:spacing w:after="0" w:line="240" w:lineRule="auto"/>
              <w:ind w:left="158"/>
              <w:jc w:val="both"/>
              <w:rPr>
                <w:rFonts w:ascii="Times New Roman" w:hAnsi="Times New Roman" w:cs="Times New Roman"/>
                <w:lang w:eastAsia="en-US"/>
              </w:rPr>
            </w:pPr>
            <w:r w:rsidRPr="00CD10B1">
              <w:rPr>
                <w:rFonts w:ascii="Times New Roman" w:hAnsi="Times New Roman" w:cs="Times New Roman"/>
                <w:lang w:eastAsia="en-US"/>
              </w:rPr>
              <w:t>кредиторской задолженности</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4,196</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3,465</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3,550</w:t>
            </w:r>
          </w:p>
        </w:tc>
        <w:tc>
          <w:tcPr>
            <w:tcW w:w="1324"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–0,646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0,085</w:t>
            </w:r>
          </w:p>
        </w:tc>
      </w:tr>
      <w:tr w:rsidR="008B5BAE" w:rsidTr="008C7671">
        <w:trPr>
          <w:trHeight w:hRule="exact" w:val="330"/>
          <w:jc w:val="center"/>
        </w:trPr>
        <w:tc>
          <w:tcPr>
            <w:tcW w:w="9312" w:type="dxa"/>
            <w:gridSpan w:val="6"/>
            <w:tcBorders>
              <w:top w:val="single" w:sz="6" w:space="0" w:color="auto"/>
              <w:left w:val="single" w:sz="6" w:space="0" w:color="auto"/>
              <w:bottom w:val="single" w:sz="6" w:space="0" w:color="auto"/>
              <w:right w:val="single" w:sz="4" w:space="0" w:color="auto"/>
            </w:tcBorders>
            <w:shd w:val="clear" w:color="auto" w:fill="FFFFFF"/>
            <w:vAlign w:val="center"/>
          </w:tcPr>
          <w:p w:rsidR="008B5BAE" w:rsidRPr="00CD10B1" w:rsidRDefault="008B5BAE" w:rsidP="00CD10B1">
            <w:pPr>
              <w:spacing w:after="0" w:line="240" w:lineRule="auto"/>
              <w:rPr>
                <w:lang w:eastAsia="en-US"/>
              </w:rPr>
            </w:pPr>
            <w:r w:rsidRPr="00CD10B1">
              <w:rPr>
                <w:rFonts w:ascii="Times New Roman" w:hAnsi="Times New Roman" w:cs="Times New Roman"/>
                <w:lang w:eastAsia="en-US"/>
              </w:rPr>
              <w:t>Продолжительность одного оборота, дней</w:t>
            </w:r>
          </w:p>
        </w:tc>
      </w:tr>
      <w:tr w:rsidR="008B5BAE" w:rsidTr="008C7671">
        <w:trPr>
          <w:trHeight w:hRule="exact" w:val="274"/>
          <w:jc w:val="center"/>
        </w:trPr>
        <w:tc>
          <w:tcPr>
            <w:tcW w:w="3784" w:type="dxa"/>
            <w:tcBorders>
              <w:top w:val="single" w:sz="6" w:space="0" w:color="auto"/>
              <w:left w:val="single" w:sz="6" w:space="0" w:color="auto"/>
              <w:bottom w:val="single" w:sz="6" w:space="0" w:color="auto"/>
              <w:right w:val="single" w:sz="4" w:space="0" w:color="auto"/>
            </w:tcBorders>
            <w:shd w:val="clear" w:color="auto" w:fill="FFFFFF"/>
            <w:vAlign w:val="center"/>
          </w:tcPr>
          <w:p w:rsidR="008B5BAE" w:rsidRPr="00CD10B1" w:rsidRDefault="008B5BAE" w:rsidP="00CD10B1">
            <w:pPr>
              <w:tabs>
                <w:tab w:val="left" w:pos="-551"/>
              </w:tabs>
              <w:spacing w:after="0" w:line="240" w:lineRule="auto"/>
              <w:ind w:left="158"/>
              <w:jc w:val="both"/>
              <w:rPr>
                <w:rFonts w:ascii="Times New Roman" w:hAnsi="Times New Roman" w:cs="Times New Roman"/>
                <w:lang w:eastAsia="en-US"/>
              </w:rPr>
            </w:pPr>
            <w:r w:rsidRPr="00CD10B1">
              <w:rPr>
                <w:rFonts w:ascii="Times New Roman" w:hAnsi="Times New Roman" w:cs="Times New Roman"/>
                <w:lang w:eastAsia="en-US"/>
              </w:rPr>
              <w:t>всего капитала</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232</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242</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253</w:t>
            </w:r>
          </w:p>
        </w:tc>
        <w:tc>
          <w:tcPr>
            <w:tcW w:w="1324"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21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11</w:t>
            </w:r>
          </w:p>
        </w:tc>
      </w:tr>
      <w:tr w:rsidR="008B5BAE" w:rsidTr="008C7671">
        <w:trPr>
          <w:trHeight w:hRule="exact" w:val="293"/>
          <w:jc w:val="center"/>
        </w:trPr>
        <w:tc>
          <w:tcPr>
            <w:tcW w:w="3784" w:type="dxa"/>
            <w:tcBorders>
              <w:top w:val="single" w:sz="6" w:space="0" w:color="auto"/>
              <w:left w:val="single" w:sz="6" w:space="0" w:color="auto"/>
              <w:bottom w:val="single" w:sz="6" w:space="0" w:color="auto"/>
              <w:right w:val="single" w:sz="4" w:space="0" w:color="auto"/>
            </w:tcBorders>
            <w:shd w:val="clear" w:color="auto" w:fill="FFFFFF"/>
            <w:vAlign w:val="center"/>
          </w:tcPr>
          <w:p w:rsidR="008B5BAE" w:rsidRPr="00CD10B1" w:rsidRDefault="008B5BAE" w:rsidP="00CD10B1">
            <w:pPr>
              <w:tabs>
                <w:tab w:val="left" w:pos="-551"/>
              </w:tabs>
              <w:spacing w:after="0" w:line="240" w:lineRule="auto"/>
              <w:ind w:left="158"/>
              <w:jc w:val="both"/>
              <w:rPr>
                <w:rFonts w:ascii="Times New Roman" w:hAnsi="Times New Roman" w:cs="Times New Roman"/>
                <w:lang w:eastAsia="en-US"/>
              </w:rPr>
            </w:pPr>
            <w:r w:rsidRPr="00CD10B1">
              <w:rPr>
                <w:rFonts w:ascii="Times New Roman" w:hAnsi="Times New Roman" w:cs="Times New Roman"/>
                <w:lang w:eastAsia="en-US"/>
              </w:rPr>
              <w:t>собственного капитала</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33</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43</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51</w:t>
            </w:r>
          </w:p>
        </w:tc>
        <w:tc>
          <w:tcPr>
            <w:tcW w:w="1324"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8</w:t>
            </w:r>
          </w:p>
        </w:tc>
      </w:tr>
      <w:tr w:rsidR="008B5BAE" w:rsidTr="008C7671">
        <w:trPr>
          <w:trHeight w:hRule="exact" w:val="268"/>
          <w:jc w:val="center"/>
        </w:trPr>
        <w:tc>
          <w:tcPr>
            <w:tcW w:w="3784" w:type="dxa"/>
            <w:tcBorders>
              <w:top w:val="single" w:sz="6" w:space="0" w:color="auto"/>
              <w:left w:val="single" w:sz="6" w:space="0" w:color="auto"/>
              <w:bottom w:val="single" w:sz="6" w:space="0" w:color="auto"/>
              <w:right w:val="single" w:sz="4" w:space="0" w:color="auto"/>
            </w:tcBorders>
            <w:shd w:val="clear" w:color="auto" w:fill="FFFFFF"/>
            <w:vAlign w:val="center"/>
          </w:tcPr>
          <w:p w:rsidR="008B5BAE" w:rsidRPr="00CD10B1" w:rsidRDefault="008B5BAE" w:rsidP="00CD10B1">
            <w:pPr>
              <w:tabs>
                <w:tab w:val="left" w:pos="-551"/>
              </w:tabs>
              <w:spacing w:after="0" w:line="240" w:lineRule="auto"/>
              <w:ind w:left="158"/>
              <w:jc w:val="both"/>
              <w:rPr>
                <w:rFonts w:ascii="Times New Roman" w:hAnsi="Times New Roman" w:cs="Times New Roman"/>
                <w:lang w:eastAsia="en-US"/>
              </w:rPr>
            </w:pPr>
            <w:r w:rsidRPr="00CD10B1">
              <w:rPr>
                <w:rFonts w:ascii="Times New Roman" w:hAnsi="Times New Roman" w:cs="Times New Roman"/>
                <w:lang w:eastAsia="en-US"/>
              </w:rPr>
              <w:t>заёмного капитала</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199</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199</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202</w:t>
            </w:r>
          </w:p>
        </w:tc>
        <w:tc>
          <w:tcPr>
            <w:tcW w:w="1324"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3</w:t>
            </w:r>
          </w:p>
        </w:tc>
      </w:tr>
      <w:tr w:rsidR="008B5BAE" w:rsidTr="008C7671">
        <w:trPr>
          <w:trHeight w:hRule="exact" w:val="268"/>
          <w:jc w:val="center"/>
        </w:trPr>
        <w:tc>
          <w:tcPr>
            <w:tcW w:w="3784" w:type="dxa"/>
            <w:tcBorders>
              <w:top w:val="single" w:sz="6" w:space="0" w:color="auto"/>
              <w:left w:val="single" w:sz="6" w:space="0" w:color="auto"/>
              <w:bottom w:val="single" w:sz="6" w:space="0" w:color="auto"/>
              <w:right w:val="single" w:sz="4" w:space="0" w:color="auto"/>
            </w:tcBorders>
            <w:shd w:val="clear" w:color="auto" w:fill="FFFFFF"/>
            <w:vAlign w:val="center"/>
          </w:tcPr>
          <w:p w:rsidR="008B5BAE" w:rsidRPr="00CD10B1" w:rsidRDefault="008B5BAE" w:rsidP="00CD10B1">
            <w:pPr>
              <w:tabs>
                <w:tab w:val="left" w:pos="-551"/>
              </w:tabs>
              <w:spacing w:after="0" w:line="240" w:lineRule="auto"/>
              <w:ind w:left="158"/>
              <w:jc w:val="both"/>
              <w:rPr>
                <w:rFonts w:ascii="Times New Roman" w:hAnsi="Times New Roman" w:cs="Times New Roman"/>
                <w:lang w:eastAsia="en-US"/>
              </w:rPr>
            </w:pPr>
            <w:r w:rsidRPr="00CD10B1">
              <w:rPr>
                <w:rFonts w:ascii="Times New Roman" w:hAnsi="Times New Roman" w:cs="Times New Roman"/>
                <w:lang w:eastAsia="en-US"/>
              </w:rPr>
              <w:t>запасов</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79</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72</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69</w:t>
            </w:r>
          </w:p>
        </w:tc>
        <w:tc>
          <w:tcPr>
            <w:tcW w:w="1324"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–3</w:t>
            </w:r>
          </w:p>
        </w:tc>
      </w:tr>
      <w:tr w:rsidR="008B5BAE" w:rsidTr="008C7671">
        <w:trPr>
          <w:trHeight w:hRule="exact" w:val="298"/>
          <w:jc w:val="center"/>
        </w:trPr>
        <w:tc>
          <w:tcPr>
            <w:tcW w:w="3784" w:type="dxa"/>
            <w:tcBorders>
              <w:top w:val="single" w:sz="6" w:space="0" w:color="auto"/>
              <w:left w:val="single" w:sz="6" w:space="0" w:color="auto"/>
              <w:bottom w:val="single" w:sz="6" w:space="0" w:color="auto"/>
              <w:right w:val="single" w:sz="4" w:space="0" w:color="auto"/>
            </w:tcBorders>
            <w:shd w:val="clear" w:color="auto" w:fill="FFFFFF"/>
            <w:vAlign w:val="center"/>
          </w:tcPr>
          <w:p w:rsidR="008B5BAE" w:rsidRPr="00CD10B1" w:rsidRDefault="008B5BAE" w:rsidP="00CD10B1">
            <w:pPr>
              <w:tabs>
                <w:tab w:val="left" w:pos="-551"/>
              </w:tabs>
              <w:spacing w:after="0" w:line="240" w:lineRule="auto"/>
              <w:ind w:left="158"/>
              <w:jc w:val="both"/>
              <w:rPr>
                <w:rFonts w:ascii="Times New Roman" w:hAnsi="Times New Roman" w:cs="Times New Roman"/>
                <w:lang w:eastAsia="en-US"/>
              </w:rPr>
            </w:pPr>
            <w:r w:rsidRPr="00CD10B1">
              <w:rPr>
                <w:rFonts w:ascii="Times New Roman" w:hAnsi="Times New Roman" w:cs="Times New Roman"/>
                <w:lang w:eastAsia="en-US"/>
              </w:rPr>
              <w:t>оборотных активов</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183</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193</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202</w:t>
            </w:r>
          </w:p>
        </w:tc>
        <w:tc>
          <w:tcPr>
            <w:tcW w:w="1324"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9</w:t>
            </w:r>
          </w:p>
        </w:tc>
      </w:tr>
      <w:tr w:rsidR="008B5BAE" w:rsidTr="008C7671">
        <w:trPr>
          <w:trHeight w:hRule="exact" w:val="284"/>
          <w:jc w:val="center"/>
        </w:trPr>
        <w:tc>
          <w:tcPr>
            <w:tcW w:w="3784" w:type="dxa"/>
            <w:tcBorders>
              <w:top w:val="single" w:sz="6" w:space="0" w:color="auto"/>
              <w:left w:val="single" w:sz="6" w:space="0" w:color="auto"/>
              <w:bottom w:val="single" w:sz="6" w:space="0" w:color="auto"/>
              <w:right w:val="single" w:sz="4" w:space="0" w:color="auto"/>
            </w:tcBorders>
            <w:shd w:val="clear" w:color="auto" w:fill="FFFFFF"/>
            <w:vAlign w:val="center"/>
          </w:tcPr>
          <w:p w:rsidR="008B5BAE" w:rsidRPr="00CD10B1" w:rsidRDefault="008B5BAE" w:rsidP="00CD10B1">
            <w:pPr>
              <w:tabs>
                <w:tab w:val="left" w:pos="-551"/>
              </w:tabs>
              <w:spacing w:after="0" w:line="240" w:lineRule="auto"/>
              <w:ind w:left="158"/>
              <w:jc w:val="both"/>
              <w:rPr>
                <w:rFonts w:ascii="Times New Roman" w:hAnsi="Times New Roman" w:cs="Times New Roman"/>
                <w:lang w:eastAsia="en-US"/>
              </w:rPr>
            </w:pPr>
            <w:r w:rsidRPr="00CD10B1">
              <w:rPr>
                <w:rFonts w:ascii="Times New Roman" w:hAnsi="Times New Roman" w:cs="Times New Roman"/>
                <w:lang w:eastAsia="en-US"/>
              </w:rPr>
              <w:t>дебиторской задолженности</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102</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119</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116</w:t>
            </w:r>
          </w:p>
        </w:tc>
        <w:tc>
          <w:tcPr>
            <w:tcW w:w="1324"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–3</w:t>
            </w:r>
          </w:p>
        </w:tc>
      </w:tr>
      <w:tr w:rsidR="008B5BAE" w:rsidTr="008C7671">
        <w:trPr>
          <w:trHeight w:hRule="exact" w:val="280"/>
          <w:jc w:val="center"/>
        </w:trPr>
        <w:tc>
          <w:tcPr>
            <w:tcW w:w="3784" w:type="dxa"/>
            <w:tcBorders>
              <w:top w:val="single" w:sz="6" w:space="0" w:color="auto"/>
              <w:left w:val="single" w:sz="6" w:space="0" w:color="auto"/>
              <w:bottom w:val="single" w:sz="6" w:space="0" w:color="auto"/>
              <w:right w:val="single" w:sz="4" w:space="0" w:color="auto"/>
            </w:tcBorders>
            <w:shd w:val="clear" w:color="auto" w:fill="FFFFFF"/>
            <w:vAlign w:val="center"/>
          </w:tcPr>
          <w:p w:rsidR="008B5BAE" w:rsidRPr="00CD10B1" w:rsidRDefault="008B5BAE" w:rsidP="00CD10B1">
            <w:pPr>
              <w:tabs>
                <w:tab w:val="left" w:pos="-551"/>
              </w:tabs>
              <w:spacing w:after="0" w:line="240" w:lineRule="auto"/>
              <w:ind w:left="158"/>
              <w:jc w:val="both"/>
              <w:rPr>
                <w:rFonts w:ascii="Times New Roman" w:hAnsi="Times New Roman" w:cs="Times New Roman"/>
                <w:lang w:eastAsia="en-US"/>
              </w:rPr>
            </w:pPr>
            <w:r w:rsidRPr="00CD10B1">
              <w:rPr>
                <w:rFonts w:ascii="Times New Roman" w:hAnsi="Times New Roman" w:cs="Times New Roman"/>
                <w:lang w:eastAsia="en-US"/>
              </w:rPr>
              <w:t>кредиторской задолженности</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87</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105</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103</w:t>
            </w:r>
          </w:p>
        </w:tc>
        <w:tc>
          <w:tcPr>
            <w:tcW w:w="1324"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–2</w:t>
            </w:r>
          </w:p>
        </w:tc>
      </w:tr>
      <w:tr w:rsidR="008B5BAE" w:rsidTr="008C7671">
        <w:trPr>
          <w:trHeight w:hRule="exact" w:val="509"/>
          <w:jc w:val="center"/>
        </w:trPr>
        <w:tc>
          <w:tcPr>
            <w:tcW w:w="3784" w:type="dxa"/>
            <w:tcBorders>
              <w:top w:val="single" w:sz="6" w:space="0" w:color="auto"/>
              <w:left w:val="single" w:sz="6" w:space="0" w:color="auto"/>
              <w:bottom w:val="single" w:sz="6"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rPr>
                <w:rFonts w:ascii="Times New Roman" w:hAnsi="Times New Roman" w:cs="Times New Roman"/>
                <w:lang w:eastAsia="en-US"/>
              </w:rPr>
            </w:pPr>
            <w:r w:rsidRPr="00CD10B1">
              <w:rPr>
                <w:rFonts w:ascii="Times New Roman" w:hAnsi="Times New Roman" w:cs="Times New Roman"/>
                <w:lang w:eastAsia="en-US"/>
              </w:rPr>
              <w:t>Продолжительность операционного цикла, дней</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181</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191</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185</w:t>
            </w:r>
          </w:p>
        </w:tc>
        <w:tc>
          <w:tcPr>
            <w:tcW w:w="1324"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–6</w:t>
            </w:r>
          </w:p>
        </w:tc>
      </w:tr>
      <w:tr w:rsidR="008B5BAE" w:rsidTr="008C7671">
        <w:trPr>
          <w:trHeight w:hRule="exact" w:val="570"/>
          <w:jc w:val="center"/>
        </w:trPr>
        <w:tc>
          <w:tcPr>
            <w:tcW w:w="3784" w:type="dxa"/>
            <w:tcBorders>
              <w:top w:val="single" w:sz="6" w:space="0" w:color="auto"/>
              <w:left w:val="single" w:sz="6" w:space="0" w:color="auto"/>
              <w:bottom w:val="single" w:sz="6"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rPr>
                <w:rFonts w:ascii="Times New Roman" w:hAnsi="Times New Roman" w:cs="Times New Roman"/>
                <w:lang w:eastAsia="en-US"/>
              </w:rPr>
            </w:pPr>
            <w:r w:rsidRPr="00CD10B1">
              <w:rPr>
                <w:rFonts w:ascii="Times New Roman" w:hAnsi="Times New Roman" w:cs="Times New Roman"/>
                <w:lang w:eastAsia="en-US"/>
              </w:rPr>
              <w:t>Продолжительность финансового цикла, дней</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94</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86</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82</w:t>
            </w:r>
          </w:p>
        </w:tc>
        <w:tc>
          <w:tcPr>
            <w:tcW w:w="1324"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–12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8B5BAE" w:rsidRPr="00CD10B1" w:rsidRDefault="008B5BAE" w:rsidP="00CD10B1">
            <w:pPr>
              <w:tabs>
                <w:tab w:val="left" w:pos="0"/>
              </w:tabs>
              <w:spacing w:after="0" w:line="240" w:lineRule="auto"/>
              <w:ind w:right="-1"/>
              <w:jc w:val="center"/>
              <w:rPr>
                <w:rFonts w:ascii="Times New Roman" w:hAnsi="Times New Roman" w:cs="Times New Roman"/>
                <w:lang w:eastAsia="en-US"/>
              </w:rPr>
            </w:pPr>
            <w:r w:rsidRPr="00CD10B1">
              <w:rPr>
                <w:rFonts w:ascii="Times New Roman" w:hAnsi="Times New Roman" w:cs="Times New Roman"/>
                <w:lang w:eastAsia="en-US"/>
              </w:rPr>
              <w:t>–4</w:t>
            </w:r>
          </w:p>
        </w:tc>
      </w:tr>
    </w:tbl>
    <w:p w:rsidR="008B5BAE" w:rsidRDefault="008B5BAE" w:rsidP="00CD10B1">
      <w:pPr>
        <w:widowControl w:val="0"/>
        <w:autoSpaceDE w:val="0"/>
        <w:autoSpaceDN w:val="0"/>
        <w:adjustRightInd w:val="0"/>
        <w:spacing w:after="0" w:line="360" w:lineRule="auto"/>
        <w:ind w:right="-1" w:firstLine="709"/>
        <w:jc w:val="both"/>
        <w:rPr>
          <w:rFonts w:ascii="Times New Roman" w:hAnsi="Times New Roman" w:cs="Times New Roman"/>
          <w:sz w:val="28"/>
          <w:szCs w:val="28"/>
          <w:lang w:val="en-US"/>
        </w:rPr>
      </w:pPr>
    </w:p>
    <w:p w:rsidR="008B5BAE" w:rsidRDefault="008B5BAE" w:rsidP="009026D5">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 xml:space="preserve">Анализ показал, что в 2014 г. по сравнению с 2012 – 2013 гг. произошло замедление </w:t>
      </w:r>
      <w:r>
        <w:rPr>
          <w:rFonts w:ascii="Times New Roman" w:hAnsi="Times New Roman" w:cs="Times New Roman"/>
          <w:sz w:val="28"/>
          <w:szCs w:val="28"/>
          <w:lang w:eastAsia="en-US"/>
        </w:rPr>
        <w:t>оборачиваемости всего капитала вследствие опережающих темпов прироста капитала</w:t>
      </w:r>
      <w:r>
        <w:rPr>
          <w:rFonts w:ascii="Times New Roman" w:hAnsi="Times New Roman" w:cs="Times New Roman"/>
          <w:sz w:val="28"/>
          <w:szCs w:val="28"/>
        </w:rPr>
        <w:t xml:space="preserve"> по сравнению с темпами прироста выручки (табл. 1). </w:t>
      </w:r>
    </w:p>
    <w:p w:rsidR="008B5BAE" w:rsidRDefault="008B5BAE" w:rsidP="00CD10B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 xml:space="preserve">В результате количество оборотов всего </w:t>
      </w:r>
      <w:r>
        <w:rPr>
          <w:rFonts w:ascii="Times New Roman" w:hAnsi="Times New Roman" w:cs="Times New Roman"/>
          <w:sz w:val="28"/>
          <w:szCs w:val="28"/>
          <w:lang w:eastAsia="en-US"/>
        </w:rPr>
        <w:t>капитала уменьшилось до 1,445 или на 0,132 – 0,061 оборота</w:t>
      </w:r>
      <w:r>
        <w:rPr>
          <w:rFonts w:ascii="Times New Roman" w:hAnsi="Times New Roman" w:cs="Times New Roman"/>
          <w:sz w:val="28"/>
          <w:szCs w:val="28"/>
        </w:rPr>
        <w:t xml:space="preserve"> соответственно. </w:t>
      </w:r>
      <w:r>
        <w:rPr>
          <w:rFonts w:ascii="Times New Roman" w:hAnsi="Times New Roman" w:cs="Times New Roman"/>
          <w:sz w:val="28"/>
          <w:szCs w:val="28"/>
          <w:lang w:eastAsia="en-US"/>
        </w:rPr>
        <w:t>Оборачиваемость собственного капитала</w:t>
      </w:r>
      <w:r>
        <w:rPr>
          <w:rFonts w:ascii="Times New Roman" w:hAnsi="Times New Roman" w:cs="Times New Roman"/>
          <w:sz w:val="28"/>
          <w:szCs w:val="28"/>
        </w:rPr>
        <w:t xml:space="preserve">  снизилась до 7,205 оборота или на 3,986 – 1,269 оборота. Количество оборотов заемного и привлеченного </w:t>
      </w:r>
      <w:r>
        <w:rPr>
          <w:rFonts w:ascii="Times New Roman" w:hAnsi="Times New Roman" w:cs="Times New Roman"/>
          <w:sz w:val="28"/>
          <w:szCs w:val="28"/>
          <w:lang w:eastAsia="en-US"/>
        </w:rPr>
        <w:t xml:space="preserve">капитала уменьшилось до 1,808 или на 0,027 – 0,023 </w:t>
      </w:r>
      <w:r>
        <w:rPr>
          <w:rFonts w:ascii="Times New Roman" w:hAnsi="Times New Roman" w:cs="Times New Roman"/>
          <w:sz w:val="28"/>
          <w:szCs w:val="28"/>
        </w:rPr>
        <w:t>оборота. Количество оборотов дебиторской задолженности</w:t>
      </w:r>
      <w:r>
        <w:rPr>
          <w:rFonts w:ascii="Times New Roman" w:hAnsi="Times New Roman" w:cs="Times New Roman"/>
          <w:sz w:val="28"/>
          <w:szCs w:val="28"/>
          <w:lang w:eastAsia="en-US"/>
        </w:rPr>
        <w:t xml:space="preserve"> уменьшилось до 3,157 или на 0,438 – 0,097; </w:t>
      </w:r>
      <w:r>
        <w:rPr>
          <w:rFonts w:ascii="Times New Roman" w:hAnsi="Times New Roman" w:cs="Times New Roman"/>
          <w:sz w:val="28"/>
          <w:szCs w:val="28"/>
        </w:rPr>
        <w:t>кредиторская задолженность в 2014 г. совершила 3,55 оборота или меньше на 0,646 оборота в сравнении с 2012г., а по отношению к 2013 г. количество оборотов увеличилось на 0,085.</w:t>
      </w:r>
    </w:p>
    <w:p w:rsidR="008B5BAE" w:rsidRDefault="008B5BAE" w:rsidP="00CD10B1">
      <w:pPr>
        <w:widowControl w:val="0"/>
        <w:autoSpaceDE w:val="0"/>
        <w:autoSpaceDN w:val="0"/>
        <w:adjustRightInd w:val="0"/>
        <w:spacing w:after="0" w:line="360" w:lineRule="auto"/>
        <w:ind w:right="-1" w:firstLine="709"/>
        <w:jc w:val="both"/>
        <w:rPr>
          <w:rFonts w:ascii="Times New Roman" w:hAnsi="Times New Roman" w:cs="Times New Roman"/>
          <w:sz w:val="28"/>
          <w:szCs w:val="28"/>
          <w:lang w:eastAsia="en-US"/>
        </w:rPr>
      </w:pPr>
      <w:r>
        <w:rPr>
          <w:rFonts w:ascii="Times New Roman" w:hAnsi="Times New Roman" w:cs="Times New Roman"/>
          <w:sz w:val="28"/>
          <w:szCs w:val="28"/>
        </w:rPr>
        <w:t>Динамика количества оборотов запасов за 2012 – 2014 гг.</w:t>
      </w:r>
      <w:r>
        <w:rPr>
          <w:rFonts w:ascii="Times New Roman" w:hAnsi="Times New Roman" w:cs="Times New Roman"/>
          <w:sz w:val="28"/>
          <w:szCs w:val="28"/>
          <w:lang w:eastAsia="en-US"/>
        </w:rPr>
        <w:t xml:space="preserve"> характеризовалась тенденцией роста с 4,646 до 5,311 </w:t>
      </w:r>
      <w:r>
        <w:rPr>
          <w:rFonts w:ascii="Times New Roman" w:hAnsi="Times New Roman" w:cs="Times New Roman"/>
          <w:sz w:val="28"/>
          <w:szCs w:val="28"/>
        </w:rPr>
        <w:t xml:space="preserve">оборота или на 0,665 и 0,224 оборота соответственно, что положительно рассматривается с </w:t>
      </w:r>
      <w:r>
        <w:rPr>
          <w:rFonts w:ascii="Times New Roman" w:hAnsi="Times New Roman" w:cs="Times New Roman"/>
          <w:sz w:val="28"/>
          <w:szCs w:val="28"/>
          <w:lang w:eastAsia="en-US"/>
        </w:rPr>
        <w:t>финансовых позиций.</w:t>
      </w:r>
    </w:p>
    <w:p w:rsidR="008B5BAE" w:rsidRDefault="008B5BAE" w:rsidP="00CD10B1">
      <w:pPr>
        <w:widowControl w:val="0"/>
        <w:autoSpaceDE w:val="0"/>
        <w:autoSpaceDN w:val="0"/>
        <w:adjustRightInd w:val="0"/>
        <w:spacing w:after="0" w:line="360" w:lineRule="auto"/>
        <w:ind w:right="-1" w:firstLine="709"/>
        <w:jc w:val="both"/>
        <w:rPr>
          <w:rFonts w:ascii="Times New Roman" w:hAnsi="Times New Roman" w:cs="Times New Roman"/>
          <w:sz w:val="28"/>
          <w:szCs w:val="28"/>
          <w:lang w:eastAsia="ru-RU"/>
        </w:rPr>
      </w:pPr>
      <w:r>
        <w:rPr>
          <w:rFonts w:ascii="Times New Roman" w:hAnsi="Times New Roman" w:cs="Times New Roman"/>
          <w:sz w:val="28"/>
          <w:szCs w:val="28"/>
        </w:rPr>
        <w:t xml:space="preserve">Замедление </w:t>
      </w:r>
      <w:r>
        <w:rPr>
          <w:rFonts w:ascii="Times New Roman" w:hAnsi="Times New Roman" w:cs="Times New Roman"/>
          <w:sz w:val="28"/>
          <w:szCs w:val="28"/>
          <w:lang w:eastAsia="en-US"/>
        </w:rPr>
        <w:t>оборачиваемости капитала в целом и его компонентов</w:t>
      </w:r>
      <w:r>
        <w:rPr>
          <w:rFonts w:ascii="Times New Roman" w:hAnsi="Times New Roman" w:cs="Times New Roman"/>
          <w:sz w:val="28"/>
          <w:szCs w:val="28"/>
        </w:rPr>
        <w:t xml:space="preserve"> рассматривается как негативная </w:t>
      </w:r>
      <w:r>
        <w:rPr>
          <w:rFonts w:ascii="Times New Roman" w:hAnsi="Times New Roman" w:cs="Times New Roman"/>
          <w:sz w:val="28"/>
          <w:szCs w:val="28"/>
          <w:lang w:eastAsia="en-US"/>
        </w:rPr>
        <w:t xml:space="preserve">тенденция, ухудшающая финансовое состояние </w:t>
      </w:r>
      <w:r>
        <w:rPr>
          <w:rFonts w:ascii="Times New Roman" w:hAnsi="Times New Roman" w:cs="Times New Roman"/>
          <w:sz w:val="28"/>
          <w:szCs w:val="28"/>
        </w:rPr>
        <w:t xml:space="preserve">ООО «Кубань-Вино». Замедление </w:t>
      </w:r>
      <w:r>
        <w:rPr>
          <w:rFonts w:ascii="Times New Roman" w:hAnsi="Times New Roman" w:cs="Times New Roman"/>
          <w:sz w:val="28"/>
          <w:szCs w:val="28"/>
          <w:lang w:eastAsia="en-US"/>
        </w:rPr>
        <w:t>оборачиваемости капитала произошло следующим образом в исследуемом периоде: продолжительность одного</w:t>
      </w:r>
      <w:r>
        <w:rPr>
          <w:rFonts w:ascii="Times New Roman" w:hAnsi="Times New Roman" w:cs="Times New Roman"/>
          <w:sz w:val="28"/>
          <w:szCs w:val="28"/>
        </w:rPr>
        <w:t xml:space="preserve"> оборота всего </w:t>
      </w:r>
      <w:r>
        <w:rPr>
          <w:rFonts w:ascii="Times New Roman" w:hAnsi="Times New Roman" w:cs="Times New Roman"/>
          <w:sz w:val="28"/>
          <w:szCs w:val="28"/>
          <w:lang w:eastAsia="en-US"/>
        </w:rPr>
        <w:t>капитала</w:t>
      </w:r>
      <w:r>
        <w:rPr>
          <w:rFonts w:ascii="Times New Roman" w:hAnsi="Times New Roman" w:cs="Times New Roman"/>
          <w:sz w:val="28"/>
          <w:szCs w:val="28"/>
        </w:rPr>
        <w:t xml:space="preserve"> увеличилась в 2014 г. до 253 </w:t>
      </w:r>
      <w:r>
        <w:rPr>
          <w:rFonts w:ascii="Times New Roman" w:hAnsi="Times New Roman" w:cs="Times New Roman"/>
          <w:sz w:val="28"/>
          <w:szCs w:val="28"/>
          <w:lang w:eastAsia="en-US"/>
        </w:rPr>
        <w:t xml:space="preserve">дней или на 21 – 11 дней </w:t>
      </w:r>
      <w:r>
        <w:rPr>
          <w:rFonts w:ascii="Times New Roman" w:hAnsi="Times New Roman" w:cs="Times New Roman"/>
          <w:sz w:val="28"/>
          <w:szCs w:val="28"/>
        </w:rPr>
        <w:t xml:space="preserve">по сравнению с 2012 – 2013 гг. соответственно. </w:t>
      </w:r>
      <w:r>
        <w:rPr>
          <w:rFonts w:ascii="Times New Roman" w:hAnsi="Times New Roman" w:cs="Times New Roman"/>
          <w:sz w:val="28"/>
          <w:szCs w:val="28"/>
          <w:lang w:eastAsia="en-US"/>
        </w:rPr>
        <w:t xml:space="preserve">Продолжительность </w:t>
      </w:r>
      <w:r>
        <w:rPr>
          <w:rFonts w:ascii="Times New Roman" w:hAnsi="Times New Roman" w:cs="Times New Roman"/>
          <w:sz w:val="28"/>
          <w:szCs w:val="28"/>
        </w:rPr>
        <w:t>оборота</w:t>
      </w:r>
      <w:r>
        <w:rPr>
          <w:rFonts w:ascii="Times New Roman" w:hAnsi="Times New Roman" w:cs="Times New Roman"/>
          <w:sz w:val="28"/>
          <w:szCs w:val="28"/>
          <w:lang w:eastAsia="en-US"/>
        </w:rPr>
        <w:t xml:space="preserve"> собственного капитала</w:t>
      </w:r>
      <w:r>
        <w:rPr>
          <w:rFonts w:ascii="Times New Roman" w:hAnsi="Times New Roman" w:cs="Times New Roman"/>
          <w:sz w:val="28"/>
          <w:szCs w:val="28"/>
        </w:rPr>
        <w:t xml:space="preserve"> увеличилась до 51 дня или на 18 – 8 </w:t>
      </w:r>
      <w:r>
        <w:rPr>
          <w:rFonts w:ascii="Times New Roman" w:hAnsi="Times New Roman" w:cs="Times New Roman"/>
          <w:sz w:val="28"/>
          <w:szCs w:val="28"/>
          <w:lang w:eastAsia="en-US"/>
        </w:rPr>
        <w:t>дней</w:t>
      </w:r>
      <w:r>
        <w:rPr>
          <w:rFonts w:ascii="Times New Roman" w:hAnsi="Times New Roman" w:cs="Times New Roman"/>
          <w:sz w:val="28"/>
          <w:szCs w:val="28"/>
        </w:rPr>
        <w:t xml:space="preserve"> соответственно. </w:t>
      </w:r>
      <w:r>
        <w:rPr>
          <w:rFonts w:ascii="Times New Roman" w:hAnsi="Times New Roman" w:cs="Times New Roman"/>
          <w:sz w:val="28"/>
          <w:szCs w:val="28"/>
          <w:lang w:eastAsia="en-US"/>
        </w:rPr>
        <w:t xml:space="preserve">Продолжительность </w:t>
      </w:r>
      <w:r>
        <w:rPr>
          <w:rFonts w:ascii="Times New Roman" w:hAnsi="Times New Roman" w:cs="Times New Roman"/>
          <w:sz w:val="28"/>
          <w:szCs w:val="28"/>
        </w:rPr>
        <w:t xml:space="preserve">заемного и привлеченного </w:t>
      </w:r>
      <w:r>
        <w:rPr>
          <w:rFonts w:ascii="Times New Roman" w:hAnsi="Times New Roman" w:cs="Times New Roman"/>
          <w:sz w:val="28"/>
          <w:szCs w:val="28"/>
          <w:lang w:eastAsia="en-US"/>
        </w:rPr>
        <w:t>капитала (то есть</w:t>
      </w:r>
      <w:r>
        <w:rPr>
          <w:rFonts w:ascii="Times New Roman" w:hAnsi="Times New Roman" w:cs="Times New Roman"/>
          <w:sz w:val="28"/>
          <w:szCs w:val="28"/>
        </w:rPr>
        <w:t xml:space="preserve"> заемного </w:t>
      </w:r>
      <w:r>
        <w:rPr>
          <w:rFonts w:ascii="Times New Roman" w:hAnsi="Times New Roman" w:cs="Times New Roman"/>
          <w:sz w:val="28"/>
          <w:szCs w:val="28"/>
          <w:lang w:eastAsia="en-US"/>
        </w:rPr>
        <w:t xml:space="preserve">капитала и </w:t>
      </w:r>
      <w:r>
        <w:rPr>
          <w:rFonts w:ascii="Times New Roman" w:hAnsi="Times New Roman" w:cs="Times New Roman"/>
          <w:sz w:val="28"/>
          <w:szCs w:val="28"/>
        </w:rPr>
        <w:t>кредиторской задолженности</w:t>
      </w:r>
      <w:r>
        <w:rPr>
          <w:rFonts w:ascii="Times New Roman" w:hAnsi="Times New Roman" w:cs="Times New Roman"/>
          <w:sz w:val="28"/>
          <w:szCs w:val="28"/>
          <w:lang w:eastAsia="en-US"/>
        </w:rPr>
        <w:t xml:space="preserve">) возросла на 3 дня, </w:t>
      </w:r>
      <w:r>
        <w:rPr>
          <w:rFonts w:ascii="Times New Roman" w:hAnsi="Times New Roman" w:cs="Times New Roman"/>
          <w:sz w:val="28"/>
          <w:szCs w:val="28"/>
        </w:rPr>
        <w:t>оборотных активов на 19 – 9 дней, дебиторской задолженности на 14 дней по отношению к 2012 г., но в сравнении с 2013 г.</w:t>
      </w:r>
      <w:r>
        <w:rPr>
          <w:rFonts w:ascii="Times New Roman" w:hAnsi="Times New Roman" w:cs="Times New Roman"/>
          <w:sz w:val="28"/>
          <w:szCs w:val="28"/>
          <w:lang w:eastAsia="en-US"/>
        </w:rPr>
        <w:t xml:space="preserve"> продолжительность </w:t>
      </w:r>
      <w:r>
        <w:rPr>
          <w:rFonts w:ascii="Times New Roman" w:hAnsi="Times New Roman" w:cs="Times New Roman"/>
          <w:sz w:val="28"/>
          <w:szCs w:val="28"/>
        </w:rPr>
        <w:t>оборота</w:t>
      </w:r>
      <w:r>
        <w:rPr>
          <w:rFonts w:ascii="Times New Roman" w:hAnsi="Times New Roman" w:cs="Times New Roman"/>
          <w:sz w:val="28"/>
          <w:szCs w:val="28"/>
          <w:lang w:eastAsia="en-US"/>
        </w:rPr>
        <w:t xml:space="preserve"> уменьшилась на 3 дня. Продолжительность </w:t>
      </w:r>
      <w:r>
        <w:rPr>
          <w:rFonts w:ascii="Times New Roman" w:hAnsi="Times New Roman" w:cs="Times New Roman"/>
          <w:sz w:val="28"/>
          <w:szCs w:val="28"/>
        </w:rPr>
        <w:t xml:space="preserve">оборота кредиторской задолженности в 2014 г. по сравнению с 2012 г. возросла на 16 дней, а по отношению к 2013 г. </w:t>
      </w:r>
      <w:r>
        <w:rPr>
          <w:rFonts w:ascii="Times New Roman" w:hAnsi="Times New Roman" w:cs="Times New Roman"/>
          <w:sz w:val="28"/>
          <w:szCs w:val="28"/>
          <w:lang w:eastAsia="en-US"/>
        </w:rPr>
        <w:t xml:space="preserve">уменьшилась на 2 дня. Продолжительность </w:t>
      </w:r>
      <w:r>
        <w:rPr>
          <w:rFonts w:ascii="Times New Roman" w:hAnsi="Times New Roman" w:cs="Times New Roman"/>
          <w:sz w:val="28"/>
          <w:szCs w:val="28"/>
        </w:rPr>
        <w:t xml:space="preserve">оборота запасов в 2014 г. </w:t>
      </w:r>
      <w:r>
        <w:rPr>
          <w:rFonts w:ascii="Times New Roman" w:hAnsi="Times New Roman" w:cs="Times New Roman"/>
          <w:sz w:val="28"/>
          <w:szCs w:val="28"/>
          <w:lang w:eastAsia="en-US"/>
        </w:rPr>
        <w:t xml:space="preserve">уменьшилась на 10 дней </w:t>
      </w:r>
      <w:r>
        <w:rPr>
          <w:rFonts w:ascii="Times New Roman" w:hAnsi="Times New Roman" w:cs="Times New Roman"/>
          <w:sz w:val="28"/>
          <w:szCs w:val="28"/>
        </w:rPr>
        <w:t>по сравнению с 2012 г. и на 3 дня в сравнении с 2013 г.</w:t>
      </w:r>
    </w:p>
    <w:p w:rsidR="008B5BAE" w:rsidRDefault="008B5BAE" w:rsidP="00CD10B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lang w:eastAsia="en-US"/>
        </w:rPr>
        <w:t xml:space="preserve">Продолжительность операционного цикла </w:t>
      </w:r>
      <w:r>
        <w:rPr>
          <w:rFonts w:ascii="Times New Roman" w:hAnsi="Times New Roman" w:cs="Times New Roman"/>
          <w:sz w:val="28"/>
          <w:szCs w:val="28"/>
        </w:rPr>
        <w:t>в 2014 г. была равна 185 дней, по сравнению с 2012 г. она возросла на 4 дня, что является негативным фактом, а в сравнении с  2013 г.</w:t>
      </w:r>
      <w:r>
        <w:rPr>
          <w:rFonts w:ascii="Times New Roman" w:hAnsi="Times New Roman" w:cs="Times New Roman"/>
          <w:sz w:val="28"/>
          <w:szCs w:val="28"/>
          <w:lang w:eastAsia="en-US"/>
        </w:rPr>
        <w:t xml:space="preserve"> уменьшилась на 6 дней, и это </w:t>
      </w:r>
      <w:r>
        <w:rPr>
          <w:rFonts w:ascii="Times New Roman" w:hAnsi="Times New Roman" w:cs="Times New Roman"/>
          <w:sz w:val="28"/>
          <w:szCs w:val="28"/>
        </w:rPr>
        <w:t xml:space="preserve">является позитивным фактом. </w:t>
      </w:r>
      <w:r>
        <w:rPr>
          <w:rFonts w:ascii="Times New Roman" w:hAnsi="Times New Roman" w:cs="Times New Roman"/>
          <w:sz w:val="28"/>
          <w:szCs w:val="28"/>
          <w:lang w:eastAsia="en-US"/>
        </w:rPr>
        <w:t xml:space="preserve">Продолжительность </w:t>
      </w:r>
      <w:r>
        <w:rPr>
          <w:rFonts w:ascii="Times New Roman" w:hAnsi="Times New Roman" w:cs="Times New Roman"/>
          <w:sz w:val="28"/>
          <w:szCs w:val="28"/>
        </w:rPr>
        <w:t xml:space="preserve">финансового цикла за исследуемый период </w:t>
      </w:r>
      <w:r>
        <w:rPr>
          <w:rFonts w:ascii="Times New Roman" w:hAnsi="Times New Roman" w:cs="Times New Roman"/>
          <w:sz w:val="28"/>
          <w:szCs w:val="28"/>
          <w:lang w:eastAsia="en-US"/>
        </w:rPr>
        <w:t>уменьшилась</w:t>
      </w:r>
      <w:r>
        <w:rPr>
          <w:rFonts w:ascii="Times New Roman" w:hAnsi="Times New Roman" w:cs="Times New Roman"/>
          <w:sz w:val="28"/>
          <w:szCs w:val="28"/>
        </w:rPr>
        <w:t xml:space="preserve"> до 82 дней или на 12 – 4 дня соответственно, что характеризует позитивно деловую активность ООО «Кубань-Вино».</w:t>
      </w:r>
    </w:p>
    <w:p w:rsidR="008B5BAE" w:rsidRDefault="008B5BAE" w:rsidP="00CD10B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 xml:space="preserve">Позитивно характеризует деловую активность </w:t>
      </w:r>
      <w:r>
        <w:rPr>
          <w:rFonts w:ascii="Times New Roman" w:hAnsi="Times New Roman" w:cs="Times New Roman"/>
          <w:sz w:val="28"/>
          <w:szCs w:val="28"/>
          <w:lang w:eastAsia="en-US"/>
        </w:rPr>
        <w:t>организации прирост совокупного капитала, собственного капитала,  выручки, прибыли от продаж, нераспределенной прибыли, прибыли до налогообложения, чистой прибыли.</w:t>
      </w:r>
    </w:p>
    <w:p w:rsidR="008B5BAE" w:rsidRDefault="008B5BAE" w:rsidP="00CD10B1">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результате замедления</w:t>
      </w:r>
      <w:r>
        <w:rPr>
          <w:rFonts w:ascii="Times New Roman" w:hAnsi="Times New Roman" w:cs="Times New Roman"/>
          <w:sz w:val="28"/>
          <w:szCs w:val="28"/>
          <w:lang w:eastAsia="en-US"/>
        </w:rPr>
        <w:t xml:space="preserve"> </w:t>
      </w:r>
      <w:r>
        <w:rPr>
          <w:rFonts w:ascii="Times New Roman" w:hAnsi="Times New Roman" w:cs="Times New Roman"/>
          <w:color w:val="000000"/>
          <w:sz w:val="28"/>
          <w:szCs w:val="28"/>
        </w:rPr>
        <w:t>о</w:t>
      </w:r>
      <w:r>
        <w:rPr>
          <w:rFonts w:ascii="Times New Roman" w:hAnsi="Times New Roman" w:cs="Times New Roman"/>
          <w:sz w:val="28"/>
          <w:szCs w:val="28"/>
        </w:rPr>
        <w:t xml:space="preserve">борачиваемости капитала организации произошло уменьшение </w:t>
      </w:r>
      <w:r>
        <w:rPr>
          <w:rFonts w:ascii="Times New Roman" w:hAnsi="Times New Roman" w:cs="Times New Roman"/>
          <w:sz w:val="28"/>
          <w:szCs w:val="28"/>
          <w:lang w:eastAsia="en-US"/>
        </w:rPr>
        <w:t xml:space="preserve">выручки на 90047 </w:t>
      </w:r>
      <w:r>
        <w:rPr>
          <w:rFonts w:ascii="Times New Roman" w:hAnsi="Times New Roman" w:cs="Times New Roman"/>
          <w:sz w:val="28"/>
          <w:szCs w:val="28"/>
        </w:rPr>
        <w:t xml:space="preserve">тыс. руб. (1565097÷365×21); прибыль от продаж уменьшилась на 14947 тыс. руб. (259789÷365×21); прибыли до налогообложения </w:t>
      </w:r>
      <w:r>
        <w:rPr>
          <w:rFonts w:ascii="Times New Roman" w:hAnsi="Times New Roman" w:cs="Times New Roman"/>
          <w:sz w:val="28"/>
          <w:szCs w:val="28"/>
          <w:lang w:eastAsia="en-US"/>
        </w:rPr>
        <w:t xml:space="preserve">недополучено 4808 </w:t>
      </w:r>
      <w:r>
        <w:rPr>
          <w:rFonts w:ascii="Times New Roman" w:hAnsi="Times New Roman" w:cs="Times New Roman"/>
          <w:sz w:val="28"/>
          <w:szCs w:val="28"/>
        </w:rPr>
        <w:t xml:space="preserve">тыс. руб. (835÷365×21). Относительная величина </w:t>
      </w:r>
      <w:r>
        <w:rPr>
          <w:rFonts w:ascii="Times New Roman" w:hAnsi="Times New Roman" w:cs="Times New Roman"/>
          <w:sz w:val="28"/>
          <w:szCs w:val="28"/>
          <w:lang w:eastAsia="en-US"/>
        </w:rPr>
        <w:t>недополученной выручки по отношению к фактической выручке за</w:t>
      </w:r>
      <w:r>
        <w:rPr>
          <w:rFonts w:ascii="Times New Roman" w:hAnsi="Times New Roman" w:cs="Times New Roman"/>
          <w:sz w:val="28"/>
          <w:szCs w:val="28"/>
        </w:rPr>
        <w:t xml:space="preserve"> 2014 г. равна 4,3 % (90047÷2105217×100%); </w:t>
      </w:r>
      <w:r>
        <w:rPr>
          <w:rFonts w:ascii="Times New Roman" w:hAnsi="Times New Roman" w:cs="Times New Roman"/>
          <w:sz w:val="28"/>
          <w:szCs w:val="28"/>
          <w:lang w:eastAsia="en-US"/>
        </w:rPr>
        <w:t xml:space="preserve">недополученная </w:t>
      </w:r>
      <w:r>
        <w:rPr>
          <w:rFonts w:ascii="Times New Roman" w:hAnsi="Times New Roman" w:cs="Times New Roman"/>
          <w:sz w:val="28"/>
          <w:szCs w:val="28"/>
        </w:rPr>
        <w:t>прибыль от продаж составляет 4,0% (14947÷374650×100%) в сравнении с</w:t>
      </w:r>
      <w:r>
        <w:rPr>
          <w:rFonts w:ascii="Times New Roman" w:hAnsi="Times New Roman" w:cs="Times New Roman"/>
          <w:sz w:val="28"/>
          <w:szCs w:val="28"/>
          <w:lang w:eastAsia="en-US"/>
        </w:rPr>
        <w:t xml:space="preserve"> фактической</w:t>
      </w:r>
      <w:r>
        <w:rPr>
          <w:rFonts w:ascii="Times New Roman" w:hAnsi="Times New Roman" w:cs="Times New Roman"/>
          <w:sz w:val="28"/>
          <w:szCs w:val="28"/>
        </w:rPr>
        <w:t xml:space="preserve"> прибылью за 2014 г.; прибыли до налогообложения</w:t>
      </w:r>
      <w:r>
        <w:rPr>
          <w:rFonts w:ascii="Times New Roman" w:hAnsi="Times New Roman" w:cs="Times New Roman"/>
          <w:sz w:val="28"/>
          <w:szCs w:val="28"/>
          <w:lang w:eastAsia="en-US"/>
        </w:rPr>
        <w:t xml:space="preserve"> недополучено 3,35 % по отношению к фактической</w:t>
      </w:r>
      <w:r>
        <w:rPr>
          <w:rFonts w:ascii="Times New Roman" w:hAnsi="Times New Roman" w:cs="Times New Roman"/>
          <w:sz w:val="28"/>
          <w:szCs w:val="28"/>
        </w:rPr>
        <w:t xml:space="preserve"> прибыли за 2014 г.</w:t>
      </w:r>
    </w:p>
    <w:p w:rsidR="008B5BAE" w:rsidRDefault="008B5BAE" w:rsidP="00CD10B1">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Замедление</w:t>
      </w:r>
      <w:r>
        <w:rPr>
          <w:rFonts w:ascii="Times New Roman" w:hAnsi="Times New Roman" w:cs="Times New Roman"/>
          <w:color w:val="000000"/>
          <w:sz w:val="28"/>
          <w:szCs w:val="28"/>
        </w:rPr>
        <w:t xml:space="preserve"> о</w:t>
      </w:r>
      <w:r>
        <w:rPr>
          <w:rFonts w:ascii="Times New Roman" w:hAnsi="Times New Roman" w:cs="Times New Roman"/>
          <w:sz w:val="28"/>
          <w:szCs w:val="28"/>
        </w:rPr>
        <w:t xml:space="preserve">борачиваемости всего капитала организации в 2014 г. по сравнению с 2013 г. на 11 дней привело к </w:t>
      </w:r>
      <w:r>
        <w:rPr>
          <w:rFonts w:ascii="Times New Roman" w:hAnsi="Times New Roman" w:cs="Times New Roman"/>
          <w:sz w:val="28"/>
          <w:szCs w:val="28"/>
          <w:lang w:eastAsia="en-US"/>
        </w:rPr>
        <w:t xml:space="preserve">недополучению выручки на сумму 51144 </w:t>
      </w:r>
      <w:r>
        <w:rPr>
          <w:rFonts w:ascii="Times New Roman" w:hAnsi="Times New Roman" w:cs="Times New Roman"/>
          <w:sz w:val="28"/>
          <w:szCs w:val="28"/>
        </w:rPr>
        <w:t xml:space="preserve">тыс. руб. (1697061÷365×11) или на 2,4 % по сравнению с </w:t>
      </w:r>
      <w:r>
        <w:rPr>
          <w:rFonts w:ascii="Times New Roman" w:hAnsi="Times New Roman" w:cs="Times New Roman"/>
          <w:sz w:val="28"/>
          <w:szCs w:val="28"/>
          <w:lang w:eastAsia="en-US"/>
        </w:rPr>
        <w:t>фактической</w:t>
      </w:r>
      <w:r>
        <w:rPr>
          <w:rFonts w:ascii="Times New Roman" w:hAnsi="Times New Roman" w:cs="Times New Roman"/>
          <w:sz w:val="28"/>
          <w:szCs w:val="28"/>
        </w:rPr>
        <w:t xml:space="preserve"> </w:t>
      </w:r>
      <w:r>
        <w:rPr>
          <w:rFonts w:ascii="Times New Roman" w:hAnsi="Times New Roman" w:cs="Times New Roman"/>
          <w:sz w:val="28"/>
          <w:szCs w:val="28"/>
          <w:lang w:eastAsia="en-US"/>
        </w:rPr>
        <w:t>выручкой за</w:t>
      </w:r>
      <w:r>
        <w:rPr>
          <w:rFonts w:ascii="Times New Roman" w:hAnsi="Times New Roman" w:cs="Times New Roman"/>
          <w:sz w:val="28"/>
          <w:szCs w:val="28"/>
        </w:rPr>
        <w:t xml:space="preserve"> 2014 г. Прибыль до налогообложения уменьшилась на 2853 тыс. руб. (94667÷365×11) или на 2 % </w:t>
      </w:r>
      <w:r>
        <w:rPr>
          <w:rFonts w:ascii="Times New Roman" w:hAnsi="Times New Roman" w:cs="Times New Roman"/>
          <w:sz w:val="28"/>
          <w:szCs w:val="28"/>
          <w:lang w:eastAsia="en-US"/>
        </w:rPr>
        <w:t xml:space="preserve">по отношению к фактической за </w:t>
      </w:r>
      <w:r>
        <w:rPr>
          <w:rFonts w:ascii="Times New Roman" w:hAnsi="Times New Roman" w:cs="Times New Roman"/>
          <w:sz w:val="28"/>
          <w:szCs w:val="28"/>
        </w:rPr>
        <w:t xml:space="preserve">2014 г. Прибыли от продаж </w:t>
      </w:r>
      <w:r>
        <w:rPr>
          <w:rFonts w:ascii="Times New Roman" w:hAnsi="Times New Roman" w:cs="Times New Roman"/>
          <w:sz w:val="28"/>
          <w:szCs w:val="28"/>
          <w:lang w:eastAsia="en-US"/>
        </w:rPr>
        <w:t xml:space="preserve">недополучено 8195 </w:t>
      </w:r>
      <w:r>
        <w:rPr>
          <w:rFonts w:ascii="Times New Roman" w:hAnsi="Times New Roman" w:cs="Times New Roman"/>
          <w:sz w:val="28"/>
          <w:szCs w:val="28"/>
        </w:rPr>
        <w:t>тыс. руб. (271931÷365×11) или 2,2 %.</w:t>
      </w:r>
    </w:p>
    <w:p w:rsidR="008B5BAE" w:rsidRDefault="008B5BAE" w:rsidP="00CD10B1">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Наибольшее влияние на уменьшение </w:t>
      </w:r>
      <w:r>
        <w:rPr>
          <w:rFonts w:ascii="Times New Roman" w:hAnsi="Times New Roman" w:cs="Times New Roman"/>
          <w:sz w:val="28"/>
          <w:szCs w:val="28"/>
          <w:lang w:eastAsia="en-US"/>
        </w:rPr>
        <w:t xml:space="preserve">выручки, </w:t>
      </w:r>
      <w:r>
        <w:rPr>
          <w:rFonts w:ascii="Times New Roman" w:hAnsi="Times New Roman" w:cs="Times New Roman"/>
          <w:sz w:val="28"/>
          <w:szCs w:val="28"/>
        </w:rPr>
        <w:t xml:space="preserve">прибыли от продаж и прибыли до налогообложения оказало замедление </w:t>
      </w:r>
      <w:r>
        <w:rPr>
          <w:rFonts w:ascii="Times New Roman" w:hAnsi="Times New Roman" w:cs="Times New Roman"/>
          <w:sz w:val="28"/>
          <w:szCs w:val="28"/>
          <w:lang w:eastAsia="en-US"/>
        </w:rPr>
        <w:t xml:space="preserve">оборачиваемости </w:t>
      </w:r>
      <w:r>
        <w:rPr>
          <w:rFonts w:ascii="Times New Roman" w:hAnsi="Times New Roman" w:cs="Times New Roman"/>
          <w:sz w:val="28"/>
          <w:szCs w:val="28"/>
        </w:rPr>
        <w:t xml:space="preserve">оборотных активов. В 2014 г. по сравнению с 2012 г. продолжительность оборота оборотных активов увеличилась с 183 до 202 дней или на 19 </w:t>
      </w:r>
      <w:r>
        <w:rPr>
          <w:rFonts w:ascii="Times New Roman" w:hAnsi="Times New Roman" w:cs="Times New Roman"/>
          <w:sz w:val="28"/>
          <w:szCs w:val="28"/>
          <w:lang w:eastAsia="en-US"/>
        </w:rPr>
        <w:t>дней, а по отношению к</w:t>
      </w:r>
      <w:r>
        <w:rPr>
          <w:rFonts w:ascii="Times New Roman" w:hAnsi="Times New Roman" w:cs="Times New Roman"/>
          <w:sz w:val="28"/>
          <w:szCs w:val="28"/>
        </w:rPr>
        <w:t xml:space="preserve"> 2013 г. на 9 дней. В результате замедления</w:t>
      </w:r>
      <w:r>
        <w:rPr>
          <w:rFonts w:ascii="Times New Roman" w:hAnsi="Times New Roman" w:cs="Times New Roman"/>
          <w:sz w:val="28"/>
          <w:szCs w:val="28"/>
          <w:lang w:eastAsia="en-US"/>
        </w:rPr>
        <w:t xml:space="preserve"> оборачиваемости</w:t>
      </w:r>
      <w:r>
        <w:rPr>
          <w:rFonts w:ascii="Times New Roman" w:hAnsi="Times New Roman" w:cs="Times New Roman"/>
          <w:sz w:val="28"/>
          <w:szCs w:val="28"/>
        </w:rPr>
        <w:t xml:space="preserve"> оборотных активов</w:t>
      </w:r>
      <w:r>
        <w:rPr>
          <w:rFonts w:ascii="Times New Roman" w:hAnsi="Times New Roman" w:cs="Times New Roman"/>
          <w:sz w:val="28"/>
          <w:szCs w:val="28"/>
          <w:lang w:eastAsia="en-US"/>
        </w:rPr>
        <w:t xml:space="preserve"> недополучено выручки 81471 тыс. руб. (1565097÷365 × 19) или 3,9 % </w:t>
      </w:r>
      <w:r>
        <w:rPr>
          <w:rFonts w:ascii="Times New Roman" w:hAnsi="Times New Roman" w:cs="Times New Roman"/>
          <w:sz w:val="28"/>
          <w:szCs w:val="28"/>
        </w:rPr>
        <w:t xml:space="preserve">по сравнению с </w:t>
      </w:r>
      <w:r>
        <w:rPr>
          <w:rFonts w:ascii="Times New Roman" w:hAnsi="Times New Roman" w:cs="Times New Roman"/>
          <w:sz w:val="28"/>
          <w:szCs w:val="28"/>
          <w:lang w:eastAsia="en-US"/>
        </w:rPr>
        <w:t xml:space="preserve">фактической выручкой за </w:t>
      </w:r>
      <w:r>
        <w:rPr>
          <w:rFonts w:ascii="Times New Roman" w:hAnsi="Times New Roman" w:cs="Times New Roman"/>
          <w:sz w:val="28"/>
          <w:szCs w:val="28"/>
        </w:rPr>
        <w:t xml:space="preserve">2014 г.; в сравнении с 2013 г. вследствие замедления </w:t>
      </w:r>
      <w:r>
        <w:rPr>
          <w:rFonts w:ascii="Times New Roman" w:hAnsi="Times New Roman" w:cs="Times New Roman"/>
          <w:color w:val="000000"/>
          <w:sz w:val="28"/>
          <w:szCs w:val="28"/>
        </w:rPr>
        <w:t>о</w:t>
      </w:r>
      <w:r>
        <w:rPr>
          <w:rFonts w:ascii="Times New Roman" w:hAnsi="Times New Roman" w:cs="Times New Roman"/>
          <w:sz w:val="28"/>
          <w:szCs w:val="28"/>
        </w:rPr>
        <w:t xml:space="preserve">борачиваемости оборотных активов на 9 дней </w:t>
      </w:r>
      <w:r>
        <w:rPr>
          <w:rFonts w:ascii="Times New Roman" w:hAnsi="Times New Roman" w:cs="Times New Roman"/>
          <w:sz w:val="28"/>
          <w:szCs w:val="28"/>
          <w:lang w:eastAsia="en-US"/>
        </w:rPr>
        <w:t xml:space="preserve">выручки недополучено 41845 </w:t>
      </w:r>
      <w:r>
        <w:rPr>
          <w:rFonts w:ascii="Times New Roman" w:hAnsi="Times New Roman" w:cs="Times New Roman"/>
          <w:sz w:val="28"/>
          <w:szCs w:val="28"/>
        </w:rPr>
        <w:t xml:space="preserve">тыс. руб. (1697061÷365×9) или 2 % </w:t>
      </w:r>
      <w:r>
        <w:rPr>
          <w:rFonts w:ascii="Times New Roman" w:hAnsi="Times New Roman" w:cs="Times New Roman"/>
          <w:sz w:val="28"/>
          <w:szCs w:val="28"/>
          <w:lang w:eastAsia="en-US"/>
        </w:rPr>
        <w:t xml:space="preserve">по отношению к фактической выручке за </w:t>
      </w:r>
      <w:r>
        <w:rPr>
          <w:rFonts w:ascii="Times New Roman" w:hAnsi="Times New Roman" w:cs="Times New Roman"/>
          <w:sz w:val="28"/>
          <w:szCs w:val="28"/>
        </w:rPr>
        <w:t xml:space="preserve">2014 г. Прибыль от продаж из-за увеличения продолжительности одного оборота оборотных активов в 2014 г. по сравнению с 2012 г. уменьшилась на 13523тыс. руб. (259789÷365×19) или на 3,6 % в сравнении с </w:t>
      </w:r>
      <w:r>
        <w:rPr>
          <w:rFonts w:ascii="Times New Roman" w:hAnsi="Times New Roman" w:cs="Times New Roman"/>
          <w:sz w:val="28"/>
          <w:szCs w:val="28"/>
          <w:lang w:eastAsia="en-US"/>
        </w:rPr>
        <w:t xml:space="preserve">фактической за </w:t>
      </w:r>
      <w:r>
        <w:rPr>
          <w:rFonts w:ascii="Times New Roman" w:hAnsi="Times New Roman" w:cs="Times New Roman"/>
          <w:sz w:val="28"/>
          <w:szCs w:val="28"/>
        </w:rPr>
        <w:t xml:space="preserve">2014 г.; </w:t>
      </w:r>
      <w:r>
        <w:rPr>
          <w:rFonts w:ascii="Times New Roman" w:hAnsi="Times New Roman" w:cs="Times New Roman"/>
          <w:sz w:val="28"/>
          <w:szCs w:val="28"/>
          <w:lang w:eastAsia="en-US"/>
        </w:rPr>
        <w:t xml:space="preserve">по отношению к </w:t>
      </w:r>
      <w:r>
        <w:rPr>
          <w:rFonts w:ascii="Times New Roman" w:hAnsi="Times New Roman" w:cs="Times New Roman"/>
          <w:sz w:val="28"/>
          <w:szCs w:val="28"/>
        </w:rPr>
        <w:t xml:space="preserve">2013 г. прибыль от продаж уменьшилась на 6705 тыс. руб. (271931÷365×9) или на 1,8 % в сравнении с </w:t>
      </w:r>
      <w:r>
        <w:rPr>
          <w:rFonts w:ascii="Times New Roman" w:hAnsi="Times New Roman" w:cs="Times New Roman"/>
          <w:sz w:val="28"/>
          <w:szCs w:val="28"/>
          <w:lang w:eastAsia="en-US"/>
        </w:rPr>
        <w:t xml:space="preserve">фактической </w:t>
      </w:r>
      <w:r>
        <w:rPr>
          <w:rFonts w:ascii="Times New Roman" w:hAnsi="Times New Roman" w:cs="Times New Roman"/>
          <w:sz w:val="28"/>
          <w:szCs w:val="28"/>
        </w:rPr>
        <w:t xml:space="preserve">прибылью от продаж в 2013 г. </w:t>
      </w:r>
    </w:p>
    <w:p w:rsidR="008B5BAE" w:rsidRDefault="008B5BAE" w:rsidP="00CD10B1">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Прибыль до налогообложения уменьшилась вследствие замедления </w:t>
      </w:r>
      <w:r>
        <w:rPr>
          <w:rFonts w:ascii="Times New Roman" w:hAnsi="Times New Roman" w:cs="Times New Roman"/>
          <w:sz w:val="28"/>
          <w:szCs w:val="28"/>
          <w:lang w:eastAsia="en-US"/>
        </w:rPr>
        <w:t xml:space="preserve">оборачиваемости </w:t>
      </w:r>
      <w:r>
        <w:rPr>
          <w:rFonts w:ascii="Times New Roman" w:hAnsi="Times New Roman" w:cs="Times New Roman"/>
          <w:sz w:val="28"/>
          <w:szCs w:val="28"/>
        </w:rPr>
        <w:t xml:space="preserve">оборотных активов в 2014 г. по сравнению с 2012 г. на 4350 тыс. руб. (83559÷365×19) или на 3,03 %; </w:t>
      </w:r>
      <w:r>
        <w:rPr>
          <w:rFonts w:ascii="Times New Roman" w:hAnsi="Times New Roman" w:cs="Times New Roman"/>
          <w:sz w:val="28"/>
          <w:szCs w:val="28"/>
          <w:lang w:eastAsia="en-US"/>
        </w:rPr>
        <w:t xml:space="preserve">по отношению к </w:t>
      </w:r>
      <w:r>
        <w:rPr>
          <w:rFonts w:ascii="Times New Roman" w:hAnsi="Times New Roman" w:cs="Times New Roman"/>
          <w:sz w:val="28"/>
          <w:szCs w:val="28"/>
        </w:rPr>
        <w:t>2013 г. прибыль до налогообложения уменьшилась на 2334 тыс. руб. (94667÷365×9) или на 1,63 %.</w:t>
      </w:r>
    </w:p>
    <w:p w:rsidR="008B5BAE" w:rsidRDefault="008B5BAE" w:rsidP="00CD10B1">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Наибольшее влияние на замедление</w:t>
      </w:r>
      <w:r>
        <w:rPr>
          <w:rFonts w:ascii="Times New Roman" w:hAnsi="Times New Roman" w:cs="Times New Roman"/>
          <w:sz w:val="28"/>
          <w:szCs w:val="28"/>
          <w:lang w:eastAsia="en-US"/>
        </w:rPr>
        <w:t xml:space="preserve"> оборачиваемости</w:t>
      </w:r>
      <w:r>
        <w:rPr>
          <w:rFonts w:ascii="Times New Roman" w:hAnsi="Times New Roman" w:cs="Times New Roman"/>
          <w:sz w:val="28"/>
          <w:szCs w:val="28"/>
        </w:rPr>
        <w:t xml:space="preserve"> оборотных активов оказала дебиторская задолженность; в 2014 г. по сравнению с 2012г. продолжительность оборота дебиторской задолженности возросла на 13,7 %. Вследствие замедления </w:t>
      </w:r>
      <w:r>
        <w:rPr>
          <w:rFonts w:ascii="Times New Roman" w:hAnsi="Times New Roman" w:cs="Times New Roman"/>
          <w:sz w:val="28"/>
          <w:szCs w:val="28"/>
          <w:lang w:eastAsia="en-US"/>
        </w:rPr>
        <w:t>оборачиваемости</w:t>
      </w:r>
      <w:r>
        <w:rPr>
          <w:rFonts w:ascii="Times New Roman" w:hAnsi="Times New Roman" w:cs="Times New Roman"/>
          <w:sz w:val="28"/>
          <w:szCs w:val="28"/>
        </w:rPr>
        <w:t xml:space="preserve"> дебиторской задолженности</w:t>
      </w:r>
      <w:r>
        <w:rPr>
          <w:rFonts w:ascii="Times New Roman" w:hAnsi="Times New Roman" w:cs="Times New Roman"/>
          <w:sz w:val="28"/>
          <w:szCs w:val="28"/>
          <w:lang w:eastAsia="en-US"/>
        </w:rPr>
        <w:t xml:space="preserve"> выручка </w:t>
      </w:r>
      <w:r>
        <w:rPr>
          <w:rFonts w:ascii="Times New Roman" w:hAnsi="Times New Roman" w:cs="Times New Roman"/>
          <w:sz w:val="28"/>
          <w:szCs w:val="28"/>
        </w:rPr>
        <w:t xml:space="preserve">уменьшилась на 60031 тыс. руб. (1565097÷365 ×14) или на 2,9 %. По сравнению с 2013 г. произошло ускорение дебиторской задолженности на 3 дня; в результате </w:t>
      </w:r>
      <w:r>
        <w:rPr>
          <w:rFonts w:ascii="Times New Roman" w:hAnsi="Times New Roman" w:cs="Times New Roman"/>
          <w:sz w:val="28"/>
          <w:szCs w:val="28"/>
          <w:lang w:eastAsia="en-US"/>
        </w:rPr>
        <w:t xml:space="preserve">выручка возросла на 13948 </w:t>
      </w:r>
      <w:r>
        <w:rPr>
          <w:rFonts w:ascii="Times New Roman" w:hAnsi="Times New Roman" w:cs="Times New Roman"/>
          <w:sz w:val="28"/>
          <w:szCs w:val="28"/>
        </w:rPr>
        <w:t xml:space="preserve">тыс. руб. (1697061 ÷365 ×3) или на 0,7 % </w:t>
      </w:r>
      <w:r>
        <w:rPr>
          <w:rFonts w:ascii="Times New Roman" w:hAnsi="Times New Roman" w:cs="Times New Roman"/>
          <w:sz w:val="28"/>
          <w:szCs w:val="28"/>
          <w:lang w:eastAsia="en-US"/>
        </w:rPr>
        <w:t xml:space="preserve">по отношению к фактической выручке за </w:t>
      </w:r>
      <w:r>
        <w:rPr>
          <w:rFonts w:ascii="Times New Roman" w:hAnsi="Times New Roman" w:cs="Times New Roman"/>
          <w:sz w:val="28"/>
          <w:szCs w:val="28"/>
        </w:rPr>
        <w:t>2014 г.</w:t>
      </w:r>
    </w:p>
    <w:p w:rsidR="008B5BAE" w:rsidRDefault="008B5BAE" w:rsidP="00CD10B1">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Увеличение продолжительности одного оборота собственного капитала на 18 дней в 2014 г. по сравнению с 2012 г. привело к </w:t>
      </w:r>
      <w:r>
        <w:rPr>
          <w:rFonts w:ascii="Times New Roman" w:hAnsi="Times New Roman" w:cs="Times New Roman"/>
          <w:sz w:val="28"/>
          <w:szCs w:val="28"/>
          <w:lang w:eastAsia="en-US"/>
        </w:rPr>
        <w:t xml:space="preserve">недополучению выручки на сумму 77183 </w:t>
      </w:r>
      <w:r>
        <w:rPr>
          <w:rFonts w:ascii="Times New Roman" w:hAnsi="Times New Roman" w:cs="Times New Roman"/>
          <w:sz w:val="28"/>
          <w:szCs w:val="28"/>
        </w:rPr>
        <w:t xml:space="preserve">тыс. руб. (1565097÷365×18) или на 3,7 % в сравнении с </w:t>
      </w:r>
      <w:r>
        <w:rPr>
          <w:rFonts w:ascii="Times New Roman" w:hAnsi="Times New Roman" w:cs="Times New Roman"/>
          <w:sz w:val="28"/>
          <w:szCs w:val="28"/>
          <w:lang w:eastAsia="en-US"/>
        </w:rPr>
        <w:t>фактической</w:t>
      </w:r>
      <w:r>
        <w:rPr>
          <w:rFonts w:ascii="Times New Roman" w:hAnsi="Times New Roman" w:cs="Times New Roman"/>
          <w:sz w:val="28"/>
          <w:szCs w:val="28"/>
        </w:rPr>
        <w:t xml:space="preserve"> </w:t>
      </w:r>
      <w:r>
        <w:rPr>
          <w:rFonts w:ascii="Times New Roman" w:hAnsi="Times New Roman" w:cs="Times New Roman"/>
          <w:sz w:val="28"/>
          <w:szCs w:val="28"/>
          <w:lang w:eastAsia="en-US"/>
        </w:rPr>
        <w:t>выручкой за</w:t>
      </w:r>
      <w:r>
        <w:rPr>
          <w:rFonts w:ascii="Times New Roman" w:hAnsi="Times New Roman" w:cs="Times New Roman"/>
          <w:sz w:val="28"/>
          <w:szCs w:val="28"/>
        </w:rPr>
        <w:t xml:space="preserve"> 2014 г.; </w:t>
      </w:r>
      <w:r>
        <w:rPr>
          <w:rFonts w:ascii="Times New Roman" w:hAnsi="Times New Roman" w:cs="Times New Roman"/>
          <w:sz w:val="28"/>
          <w:szCs w:val="28"/>
          <w:lang w:eastAsia="en-US"/>
        </w:rPr>
        <w:t xml:space="preserve">по отношению к </w:t>
      </w:r>
      <w:r>
        <w:rPr>
          <w:rFonts w:ascii="Times New Roman" w:hAnsi="Times New Roman" w:cs="Times New Roman"/>
          <w:sz w:val="28"/>
          <w:szCs w:val="28"/>
        </w:rPr>
        <w:t xml:space="preserve">2013 г. вследствие замедления </w:t>
      </w:r>
      <w:r>
        <w:rPr>
          <w:rFonts w:ascii="Times New Roman" w:hAnsi="Times New Roman" w:cs="Times New Roman"/>
          <w:sz w:val="28"/>
          <w:szCs w:val="28"/>
          <w:lang w:eastAsia="en-US"/>
        </w:rPr>
        <w:t>оборачиваемости</w:t>
      </w:r>
      <w:r>
        <w:rPr>
          <w:rFonts w:ascii="Times New Roman" w:hAnsi="Times New Roman" w:cs="Times New Roman"/>
          <w:sz w:val="28"/>
          <w:szCs w:val="28"/>
        </w:rPr>
        <w:t xml:space="preserve"> собственного капитала сумма </w:t>
      </w:r>
      <w:r>
        <w:rPr>
          <w:rFonts w:ascii="Times New Roman" w:hAnsi="Times New Roman" w:cs="Times New Roman"/>
          <w:sz w:val="28"/>
          <w:szCs w:val="28"/>
          <w:lang w:eastAsia="en-US"/>
        </w:rPr>
        <w:t>недополученной выручки составила 37196 тыс. руб.</w:t>
      </w:r>
      <w:r>
        <w:rPr>
          <w:rFonts w:ascii="Times New Roman" w:hAnsi="Times New Roman" w:cs="Times New Roman"/>
          <w:sz w:val="28"/>
          <w:szCs w:val="28"/>
        </w:rPr>
        <w:t xml:space="preserve"> (1697061 ÷365 ×8) или 1,8 % </w:t>
      </w:r>
      <w:r>
        <w:rPr>
          <w:rFonts w:ascii="Times New Roman" w:hAnsi="Times New Roman" w:cs="Times New Roman"/>
          <w:sz w:val="28"/>
          <w:szCs w:val="28"/>
          <w:lang w:eastAsia="en-US"/>
        </w:rPr>
        <w:t xml:space="preserve">к фактической выручке в </w:t>
      </w:r>
      <w:r>
        <w:rPr>
          <w:rFonts w:ascii="Times New Roman" w:hAnsi="Times New Roman" w:cs="Times New Roman"/>
          <w:sz w:val="28"/>
          <w:szCs w:val="28"/>
        </w:rPr>
        <w:t>2014 г.</w:t>
      </w:r>
    </w:p>
    <w:p w:rsidR="008B5BAE" w:rsidRDefault="008B5BAE" w:rsidP="00CD10B1">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Прибыли от продаж было </w:t>
      </w:r>
      <w:r>
        <w:rPr>
          <w:rFonts w:ascii="Times New Roman" w:hAnsi="Times New Roman" w:cs="Times New Roman"/>
          <w:sz w:val="28"/>
          <w:szCs w:val="28"/>
          <w:lang w:eastAsia="en-US"/>
        </w:rPr>
        <w:t>недополучено за этот период 12812 тыс. руб.</w:t>
      </w:r>
      <w:r>
        <w:rPr>
          <w:rFonts w:ascii="Times New Roman" w:hAnsi="Times New Roman" w:cs="Times New Roman"/>
          <w:sz w:val="28"/>
          <w:szCs w:val="28"/>
        </w:rPr>
        <w:t xml:space="preserve"> (259789 ÷365 ×18) – 5960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(271931 ÷365 ×8) или 3,4 – 1,6 % соответственно. Прибыль до налогообложения уменьшилась на 4121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(83559 ÷365 ×18) – 2075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(94667 ÷365 ×8) или на 2,9 – 1,5 %.</w:t>
      </w:r>
    </w:p>
    <w:p w:rsidR="008B5BAE" w:rsidRDefault="008B5BAE" w:rsidP="00CD10B1">
      <w:pPr>
        <w:widowControl w:val="0"/>
        <w:autoSpaceDE w:val="0"/>
        <w:autoSpaceDN w:val="0"/>
        <w:adjustRightInd w:val="0"/>
        <w:spacing w:after="0" w:line="360" w:lineRule="auto"/>
        <w:ind w:firstLine="709"/>
        <w:jc w:val="both"/>
        <w:rPr>
          <w:rFonts w:ascii="Times New Roman" w:hAnsi="Times New Roman" w:cs="Times New Roman"/>
          <w:sz w:val="28"/>
          <w:szCs w:val="28"/>
          <w:lang w:eastAsia="en-US"/>
        </w:rPr>
      </w:pPr>
      <w:r>
        <w:rPr>
          <w:rFonts w:ascii="Times New Roman" w:hAnsi="Times New Roman" w:cs="Times New Roman"/>
          <w:sz w:val="28"/>
          <w:szCs w:val="28"/>
        </w:rPr>
        <w:t>Замедление</w:t>
      </w:r>
      <w:r>
        <w:rPr>
          <w:rFonts w:ascii="Times New Roman" w:hAnsi="Times New Roman" w:cs="Times New Roman"/>
          <w:color w:val="000000"/>
          <w:sz w:val="28"/>
          <w:szCs w:val="28"/>
        </w:rPr>
        <w:t xml:space="preserve"> о</w:t>
      </w:r>
      <w:r>
        <w:rPr>
          <w:rFonts w:ascii="Times New Roman" w:hAnsi="Times New Roman" w:cs="Times New Roman"/>
          <w:sz w:val="28"/>
          <w:szCs w:val="28"/>
        </w:rPr>
        <w:t xml:space="preserve">борачиваемости заемного и привлеченного капитала (кредиторской задолженности) в 2014 г. по сравнению с 2012 – 2013 гг. на 3 дня привело к </w:t>
      </w:r>
      <w:r>
        <w:rPr>
          <w:rFonts w:ascii="Times New Roman" w:hAnsi="Times New Roman" w:cs="Times New Roman"/>
          <w:sz w:val="28"/>
          <w:szCs w:val="28"/>
          <w:lang w:eastAsia="en-US"/>
        </w:rPr>
        <w:t>недополучению выручки на 12864 – 13949 тыс. руб.</w:t>
      </w:r>
      <w:r>
        <w:rPr>
          <w:rFonts w:ascii="Times New Roman" w:hAnsi="Times New Roman" w:cs="Times New Roman"/>
          <w:sz w:val="28"/>
          <w:szCs w:val="28"/>
        </w:rPr>
        <w:t xml:space="preserve"> или на 0,6 – 0,7%. Прибыль от продаж уменьшилась вследствие этого на 2135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(259789 ÷365 ×3) – 2235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(271931 ÷365 ×3) или на 0,57 – 0,60 % соответственно. Прибыль до налогообложения уменьшилась на 687</w:t>
      </w:r>
      <w:r>
        <w:rPr>
          <w:rFonts w:ascii="Times New Roman" w:hAnsi="Times New Roman" w:cs="Times New Roman"/>
          <w:sz w:val="28"/>
          <w:szCs w:val="28"/>
          <w:lang w:eastAsia="en-US"/>
        </w:rPr>
        <w:t xml:space="preserve"> тыс. руб.</w:t>
      </w:r>
      <w:r>
        <w:rPr>
          <w:rFonts w:ascii="Times New Roman" w:hAnsi="Times New Roman" w:cs="Times New Roman"/>
          <w:sz w:val="28"/>
          <w:szCs w:val="28"/>
        </w:rPr>
        <w:t xml:space="preserve"> (83559 ÷365 ×3) – 778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(94667 ÷365 ×3) или на 0,48 – 0,54 % соответственно</w:t>
      </w:r>
      <w:r>
        <w:rPr>
          <w:rFonts w:ascii="Times New Roman" w:hAnsi="Times New Roman" w:cs="Times New Roman"/>
          <w:sz w:val="28"/>
          <w:szCs w:val="28"/>
          <w:lang w:eastAsia="en-US"/>
        </w:rPr>
        <w:t>.</w:t>
      </w:r>
    </w:p>
    <w:p w:rsidR="008B5BAE" w:rsidRDefault="008B5BAE" w:rsidP="00CD10B1">
      <w:pPr>
        <w:widowControl w:val="0"/>
        <w:autoSpaceDE w:val="0"/>
        <w:autoSpaceDN w:val="0"/>
        <w:adjustRightInd w:val="0"/>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en-US"/>
        </w:rPr>
        <w:t>Если принять в качестве резерва сумму недополученной выручки</w:t>
      </w:r>
      <w:r>
        <w:rPr>
          <w:rFonts w:ascii="Times New Roman" w:hAnsi="Times New Roman" w:cs="Times New Roman"/>
          <w:sz w:val="28"/>
          <w:szCs w:val="28"/>
        </w:rPr>
        <w:t xml:space="preserve"> в 2014г. по сравнению с 2012 г., равную 90047 </w:t>
      </w:r>
      <w:r>
        <w:rPr>
          <w:rFonts w:ascii="Times New Roman" w:hAnsi="Times New Roman" w:cs="Times New Roman"/>
          <w:sz w:val="28"/>
          <w:szCs w:val="28"/>
          <w:lang w:eastAsia="en-US"/>
        </w:rPr>
        <w:t xml:space="preserve">тыс. руб., то фактическая выручка достигла бы величины, равной 2195264 тыс. руб., </w:t>
      </w:r>
      <w:r>
        <w:rPr>
          <w:rFonts w:ascii="Times New Roman" w:hAnsi="Times New Roman" w:cs="Times New Roman"/>
          <w:sz w:val="28"/>
          <w:szCs w:val="28"/>
        </w:rPr>
        <w:t xml:space="preserve">прибыль от продаж возросла бы до 389597 </w:t>
      </w:r>
      <w:r>
        <w:rPr>
          <w:rFonts w:ascii="Times New Roman" w:hAnsi="Times New Roman" w:cs="Times New Roman"/>
          <w:sz w:val="28"/>
          <w:szCs w:val="28"/>
          <w:lang w:eastAsia="en-US"/>
        </w:rPr>
        <w:t xml:space="preserve">тыс. руб., </w:t>
      </w:r>
      <w:r>
        <w:rPr>
          <w:rFonts w:ascii="Times New Roman" w:hAnsi="Times New Roman" w:cs="Times New Roman"/>
          <w:sz w:val="28"/>
          <w:szCs w:val="28"/>
        </w:rPr>
        <w:t xml:space="preserve">прибыль до налогообложения составила бы 148416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w:t>
      </w:r>
    </w:p>
    <w:p w:rsidR="008B5BAE" w:rsidRDefault="008B5BAE" w:rsidP="00CD10B1">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результате увеличения </w:t>
      </w:r>
      <w:r>
        <w:rPr>
          <w:rFonts w:ascii="Times New Roman" w:hAnsi="Times New Roman" w:cs="Times New Roman"/>
          <w:sz w:val="28"/>
          <w:szCs w:val="28"/>
          <w:lang w:eastAsia="en-US"/>
        </w:rPr>
        <w:t>выручки произошло бы ускорение оборачиваемости</w:t>
      </w:r>
      <w:r>
        <w:rPr>
          <w:rFonts w:ascii="Times New Roman" w:hAnsi="Times New Roman" w:cs="Times New Roman"/>
          <w:sz w:val="28"/>
          <w:szCs w:val="28"/>
        </w:rPr>
        <w:t xml:space="preserve"> всего капитала и его компонентов </w:t>
      </w:r>
      <w:r>
        <w:rPr>
          <w:rFonts w:ascii="Times New Roman" w:hAnsi="Times New Roman" w:cs="Times New Roman"/>
          <w:color w:val="000000"/>
          <w:sz w:val="28"/>
          <w:szCs w:val="28"/>
        </w:rPr>
        <w:t xml:space="preserve">ООО «Кубань-Вино». Так, количество </w:t>
      </w:r>
      <w:r>
        <w:rPr>
          <w:rFonts w:ascii="Times New Roman" w:hAnsi="Times New Roman" w:cs="Times New Roman"/>
          <w:sz w:val="28"/>
          <w:szCs w:val="28"/>
        </w:rPr>
        <w:t xml:space="preserve">оборотов всего капитала возросло бы до 1,5071, а продолжительность оборота </w:t>
      </w:r>
      <w:r>
        <w:rPr>
          <w:rFonts w:ascii="Times New Roman" w:hAnsi="Times New Roman" w:cs="Times New Roman"/>
          <w:sz w:val="28"/>
          <w:szCs w:val="28"/>
          <w:lang w:eastAsia="en-US"/>
        </w:rPr>
        <w:t xml:space="preserve">уменьшилась </w:t>
      </w:r>
      <w:r>
        <w:rPr>
          <w:rFonts w:ascii="Times New Roman" w:hAnsi="Times New Roman" w:cs="Times New Roman"/>
          <w:sz w:val="28"/>
          <w:szCs w:val="28"/>
        </w:rPr>
        <w:t>бы до 242 дней или на 11 дней (4,35%) по сравнению с</w:t>
      </w:r>
      <w:r>
        <w:rPr>
          <w:rFonts w:ascii="Times New Roman" w:hAnsi="Times New Roman" w:cs="Times New Roman"/>
          <w:sz w:val="28"/>
          <w:szCs w:val="28"/>
          <w:lang w:eastAsia="en-US"/>
        </w:rPr>
        <w:t xml:space="preserve"> фактической </w:t>
      </w:r>
      <w:r>
        <w:rPr>
          <w:rFonts w:ascii="Times New Roman" w:hAnsi="Times New Roman" w:cs="Times New Roman"/>
          <w:sz w:val="28"/>
          <w:szCs w:val="28"/>
        </w:rPr>
        <w:t>продолжительностью всего капитала за 2014 г. (табл. 2).</w:t>
      </w:r>
    </w:p>
    <w:p w:rsidR="008B5BAE" w:rsidRDefault="008B5BAE" w:rsidP="00CD10B1">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8B5BAE" w:rsidRDefault="008B5BAE" w:rsidP="00CD10B1">
      <w:pPr>
        <w:spacing w:after="0" w:line="240" w:lineRule="auto"/>
        <w:rPr>
          <w:rFonts w:ascii="Times New Roman" w:hAnsi="Times New Roman" w:cs="Times New Roman"/>
          <w:sz w:val="28"/>
          <w:szCs w:val="28"/>
        </w:rPr>
      </w:pPr>
      <w:r>
        <w:rPr>
          <w:rFonts w:ascii="Times New Roman" w:hAnsi="Times New Roman" w:cs="Times New Roman"/>
          <w:color w:val="000000"/>
          <w:sz w:val="28"/>
          <w:szCs w:val="28"/>
        </w:rPr>
        <w:t xml:space="preserve">Таблица 2 – </w:t>
      </w:r>
      <w:r>
        <w:rPr>
          <w:rFonts w:ascii="Times New Roman" w:hAnsi="Times New Roman" w:cs="Times New Roman"/>
          <w:sz w:val="28"/>
          <w:szCs w:val="28"/>
          <w:lang w:eastAsia="en-US"/>
        </w:rPr>
        <w:t>Оборачиваемость</w:t>
      </w:r>
      <w:r>
        <w:rPr>
          <w:rFonts w:ascii="Times New Roman" w:hAnsi="Times New Roman" w:cs="Times New Roman"/>
          <w:sz w:val="28"/>
          <w:szCs w:val="28"/>
        </w:rPr>
        <w:t xml:space="preserve"> капитала и его компонентов при </w:t>
      </w:r>
    </w:p>
    <w:p w:rsidR="008B5BAE" w:rsidRDefault="008B5BAE" w:rsidP="00CD10B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использовании резерва увеличения выручки от продаж </w:t>
      </w:r>
    </w:p>
    <w:p w:rsidR="008B5BAE" w:rsidRDefault="008B5BAE" w:rsidP="00CD10B1">
      <w:pPr>
        <w:spacing w:after="0" w:line="240" w:lineRule="auto"/>
        <w:rPr>
          <w:rFonts w:ascii="Times New Roman" w:hAnsi="Times New Roman" w:cs="Times New Roman"/>
          <w:color w:val="000000"/>
          <w:sz w:val="28"/>
          <w:szCs w:val="28"/>
        </w:rPr>
      </w:pPr>
      <w:r>
        <w:rPr>
          <w:rFonts w:ascii="Times New Roman" w:hAnsi="Times New Roman" w:cs="Times New Roman"/>
          <w:sz w:val="28"/>
          <w:szCs w:val="28"/>
        </w:rPr>
        <w:t xml:space="preserve">                      в 2014 г. </w:t>
      </w:r>
      <w:r>
        <w:rPr>
          <w:rFonts w:ascii="Times New Roman" w:hAnsi="Times New Roman" w:cs="Times New Roman"/>
          <w:color w:val="000000"/>
          <w:sz w:val="28"/>
          <w:szCs w:val="28"/>
        </w:rPr>
        <w:t>ООО «Кубань-Вино»</w:t>
      </w:r>
      <w:r>
        <w:rPr>
          <w:rFonts w:ascii="Times New Roman" w:hAnsi="Times New Roman" w:cs="Times New Roman"/>
          <w:sz w:val="28"/>
          <w:szCs w:val="28"/>
        </w:rPr>
        <w:t xml:space="preserve"> </w:t>
      </w:r>
    </w:p>
    <w:tbl>
      <w:tblPr>
        <w:tblW w:w="0" w:type="auto"/>
        <w:tblInd w:w="108" w:type="dxa"/>
        <w:tblLayout w:type="fixed"/>
        <w:tblLook w:val="00A0"/>
      </w:tblPr>
      <w:tblGrid>
        <w:gridCol w:w="4536"/>
        <w:gridCol w:w="1205"/>
        <w:gridCol w:w="1205"/>
        <w:gridCol w:w="1214"/>
        <w:gridCol w:w="1586"/>
      </w:tblGrid>
      <w:tr w:rsidR="008B5BAE" w:rsidTr="00CD10B1">
        <w:trPr>
          <w:trHeight w:val="342"/>
        </w:trPr>
        <w:tc>
          <w:tcPr>
            <w:tcW w:w="4536" w:type="dxa"/>
            <w:vMerge w:val="restart"/>
            <w:tcBorders>
              <w:top w:val="single" w:sz="4" w:space="0" w:color="auto"/>
              <w:left w:val="single" w:sz="4" w:space="0" w:color="auto"/>
              <w:bottom w:val="single" w:sz="4" w:space="0" w:color="auto"/>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Показатель </w:t>
            </w:r>
          </w:p>
        </w:tc>
        <w:tc>
          <w:tcPr>
            <w:tcW w:w="1205" w:type="dxa"/>
            <w:vMerge w:val="restart"/>
            <w:tcBorders>
              <w:top w:val="single" w:sz="4" w:space="0" w:color="auto"/>
              <w:left w:val="single" w:sz="4" w:space="0" w:color="auto"/>
              <w:bottom w:val="single" w:sz="4" w:space="0" w:color="auto"/>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2014 г. фактически</w:t>
            </w:r>
          </w:p>
        </w:tc>
        <w:tc>
          <w:tcPr>
            <w:tcW w:w="1205" w:type="dxa"/>
            <w:vMerge w:val="restart"/>
            <w:tcBorders>
              <w:top w:val="single" w:sz="4" w:space="0" w:color="auto"/>
              <w:left w:val="single" w:sz="4" w:space="0" w:color="auto"/>
              <w:bottom w:val="single" w:sz="4" w:space="0" w:color="auto"/>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2014 г. с учетом резерва</w:t>
            </w:r>
          </w:p>
        </w:tc>
        <w:tc>
          <w:tcPr>
            <w:tcW w:w="2800" w:type="dxa"/>
            <w:gridSpan w:val="2"/>
            <w:tcBorders>
              <w:top w:val="single" w:sz="4" w:space="0" w:color="auto"/>
              <w:left w:val="single" w:sz="4" w:space="0" w:color="auto"/>
              <w:bottom w:val="single" w:sz="4" w:space="0" w:color="auto"/>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Прирост за счет резерва</w:t>
            </w:r>
          </w:p>
        </w:tc>
      </w:tr>
      <w:tr w:rsidR="008B5BAE" w:rsidTr="00CD10B1">
        <w:trPr>
          <w:trHeight w:val="822"/>
        </w:trPr>
        <w:tc>
          <w:tcPr>
            <w:tcW w:w="4536" w:type="dxa"/>
            <w:vMerge/>
            <w:tcBorders>
              <w:top w:val="single" w:sz="4" w:space="0" w:color="auto"/>
              <w:left w:val="single" w:sz="4" w:space="0" w:color="auto"/>
              <w:bottom w:val="single" w:sz="4" w:space="0" w:color="auto"/>
              <w:right w:val="single" w:sz="4" w:space="0" w:color="auto"/>
            </w:tcBorders>
            <w:vAlign w:val="center"/>
          </w:tcPr>
          <w:p w:rsidR="008B5BAE" w:rsidRDefault="008B5BAE">
            <w:pPr>
              <w:spacing w:after="0" w:line="240" w:lineRule="auto"/>
              <w:rPr>
                <w:rFonts w:ascii="Times New Roman" w:hAnsi="Times New Roman" w:cs="Times New Roman"/>
                <w:sz w:val="24"/>
                <w:szCs w:val="24"/>
                <w:lang w:eastAsia="en-US"/>
              </w:rPr>
            </w:pPr>
          </w:p>
        </w:tc>
        <w:tc>
          <w:tcPr>
            <w:tcW w:w="1205" w:type="dxa"/>
            <w:vMerge/>
            <w:tcBorders>
              <w:top w:val="single" w:sz="4" w:space="0" w:color="auto"/>
              <w:left w:val="single" w:sz="4" w:space="0" w:color="auto"/>
              <w:bottom w:val="single" w:sz="4" w:space="0" w:color="auto"/>
              <w:right w:val="single" w:sz="4" w:space="0" w:color="auto"/>
            </w:tcBorders>
            <w:vAlign w:val="center"/>
          </w:tcPr>
          <w:p w:rsidR="008B5BAE" w:rsidRDefault="008B5BAE">
            <w:pPr>
              <w:spacing w:after="0" w:line="240" w:lineRule="auto"/>
              <w:rPr>
                <w:rFonts w:ascii="Times New Roman" w:hAnsi="Times New Roman" w:cs="Times New Roman"/>
                <w:sz w:val="24"/>
                <w:szCs w:val="24"/>
                <w:lang w:eastAsia="en-US"/>
              </w:rPr>
            </w:pPr>
          </w:p>
        </w:tc>
        <w:tc>
          <w:tcPr>
            <w:tcW w:w="1205" w:type="dxa"/>
            <w:vMerge/>
            <w:tcBorders>
              <w:top w:val="single" w:sz="4" w:space="0" w:color="auto"/>
              <w:left w:val="single" w:sz="4" w:space="0" w:color="auto"/>
              <w:bottom w:val="single" w:sz="4" w:space="0" w:color="auto"/>
              <w:right w:val="single" w:sz="4" w:space="0" w:color="auto"/>
            </w:tcBorders>
            <w:vAlign w:val="center"/>
          </w:tcPr>
          <w:p w:rsidR="008B5BAE" w:rsidRDefault="008B5BAE">
            <w:pPr>
              <w:spacing w:after="0" w:line="240" w:lineRule="auto"/>
              <w:rPr>
                <w:rFonts w:ascii="Times New Roman" w:hAnsi="Times New Roman" w:cs="Times New Roman"/>
                <w:sz w:val="24"/>
                <w:szCs w:val="24"/>
                <w:lang w:eastAsia="en-US"/>
              </w:rPr>
            </w:pPr>
          </w:p>
        </w:tc>
        <w:tc>
          <w:tcPr>
            <w:tcW w:w="1214" w:type="dxa"/>
            <w:tcBorders>
              <w:top w:val="single" w:sz="4" w:space="0" w:color="auto"/>
              <w:left w:val="single" w:sz="4" w:space="0" w:color="auto"/>
              <w:bottom w:val="single" w:sz="4" w:space="0" w:color="auto"/>
              <w:right w:val="single" w:sz="4" w:space="0" w:color="auto"/>
            </w:tcBorders>
            <w:vAlign w:val="center"/>
          </w:tcPr>
          <w:p w:rsidR="008B5BAE" w:rsidRDefault="008B5BAE">
            <w:pPr>
              <w:spacing w:after="0" w:line="240" w:lineRule="auto"/>
              <w:ind w:left="-108" w:right="-28"/>
              <w:jc w:val="center"/>
              <w:rPr>
                <w:rFonts w:ascii="Times New Roman" w:hAnsi="Times New Roman" w:cs="Times New Roman"/>
                <w:sz w:val="24"/>
                <w:szCs w:val="24"/>
                <w:lang w:eastAsia="en-US"/>
              </w:rPr>
            </w:pPr>
            <w:r>
              <w:rPr>
                <w:rFonts w:ascii="Times New Roman" w:hAnsi="Times New Roman" w:cs="Times New Roman"/>
                <w:sz w:val="24"/>
                <w:szCs w:val="24"/>
                <w:lang w:eastAsia="en-US"/>
              </w:rPr>
              <w:t xml:space="preserve">абсолют-ное значение </w:t>
            </w:r>
          </w:p>
        </w:tc>
        <w:tc>
          <w:tcPr>
            <w:tcW w:w="1586" w:type="dxa"/>
            <w:tcBorders>
              <w:top w:val="single" w:sz="4" w:space="0" w:color="auto"/>
              <w:left w:val="single" w:sz="4" w:space="0" w:color="auto"/>
              <w:bottom w:val="single" w:sz="4" w:space="0" w:color="auto"/>
              <w:right w:val="single" w:sz="4" w:space="0" w:color="auto"/>
            </w:tcBorders>
            <w:vAlign w:val="center"/>
          </w:tcPr>
          <w:p w:rsidR="008B5BAE" w:rsidRDefault="008B5BAE">
            <w:pPr>
              <w:spacing w:after="0" w:line="240" w:lineRule="auto"/>
              <w:ind w:left="-108" w:right="-28"/>
              <w:jc w:val="center"/>
              <w:rPr>
                <w:rFonts w:ascii="Times New Roman" w:hAnsi="Times New Roman" w:cs="Times New Roman"/>
                <w:sz w:val="24"/>
                <w:szCs w:val="24"/>
                <w:lang w:eastAsia="en-US"/>
              </w:rPr>
            </w:pPr>
            <w:r>
              <w:rPr>
                <w:rFonts w:ascii="Times New Roman" w:hAnsi="Times New Roman" w:cs="Times New Roman"/>
                <w:sz w:val="24"/>
                <w:szCs w:val="24"/>
                <w:lang w:eastAsia="en-US"/>
              </w:rPr>
              <w:t>относительное значение (%, доля единицы)</w:t>
            </w:r>
          </w:p>
        </w:tc>
      </w:tr>
      <w:tr w:rsidR="008B5BAE" w:rsidTr="00CD10B1">
        <w:trPr>
          <w:trHeight w:val="481"/>
        </w:trPr>
        <w:tc>
          <w:tcPr>
            <w:tcW w:w="4536" w:type="dxa"/>
            <w:tcBorders>
              <w:top w:val="single" w:sz="4" w:space="0" w:color="auto"/>
              <w:left w:val="single" w:sz="4" w:space="0" w:color="auto"/>
              <w:bottom w:val="single" w:sz="4" w:space="0" w:color="auto"/>
              <w:right w:val="single" w:sz="4" w:space="0" w:color="auto"/>
            </w:tcBorders>
            <w:vAlign w:val="center"/>
          </w:tcPr>
          <w:p w:rsidR="008B5BAE" w:rsidRDefault="008B5BA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Выручка, тыс. руб.</w:t>
            </w:r>
          </w:p>
        </w:tc>
        <w:tc>
          <w:tcPr>
            <w:tcW w:w="1205" w:type="dxa"/>
            <w:tcBorders>
              <w:top w:val="single" w:sz="4" w:space="0" w:color="auto"/>
              <w:left w:val="single" w:sz="4" w:space="0" w:color="auto"/>
              <w:bottom w:val="single" w:sz="4" w:space="0" w:color="auto"/>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2105217</w:t>
            </w:r>
          </w:p>
        </w:tc>
        <w:tc>
          <w:tcPr>
            <w:tcW w:w="1205" w:type="dxa"/>
            <w:tcBorders>
              <w:top w:val="single" w:sz="4" w:space="0" w:color="auto"/>
              <w:left w:val="single" w:sz="4" w:space="0" w:color="auto"/>
              <w:bottom w:val="single" w:sz="4" w:space="0" w:color="auto"/>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2195264</w:t>
            </w:r>
          </w:p>
        </w:tc>
        <w:tc>
          <w:tcPr>
            <w:tcW w:w="1214" w:type="dxa"/>
            <w:tcBorders>
              <w:top w:val="single" w:sz="4" w:space="0" w:color="auto"/>
              <w:left w:val="single" w:sz="4" w:space="0" w:color="auto"/>
              <w:bottom w:val="single" w:sz="4" w:space="0" w:color="auto"/>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90047</w:t>
            </w:r>
          </w:p>
        </w:tc>
        <w:tc>
          <w:tcPr>
            <w:tcW w:w="1586" w:type="dxa"/>
            <w:tcBorders>
              <w:top w:val="single" w:sz="4" w:space="0" w:color="auto"/>
              <w:left w:val="single" w:sz="4" w:space="0" w:color="auto"/>
              <w:bottom w:val="single" w:sz="4" w:space="0" w:color="auto"/>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4,3%</w:t>
            </w:r>
          </w:p>
        </w:tc>
      </w:tr>
      <w:tr w:rsidR="008B5BAE" w:rsidTr="00CD10B1">
        <w:trPr>
          <w:trHeight w:val="700"/>
        </w:trPr>
        <w:tc>
          <w:tcPr>
            <w:tcW w:w="4536" w:type="dxa"/>
            <w:tcBorders>
              <w:top w:val="single" w:sz="4" w:space="0" w:color="auto"/>
              <w:left w:val="single" w:sz="4" w:space="0" w:color="auto"/>
              <w:bottom w:val="nil"/>
              <w:right w:val="single" w:sz="4" w:space="0" w:color="auto"/>
            </w:tcBorders>
            <w:vAlign w:val="center"/>
          </w:tcPr>
          <w:p w:rsidR="008B5BAE" w:rsidRDefault="008B5BA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Коэффициент оборачиваемости:</w:t>
            </w:r>
          </w:p>
          <w:p w:rsidR="008B5BAE" w:rsidRDefault="008B5BA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 всего капитала </w:t>
            </w:r>
          </w:p>
        </w:tc>
        <w:tc>
          <w:tcPr>
            <w:tcW w:w="1205" w:type="dxa"/>
            <w:tcBorders>
              <w:top w:val="single" w:sz="4" w:space="0" w:color="auto"/>
              <w:left w:val="single" w:sz="4" w:space="0" w:color="auto"/>
              <w:bottom w:val="nil"/>
              <w:right w:val="single" w:sz="4" w:space="0" w:color="auto"/>
            </w:tcBorders>
            <w:vAlign w:val="bottom"/>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1,445</w:t>
            </w:r>
          </w:p>
        </w:tc>
        <w:tc>
          <w:tcPr>
            <w:tcW w:w="1205" w:type="dxa"/>
            <w:tcBorders>
              <w:top w:val="single" w:sz="4" w:space="0" w:color="auto"/>
              <w:left w:val="single" w:sz="4" w:space="0" w:color="auto"/>
              <w:bottom w:val="nil"/>
              <w:right w:val="single" w:sz="4" w:space="0" w:color="auto"/>
            </w:tcBorders>
            <w:vAlign w:val="bottom"/>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1,507</w:t>
            </w:r>
          </w:p>
        </w:tc>
        <w:tc>
          <w:tcPr>
            <w:tcW w:w="1214" w:type="dxa"/>
            <w:tcBorders>
              <w:top w:val="single" w:sz="4" w:space="0" w:color="auto"/>
              <w:left w:val="single" w:sz="4" w:space="0" w:color="auto"/>
              <w:bottom w:val="nil"/>
              <w:right w:val="single" w:sz="4" w:space="0" w:color="auto"/>
            </w:tcBorders>
            <w:vAlign w:val="bottom"/>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х</w:t>
            </w:r>
          </w:p>
        </w:tc>
        <w:tc>
          <w:tcPr>
            <w:tcW w:w="1586" w:type="dxa"/>
            <w:tcBorders>
              <w:top w:val="single" w:sz="4" w:space="0" w:color="auto"/>
              <w:left w:val="single" w:sz="4" w:space="0" w:color="auto"/>
              <w:bottom w:val="nil"/>
              <w:right w:val="single" w:sz="4" w:space="0" w:color="auto"/>
            </w:tcBorders>
            <w:vAlign w:val="bottom"/>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0,062</w:t>
            </w:r>
          </w:p>
        </w:tc>
      </w:tr>
      <w:tr w:rsidR="008B5BAE" w:rsidTr="00CD10B1">
        <w:trPr>
          <w:trHeight w:val="246"/>
        </w:trPr>
        <w:tc>
          <w:tcPr>
            <w:tcW w:w="4536" w:type="dxa"/>
            <w:tcBorders>
              <w:top w:val="nil"/>
              <w:left w:val="single" w:sz="4" w:space="0" w:color="auto"/>
              <w:bottom w:val="nil"/>
              <w:right w:val="single" w:sz="4" w:space="0" w:color="auto"/>
            </w:tcBorders>
            <w:vAlign w:val="center"/>
          </w:tcPr>
          <w:p w:rsidR="008B5BAE" w:rsidRDefault="008B5BA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собственного капитала</w:t>
            </w:r>
          </w:p>
        </w:tc>
        <w:tc>
          <w:tcPr>
            <w:tcW w:w="1205"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7,205</w:t>
            </w:r>
          </w:p>
        </w:tc>
        <w:tc>
          <w:tcPr>
            <w:tcW w:w="1205"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7,512</w:t>
            </w:r>
          </w:p>
        </w:tc>
        <w:tc>
          <w:tcPr>
            <w:tcW w:w="1214"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х</w:t>
            </w:r>
          </w:p>
        </w:tc>
        <w:tc>
          <w:tcPr>
            <w:tcW w:w="1586"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0,307</w:t>
            </w:r>
          </w:p>
        </w:tc>
      </w:tr>
      <w:tr w:rsidR="008B5BAE" w:rsidTr="00CD10B1">
        <w:trPr>
          <w:trHeight w:val="222"/>
        </w:trPr>
        <w:tc>
          <w:tcPr>
            <w:tcW w:w="4536" w:type="dxa"/>
            <w:tcBorders>
              <w:top w:val="nil"/>
              <w:left w:val="single" w:sz="4" w:space="0" w:color="auto"/>
              <w:bottom w:val="nil"/>
              <w:right w:val="single" w:sz="4" w:space="0" w:color="auto"/>
            </w:tcBorders>
            <w:vAlign w:val="center"/>
          </w:tcPr>
          <w:p w:rsidR="008B5BAE" w:rsidRDefault="008B5BA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заемного и привлеченного капитала</w:t>
            </w:r>
          </w:p>
        </w:tc>
        <w:tc>
          <w:tcPr>
            <w:tcW w:w="1205"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1,808</w:t>
            </w:r>
          </w:p>
        </w:tc>
        <w:tc>
          <w:tcPr>
            <w:tcW w:w="1205"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1,885</w:t>
            </w:r>
          </w:p>
        </w:tc>
        <w:tc>
          <w:tcPr>
            <w:tcW w:w="1214"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х</w:t>
            </w:r>
          </w:p>
        </w:tc>
        <w:tc>
          <w:tcPr>
            <w:tcW w:w="1586"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0,077</w:t>
            </w:r>
          </w:p>
        </w:tc>
      </w:tr>
      <w:tr w:rsidR="008B5BAE" w:rsidTr="00CD10B1">
        <w:trPr>
          <w:trHeight w:val="196"/>
        </w:trPr>
        <w:tc>
          <w:tcPr>
            <w:tcW w:w="4536" w:type="dxa"/>
            <w:tcBorders>
              <w:top w:val="nil"/>
              <w:left w:val="single" w:sz="4" w:space="0" w:color="auto"/>
              <w:bottom w:val="nil"/>
              <w:right w:val="single" w:sz="4" w:space="0" w:color="auto"/>
            </w:tcBorders>
            <w:vAlign w:val="center"/>
          </w:tcPr>
          <w:p w:rsidR="008B5BAE" w:rsidRDefault="008B5BA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запасов</w:t>
            </w:r>
          </w:p>
        </w:tc>
        <w:tc>
          <w:tcPr>
            <w:tcW w:w="1205"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5,311</w:t>
            </w:r>
          </w:p>
        </w:tc>
        <w:tc>
          <w:tcPr>
            <w:tcW w:w="1205"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5,538</w:t>
            </w:r>
          </w:p>
        </w:tc>
        <w:tc>
          <w:tcPr>
            <w:tcW w:w="1214"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х</w:t>
            </w:r>
          </w:p>
        </w:tc>
        <w:tc>
          <w:tcPr>
            <w:tcW w:w="1586"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0,227</w:t>
            </w:r>
          </w:p>
        </w:tc>
      </w:tr>
      <w:tr w:rsidR="008B5BAE" w:rsidTr="00CD10B1">
        <w:trPr>
          <w:trHeight w:val="314"/>
        </w:trPr>
        <w:tc>
          <w:tcPr>
            <w:tcW w:w="4536" w:type="dxa"/>
            <w:tcBorders>
              <w:top w:val="nil"/>
              <w:left w:val="single" w:sz="4" w:space="0" w:color="auto"/>
              <w:bottom w:val="nil"/>
              <w:right w:val="single" w:sz="4" w:space="0" w:color="auto"/>
            </w:tcBorders>
            <w:vAlign w:val="center"/>
          </w:tcPr>
          <w:p w:rsidR="008B5BAE" w:rsidRDefault="008B5BA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оборотных активов</w:t>
            </w:r>
          </w:p>
        </w:tc>
        <w:tc>
          <w:tcPr>
            <w:tcW w:w="1205"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1,810</w:t>
            </w:r>
          </w:p>
        </w:tc>
        <w:tc>
          <w:tcPr>
            <w:tcW w:w="1205"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1,887</w:t>
            </w:r>
          </w:p>
        </w:tc>
        <w:tc>
          <w:tcPr>
            <w:tcW w:w="1214"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х</w:t>
            </w:r>
          </w:p>
        </w:tc>
        <w:tc>
          <w:tcPr>
            <w:tcW w:w="1586"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0,077</w:t>
            </w:r>
          </w:p>
        </w:tc>
      </w:tr>
      <w:tr w:rsidR="008B5BAE" w:rsidTr="00CD10B1">
        <w:trPr>
          <w:trHeight w:val="261"/>
        </w:trPr>
        <w:tc>
          <w:tcPr>
            <w:tcW w:w="4536" w:type="dxa"/>
            <w:tcBorders>
              <w:top w:val="nil"/>
              <w:left w:val="single" w:sz="4" w:space="0" w:color="auto"/>
              <w:bottom w:val="nil"/>
              <w:right w:val="single" w:sz="4" w:space="0" w:color="auto"/>
            </w:tcBorders>
            <w:vAlign w:val="center"/>
          </w:tcPr>
          <w:p w:rsidR="008B5BAE" w:rsidRDefault="008B5BA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дебиторской задолженности</w:t>
            </w:r>
          </w:p>
        </w:tc>
        <w:tc>
          <w:tcPr>
            <w:tcW w:w="1205"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3,157</w:t>
            </w:r>
          </w:p>
        </w:tc>
        <w:tc>
          <w:tcPr>
            <w:tcW w:w="1205"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3,292</w:t>
            </w:r>
          </w:p>
        </w:tc>
        <w:tc>
          <w:tcPr>
            <w:tcW w:w="1214"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х</w:t>
            </w:r>
          </w:p>
        </w:tc>
        <w:tc>
          <w:tcPr>
            <w:tcW w:w="1586"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0,135</w:t>
            </w:r>
          </w:p>
        </w:tc>
      </w:tr>
      <w:tr w:rsidR="008B5BAE" w:rsidTr="00CD10B1">
        <w:trPr>
          <w:trHeight w:val="401"/>
        </w:trPr>
        <w:tc>
          <w:tcPr>
            <w:tcW w:w="4536" w:type="dxa"/>
            <w:tcBorders>
              <w:top w:val="nil"/>
              <w:left w:val="single" w:sz="4" w:space="0" w:color="auto"/>
              <w:bottom w:val="single" w:sz="4" w:space="0" w:color="auto"/>
              <w:right w:val="single" w:sz="4" w:space="0" w:color="auto"/>
            </w:tcBorders>
            <w:vAlign w:val="center"/>
          </w:tcPr>
          <w:p w:rsidR="008B5BAE" w:rsidRDefault="008B5BA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кредиторской задолженности</w:t>
            </w:r>
          </w:p>
        </w:tc>
        <w:tc>
          <w:tcPr>
            <w:tcW w:w="1205" w:type="dxa"/>
            <w:tcBorders>
              <w:top w:val="nil"/>
              <w:left w:val="single" w:sz="4" w:space="0" w:color="auto"/>
              <w:bottom w:val="single" w:sz="4" w:space="0" w:color="auto"/>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3,550</w:t>
            </w:r>
          </w:p>
        </w:tc>
        <w:tc>
          <w:tcPr>
            <w:tcW w:w="1205" w:type="dxa"/>
            <w:tcBorders>
              <w:top w:val="nil"/>
              <w:left w:val="single" w:sz="4" w:space="0" w:color="auto"/>
              <w:bottom w:val="single" w:sz="4" w:space="0" w:color="auto"/>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3,701</w:t>
            </w:r>
          </w:p>
        </w:tc>
        <w:tc>
          <w:tcPr>
            <w:tcW w:w="1214" w:type="dxa"/>
            <w:tcBorders>
              <w:top w:val="nil"/>
              <w:left w:val="single" w:sz="4" w:space="0" w:color="auto"/>
              <w:bottom w:val="single" w:sz="4" w:space="0" w:color="auto"/>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х</w:t>
            </w:r>
          </w:p>
        </w:tc>
        <w:tc>
          <w:tcPr>
            <w:tcW w:w="1586" w:type="dxa"/>
            <w:tcBorders>
              <w:top w:val="nil"/>
              <w:left w:val="single" w:sz="4" w:space="0" w:color="auto"/>
              <w:bottom w:val="single" w:sz="4" w:space="0" w:color="auto"/>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0,151</w:t>
            </w:r>
          </w:p>
        </w:tc>
      </w:tr>
      <w:tr w:rsidR="008B5BAE" w:rsidTr="00CD10B1">
        <w:trPr>
          <w:trHeight w:val="683"/>
        </w:trPr>
        <w:tc>
          <w:tcPr>
            <w:tcW w:w="4536" w:type="dxa"/>
            <w:tcBorders>
              <w:top w:val="single" w:sz="4" w:space="0" w:color="auto"/>
              <w:left w:val="single" w:sz="4" w:space="0" w:color="auto"/>
              <w:bottom w:val="nil"/>
              <w:right w:val="single" w:sz="4" w:space="0" w:color="auto"/>
            </w:tcBorders>
            <w:vAlign w:val="center"/>
          </w:tcPr>
          <w:p w:rsidR="008B5BAE" w:rsidRDefault="008B5BA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Продолжительность одного оборота, дней: </w:t>
            </w:r>
          </w:p>
          <w:p w:rsidR="008B5BAE" w:rsidRDefault="008B5BA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всего капитала</w:t>
            </w:r>
          </w:p>
        </w:tc>
        <w:tc>
          <w:tcPr>
            <w:tcW w:w="1205" w:type="dxa"/>
            <w:tcBorders>
              <w:top w:val="single" w:sz="4" w:space="0" w:color="auto"/>
              <w:left w:val="single" w:sz="4" w:space="0" w:color="auto"/>
              <w:bottom w:val="nil"/>
              <w:right w:val="single" w:sz="4" w:space="0" w:color="auto"/>
            </w:tcBorders>
            <w:vAlign w:val="bottom"/>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253</w:t>
            </w:r>
          </w:p>
        </w:tc>
        <w:tc>
          <w:tcPr>
            <w:tcW w:w="1205" w:type="dxa"/>
            <w:tcBorders>
              <w:top w:val="single" w:sz="4" w:space="0" w:color="auto"/>
              <w:left w:val="single" w:sz="4" w:space="0" w:color="auto"/>
              <w:bottom w:val="nil"/>
              <w:right w:val="single" w:sz="4" w:space="0" w:color="auto"/>
            </w:tcBorders>
            <w:vAlign w:val="bottom"/>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242</w:t>
            </w:r>
          </w:p>
        </w:tc>
        <w:tc>
          <w:tcPr>
            <w:tcW w:w="1214" w:type="dxa"/>
            <w:tcBorders>
              <w:top w:val="single" w:sz="4" w:space="0" w:color="auto"/>
              <w:left w:val="single" w:sz="4" w:space="0" w:color="auto"/>
              <w:bottom w:val="nil"/>
              <w:right w:val="single" w:sz="4" w:space="0" w:color="auto"/>
            </w:tcBorders>
            <w:vAlign w:val="bottom"/>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color w:val="000000"/>
                <w:sz w:val="24"/>
                <w:szCs w:val="24"/>
                <w:lang w:eastAsia="en-US"/>
              </w:rPr>
              <w:t>–11</w:t>
            </w:r>
          </w:p>
        </w:tc>
        <w:tc>
          <w:tcPr>
            <w:tcW w:w="1586" w:type="dxa"/>
            <w:tcBorders>
              <w:top w:val="single" w:sz="4" w:space="0" w:color="auto"/>
              <w:left w:val="single" w:sz="4" w:space="0" w:color="auto"/>
              <w:bottom w:val="nil"/>
              <w:right w:val="single" w:sz="4" w:space="0" w:color="auto"/>
            </w:tcBorders>
            <w:vAlign w:val="bottom"/>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4,35%</w:t>
            </w:r>
          </w:p>
        </w:tc>
      </w:tr>
      <w:tr w:rsidR="008B5BAE" w:rsidTr="00CD10B1">
        <w:trPr>
          <w:trHeight w:val="407"/>
        </w:trPr>
        <w:tc>
          <w:tcPr>
            <w:tcW w:w="4536" w:type="dxa"/>
            <w:tcBorders>
              <w:top w:val="nil"/>
              <w:left w:val="single" w:sz="4" w:space="0" w:color="auto"/>
              <w:bottom w:val="nil"/>
              <w:right w:val="single" w:sz="4" w:space="0" w:color="auto"/>
            </w:tcBorders>
            <w:vAlign w:val="center"/>
          </w:tcPr>
          <w:p w:rsidR="008B5BAE" w:rsidRDefault="008B5BA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собственного капитала</w:t>
            </w:r>
          </w:p>
        </w:tc>
        <w:tc>
          <w:tcPr>
            <w:tcW w:w="1205"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51</w:t>
            </w:r>
          </w:p>
        </w:tc>
        <w:tc>
          <w:tcPr>
            <w:tcW w:w="1205"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49</w:t>
            </w:r>
          </w:p>
        </w:tc>
        <w:tc>
          <w:tcPr>
            <w:tcW w:w="1214"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color w:val="000000"/>
                <w:sz w:val="24"/>
                <w:szCs w:val="24"/>
                <w:lang w:eastAsia="en-US"/>
              </w:rPr>
              <w:t>–2</w:t>
            </w:r>
          </w:p>
        </w:tc>
        <w:tc>
          <w:tcPr>
            <w:tcW w:w="1586"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3,92%</w:t>
            </w:r>
          </w:p>
        </w:tc>
      </w:tr>
      <w:tr w:rsidR="008B5BAE" w:rsidTr="00CD10B1">
        <w:trPr>
          <w:trHeight w:val="224"/>
        </w:trPr>
        <w:tc>
          <w:tcPr>
            <w:tcW w:w="4536" w:type="dxa"/>
            <w:tcBorders>
              <w:top w:val="nil"/>
              <w:left w:val="single" w:sz="4" w:space="0" w:color="auto"/>
              <w:bottom w:val="nil"/>
              <w:right w:val="single" w:sz="4" w:space="0" w:color="auto"/>
            </w:tcBorders>
            <w:vAlign w:val="center"/>
          </w:tcPr>
          <w:p w:rsidR="008B5BAE" w:rsidRDefault="008B5BA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заемного и привлеченного капитала</w:t>
            </w:r>
          </w:p>
        </w:tc>
        <w:tc>
          <w:tcPr>
            <w:tcW w:w="1205"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202</w:t>
            </w:r>
          </w:p>
        </w:tc>
        <w:tc>
          <w:tcPr>
            <w:tcW w:w="1205"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194</w:t>
            </w:r>
          </w:p>
        </w:tc>
        <w:tc>
          <w:tcPr>
            <w:tcW w:w="1214"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color w:val="000000"/>
                <w:sz w:val="24"/>
                <w:szCs w:val="24"/>
                <w:lang w:eastAsia="en-US"/>
              </w:rPr>
              <w:t>–8</w:t>
            </w:r>
          </w:p>
        </w:tc>
        <w:tc>
          <w:tcPr>
            <w:tcW w:w="1586"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3,96%</w:t>
            </w:r>
          </w:p>
        </w:tc>
      </w:tr>
      <w:tr w:rsidR="008B5BAE" w:rsidTr="00CD10B1">
        <w:trPr>
          <w:trHeight w:val="378"/>
        </w:trPr>
        <w:tc>
          <w:tcPr>
            <w:tcW w:w="4536" w:type="dxa"/>
            <w:tcBorders>
              <w:top w:val="nil"/>
              <w:left w:val="single" w:sz="4" w:space="0" w:color="auto"/>
              <w:bottom w:val="nil"/>
              <w:right w:val="single" w:sz="4" w:space="0" w:color="auto"/>
            </w:tcBorders>
            <w:vAlign w:val="center"/>
          </w:tcPr>
          <w:p w:rsidR="008B5BAE" w:rsidRDefault="008B5BA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запасов</w:t>
            </w:r>
          </w:p>
        </w:tc>
        <w:tc>
          <w:tcPr>
            <w:tcW w:w="1205"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69</w:t>
            </w:r>
          </w:p>
        </w:tc>
        <w:tc>
          <w:tcPr>
            <w:tcW w:w="1205"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66</w:t>
            </w:r>
          </w:p>
        </w:tc>
        <w:tc>
          <w:tcPr>
            <w:tcW w:w="1214"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color w:val="000000"/>
                <w:sz w:val="24"/>
                <w:szCs w:val="24"/>
                <w:lang w:eastAsia="en-US"/>
              </w:rPr>
              <w:t>–3</w:t>
            </w:r>
          </w:p>
        </w:tc>
        <w:tc>
          <w:tcPr>
            <w:tcW w:w="1586"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4,35%</w:t>
            </w:r>
          </w:p>
        </w:tc>
      </w:tr>
      <w:tr w:rsidR="008B5BAE" w:rsidTr="00CD10B1">
        <w:trPr>
          <w:trHeight w:val="425"/>
        </w:trPr>
        <w:tc>
          <w:tcPr>
            <w:tcW w:w="4536" w:type="dxa"/>
            <w:tcBorders>
              <w:top w:val="nil"/>
              <w:left w:val="single" w:sz="4" w:space="0" w:color="auto"/>
              <w:bottom w:val="nil"/>
              <w:right w:val="single" w:sz="4" w:space="0" w:color="auto"/>
            </w:tcBorders>
            <w:vAlign w:val="center"/>
          </w:tcPr>
          <w:p w:rsidR="008B5BAE" w:rsidRDefault="008B5BA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оборотных активов</w:t>
            </w:r>
          </w:p>
        </w:tc>
        <w:tc>
          <w:tcPr>
            <w:tcW w:w="1205"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202</w:t>
            </w:r>
          </w:p>
        </w:tc>
        <w:tc>
          <w:tcPr>
            <w:tcW w:w="1205"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193</w:t>
            </w:r>
          </w:p>
        </w:tc>
        <w:tc>
          <w:tcPr>
            <w:tcW w:w="1214"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color w:val="000000"/>
                <w:sz w:val="24"/>
                <w:szCs w:val="24"/>
                <w:lang w:eastAsia="en-US"/>
              </w:rPr>
              <w:t>–9</w:t>
            </w:r>
          </w:p>
        </w:tc>
        <w:tc>
          <w:tcPr>
            <w:tcW w:w="1586"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4,46%</w:t>
            </w:r>
          </w:p>
        </w:tc>
      </w:tr>
      <w:tr w:rsidR="008B5BAE" w:rsidTr="00CD10B1">
        <w:trPr>
          <w:trHeight w:val="403"/>
        </w:trPr>
        <w:tc>
          <w:tcPr>
            <w:tcW w:w="4536" w:type="dxa"/>
            <w:tcBorders>
              <w:top w:val="nil"/>
              <w:left w:val="single" w:sz="4" w:space="0" w:color="auto"/>
              <w:bottom w:val="nil"/>
              <w:right w:val="single" w:sz="4" w:space="0" w:color="auto"/>
            </w:tcBorders>
            <w:vAlign w:val="center"/>
          </w:tcPr>
          <w:p w:rsidR="008B5BAE" w:rsidRDefault="008B5BA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дебиторской задолженности</w:t>
            </w:r>
          </w:p>
        </w:tc>
        <w:tc>
          <w:tcPr>
            <w:tcW w:w="1205"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116</w:t>
            </w:r>
          </w:p>
        </w:tc>
        <w:tc>
          <w:tcPr>
            <w:tcW w:w="1205"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111</w:t>
            </w:r>
          </w:p>
        </w:tc>
        <w:tc>
          <w:tcPr>
            <w:tcW w:w="1214"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color w:val="000000"/>
                <w:sz w:val="24"/>
                <w:szCs w:val="24"/>
                <w:lang w:eastAsia="en-US"/>
              </w:rPr>
              <w:t>–5</w:t>
            </w:r>
          </w:p>
        </w:tc>
        <w:tc>
          <w:tcPr>
            <w:tcW w:w="1586"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4,31%</w:t>
            </w:r>
          </w:p>
        </w:tc>
      </w:tr>
      <w:tr w:rsidR="008B5BAE" w:rsidTr="00CD10B1">
        <w:trPr>
          <w:trHeight w:val="424"/>
        </w:trPr>
        <w:tc>
          <w:tcPr>
            <w:tcW w:w="4536" w:type="dxa"/>
            <w:tcBorders>
              <w:top w:val="nil"/>
              <w:left w:val="single" w:sz="4" w:space="0" w:color="auto"/>
              <w:bottom w:val="single" w:sz="4" w:space="0" w:color="auto"/>
              <w:right w:val="single" w:sz="4" w:space="0" w:color="auto"/>
            </w:tcBorders>
            <w:vAlign w:val="center"/>
          </w:tcPr>
          <w:p w:rsidR="008B5BAE" w:rsidRDefault="008B5BA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кредиторской задолженности</w:t>
            </w:r>
          </w:p>
        </w:tc>
        <w:tc>
          <w:tcPr>
            <w:tcW w:w="1205" w:type="dxa"/>
            <w:tcBorders>
              <w:top w:val="nil"/>
              <w:left w:val="single" w:sz="4" w:space="0" w:color="auto"/>
              <w:bottom w:val="single" w:sz="4" w:space="0" w:color="auto"/>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103</w:t>
            </w:r>
          </w:p>
        </w:tc>
        <w:tc>
          <w:tcPr>
            <w:tcW w:w="1205" w:type="dxa"/>
            <w:tcBorders>
              <w:top w:val="nil"/>
              <w:left w:val="single" w:sz="4" w:space="0" w:color="auto"/>
              <w:bottom w:val="single" w:sz="4" w:space="0" w:color="auto"/>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99</w:t>
            </w:r>
          </w:p>
        </w:tc>
        <w:tc>
          <w:tcPr>
            <w:tcW w:w="1214" w:type="dxa"/>
            <w:tcBorders>
              <w:top w:val="nil"/>
              <w:left w:val="single" w:sz="4" w:space="0" w:color="auto"/>
              <w:bottom w:val="single" w:sz="4" w:space="0" w:color="auto"/>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color w:val="000000"/>
                <w:sz w:val="24"/>
                <w:szCs w:val="24"/>
                <w:lang w:eastAsia="en-US"/>
              </w:rPr>
              <w:t>–4</w:t>
            </w:r>
          </w:p>
        </w:tc>
        <w:tc>
          <w:tcPr>
            <w:tcW w:w="1586" w:type="dxa"/>
            <w:tcBorders>
              <w:top w:val="nil"/>
              <w:left w:val="single" w:sz="4" w:space="0" w:color="auto"/>
              <w:bottom w:val="single" w:sz="4" w:space="0" w:color="auto"/>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3,88%</w:t>
            </w:r>
          </w:p>
        </w:tc>
      </w:tr>
      <w:tr w:rsidR="008B5BAE" w:rsidTr="00CD10B1">
        <w:trPr>
          <w:trHeight w:val="416"/>
        </w:trPr>
        <w:tc>
          <w:tcPr>
            <w:tcW w:w="4536" w:type="dxa"/>
            <w:tcBorders>
              <w:top w:val="single" w:sz="4" w:space="0" w:color="auto"/>
              <w:left w:val="single" w:sz="4" w:space="0" w:color="auto"/>
              <w:bottom w:val="nil"/>
              <w:right w:val="single" w:sz="4" w:space="0" w:color="auto"/>
            </w:tcBorders>
            <w:vAlign w:val="center"/>
          </w:tcPr>
          <w:p w:rsidR="008B5BAE" w:rsidRDefault="008B5BA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Продолжительность цикла, дней:</w:t>
            </w:r>
          </w:p>
        </w:tc>
        <w:tc>
          <w:tcPr>
            <w:tcW w:w="1205" w:type="dxa"/>
            <w:tcBorders>
              <w:top w:val="single" w:sz="4" w:space="0" w:color="auto"/>
              <w:left w:val="single" w:sz="4" w:space="0" w:color="auto"/>
              <w:bottom w:val="nil"/>
              <w:right w:val="single" w:sz="4" w:space="0" w:color="auto"/>
            </w:tcBorders>
            <w:vAlign w:val="center"/>
          </w:tcPr>
          <w:p w:rsidR="008B5BAE" w:rsidRDefault="008B5BAE">
            <w:pPr>
              <w:spacing w:after="0"/>
              <w:rPr>
                <w:lang w:eastAsia="en-US"/>
              </w:rPr>
            </w:pPr>
          </w:p>
        </w:tc>
        <w:tc>
          <w:tcPr>
            <w:tcW w:w="1205" w:type="dxa"/>
            <w:tcBorders>
              <w:top w:val="single" w:sz="4" w:space="0" w:color="auto"/>
              <w:left w:val="single" w:sz="4" w:space="0" w:color="auto"/>
              <w:bottom w:val="nil"/>
              <w:right w:val="single" w:sz="4" w:space="0" w:color="auto"/>
            </w:tcBorders>
            <w:vAlign w:val="center"/>
          </w:tcPr>
          <w:p w:rsidR="008B5BAE" w:rsidRDefault="008B5BAE">
            <w:pPr>
              <w:spacing w:after="0"/>
              <w:rPr>
                <w:lang w:eastAsia="en-US"/>
              </w:rPr>
            </w:pPr>
          </w:p>
        </w:tc>
        <w:tc>
          <w:tcPr>
            <w:tcW w:w="1214" w:type="dxa"/>
            <w:tcBorders>
              <w:top w:val="single" w:sz="4" w:space="0" w:color="auto"/>
              <w:left w:val="single" w:sz="4" w:space="0" w:color="auto"/>
              <w:bottom w:val="nil"/>
              <w:right w:val="single" w:sz="4" w:space="0" w:color="auto"/>
            </w:tcBorders>
            <w:vAlign w:val="center"/>
          </w:tcPr>
          <w:p w:rsidR="008B5BAE" w:rsidRDefault="008B5BAE">
            <w:pPr>
              <w:spacing w:after="0"/>
              <w:rPr>
                <w:lang w:eastAsia="en-US"/>
              </w:rPr>
            </w:pPr>
          </w:p>
        </w:tc>
        <w:tc>
          <w:tcPr>
            <w:tcW w:w="1586" w:type="dxa"/>
            <w:tcBorders>
              <w:top w:val="single" w:sz="4" w:space="0" w:color="auto"/>
              <w:left w:val="single" w:sz="4" w:space="0" w:color="auto"/>
              <w:bottom w:val="nil"/>
              <w:right w:val="single" w:sz="4" w:space="0" w:color="auto"/>
            </w:tcBorders>
            <w:vAlign w:val="center"/>
          </w:tcPr>
          <w:p w:rsidR="008B5BAE" w:rsidRDefault="008B5BAE">
            <w:pPr>
              <w:spacing w:after="0"/>
              <w:rPr>
                <w:lang w:eastAsia="en-US"/>
              </w:rPr>
            </w:pPr>
          </w:p>
        </w:tc>
      </w:tr>
      <w:tr w:rsidR="008B5BAE" w:rsidTr="00CD10B1">
        <w:trPr>
          <w:trHeight w:val="345"/>
        </w:trPr>
        <w:tc>
          <w:tcPr>
            <w:tcW w:w="4536" w:type="dxa"/>
            <w:tcBorders>
              <w:top w:val="nil"/>
              <w:left w:val="single" w:sz="4" w:space="0" w:color="auto"/>
              <w:bottom w:val="nil"/>
              <w:right w:val="single" w:sz="4" w:space="0" w:color="auto"/>
            </w:tcBorders>
            <w:vAlign w:val="center"/>
          </w:tcPr>
          <w:p w:rsidR="008B5BAE" w:rsidRDefault="008B5BA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операционного</w:t>
            </w:r>
          </w:p>
        </w:tc>
        <w:tc>
          <w:tcPr>
            <w:tcW w:w="1205"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185</w:t>
            </w:r>
          </w:p>
        </w:tc>
        <w:tc>
          <w:tcPr>
            <w:tcW w:w="1205"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177</w:t>
            </w:r>
          </w:p>
        </w:tc>
        <w:tc>
          <w:tcPr>
            <w:tcW w:w="1214"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color w:val="000000"/>
                <w:sz w:val="24"/>
                <w:szCs w:val="24"/>
                <w:lang w:eastAsia="en-US"/>
              </w:rPr>
              <w:t>–8</w:t>
            </w:r>
          </w:p>
        </w:tc>
        <w:tc>
          <w:tcPr>
            <w:tcW w:w="1586" w:type="dxa"/>
            <w:tcBorders>
              <w:top w:val="nil"/>
              <w:left w:val="single" w:sz="4" w:space="0" w:color="auto"/>
              <w:bottom w:val="nil"/>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4,32%</w:t>
            </w:r>
          </w:p>
        </w:tc>
      </w:tr>
      <w:tr w:rsidR="008B5BAE" w:rsidTr="00CD10B1">
        <w:trPr>
          <w:trHeight w:val="427"/>
        </w:trPr>
        <w:tc>
          <w:tcPr>
            <w:tcW w:w="4536" w:type="dxa"/>
            <w:tcBorders>
              <w:top w:val="nil"/>
              <w:left w:val="single" w:sz="4" w:space="0" w:color="auto"/>
              <w:bottom w:val="single" w:sz="4" w:space="0" w:color="auto"/>
              <w:right w:val="single" w:sz="4" w:space="0" w:color="auto"/>
            </w:tcBorders>
            <w:vAlign w:val="center"/>
          </w:tcPr>
          <w:p w:rsidR="008B5BAE" w:rsidRDefault="008B5BAE">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финансового</w:t>
            </w:r>
          </w:p>
        </w:tc>
        <w:tc>
          <w:tcPr>
            <w:tcW w:w="1205" w:type="dxa"/>
            <w:tcBorders>
              <w:top w:val="nil"/>
              <w:left w:val="single" w:sz="4" w:space="0" w:color="auto"/>
              <w:bottom w:val="single" w:sz="4" w:space="0" w:color="auto"/>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82</w:t>
            </w:r>
          </w:p>
        </w:tc>
        <w:tc>
          <w:tcPr>
            <w:tcW w:w="1205" w:type="dxa"/>
            <w:tcBorders>
              <w:top w:val="nil"/>
              <w:left w:val="single" w:sz="4" w:space="0" w:color="auto"/>
              <w:bottom w:val="single" w:sz="4" w:space="0" w:color="auto"/>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78</w:t>
            </w:r>
          </w:p>
        </w:tc>
        <w:tc>
          <w:tcPr>
            <w:tcW w:w="1214" w:type="dxa"/>
            <w:tcBorders>
              <w:top w:val="nil"/>
              <w:left w:val="single" w:sz="4" w:space="0" w:color="auto"/>
              <w:bottom w:val="single" w:sz="4" w:space="0" w:color="auto"/>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color w:val="000000"/>
                <w:sz w:val="24"/>
                <w:szCs w:val="24"/>
                <w:lang w:eastAsia="en-US"/>
              </w:rPr>
              <w:t>–4</w:t>
            </w:r>
          </w:p>
        </w:tc>
        <w:tc>
          <w:tcPr>
            <w:tcW w:w="1586" w:type="dxa"/>
            <w:tcBorders>
              <w:top w:val="nil"/>
              <w:left w:val="single" w:sz="4" w:space="0" w:color="auto"/>
              <w:bottom w:val="single" w:sz="4" w:space="0" w:color="auto"/>
              <w:right w:val="single" w:sz="4" w:space="0" w:color="auto"/>
            </w:tcBorders>
            <w:vAlign w:val="center"/>
          </w:tcPr>
          <w:p w:rsidR="008B5BAE" w:rsidRDefault="008B5BAE">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4,88%</w:t>
            </w:r>
          </w:p>
        </w:tc>
      </w:tr>
    </w:tbl>
    <w:p w:rsidR="008B5BAE" w:rsidRDefault="008B5BAE" w:rsidP="00CD10B1">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p>
    <w:p w:rsidR="008B5BAE" w:rsidRDefault="008B5BAE" w:rsidP="00CD10B1">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Количество </w:t>
      </w:r>
      <w:r>
        <w:rPr>
          <w:rFonts w:ascii="Times New Roman" w:hAnsi="Times New Roman" w:cs="Times New Roman"/>
          <w:sz w:val="28"/>
          <w:szCs w:val="28"/>
        </w:rPr>
        <w:t xml:space="preserve">оборотов собственного капитала в 2014 г. с учетом резерва возросло бы до 7,512 или на 0,307 оборота, а продолжительность оборота составила бы 49 дней или на 2 дня меньше, на 3,92%. </w:t>
      </w:r>
      <w:r>
        <w:rPr>
          <w:rFonts w:ascii="Times New Roman" w:hAnsi="Times New Roman" w:cs="Times New Roman"/>
          <w:color w:val="000000"/>
          <w:sz w:val="28"/>
          <w:szCs w:val="28"/>
        </w:rPr>
        <w:t xml:space="preserve">Количество </w:t>
      </w:r>
      <w:r>
        <w:rPr>
          <w:rFonts w:ascii="Times New Roman" w:hAnsi="Times New Roman" w:cs="Times New Roman"/>
          <w:sz w:val="28"/>
          <w:szCs w:val="28"/>
        </w:rPr>
        <w:t>оборотов заемного и привлеченного капитала увеличилось бы до 1,885 или на 0,077 оборота, а продолжительность оборота уменьшилась бы до 194 дней или на 8 дней, на 3,96%.</w:t>
      </w:r>
    </w:p>
    <w:p w:rsidR="008B5BAE" w:rsidRDefault="008B5BAE" w:rsidP="00CD10B1">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Количество </w:t>
      </w:r>
      <w:r>
        <w:rPr>
          <w:rFonts w:ascii="Times New Roman" w:hAnsi="Times New Roman" w:cs="Times New Roman"/>
          <w:sz w:val="28"/>
          <w:szCs w:val="28"/>
        </w:rPr>
        <w:t xml:space="preserve">оборотов запасов возросло бы до 5,538 или на 0,227 оборота; продолжительность оборота запасов сократилась бы до 66 дней или на 3 дня (4,35%). </w:t>
      </w:r>
      <w:r>
        <w:rPr>
          <w:rFonts w:ascii="Times New Roman" w:hAnsi="Times New Roman" w:cs="Times New Roman"/>
          <w:color w:val="000000"/>
          <w:sz w:val="28"/>
          <w:szCs w:val="28"/>
        </w:rPr>
        <w:t xml:space="preserve">Количество </w:t>
      </w:r>
      <w:r>
        <w:rPr>
          <w:rFonts w:ascii="Times New Roman" w:hAnsi="Times New Roman" w:cs="Times New Roman"/>
          <w:sz w:val="28"/>
          <w:szCs w:val="28"/>
        </w:rPr>
        <w:t xml:space="preserve">оборотов оборотных активов возросло бы до 1,887 или на 0,077 оборота; продолжительность одного оборота оборотных активов стала бы короче на 9 дней или на 4,46%, и была бы равна 193 дня. </w:t>
      </w:r>
      <w:r>
        <w:rPr>
          <w:rFonts w:ascii="Times New Roman" w:hAnsi="Times New Roman" w:cs="Times New Roman"/>
          <w:color w:val="000000"/>
          <w:sz w:val="28"/>
          <w:szCs w:val="28"/>
        </w:rPr>
        <w:t xml:space="preserve">Количество </w:t>
      </w:r>
      <w:r>
        <w:rPr>
          <w:rFonts w:ascii="Times New Roman" w:hAnsi="Times New Roman" w:cs="Times New Roman"/>
          <w:sz w:val="28"/>
          <w:szCs w:val="28"/>
        </w:rPr>
        <w:t>оборотов дебиторской задолженности</w:t>
      </w:r>
      <w:r>
        <w:rPr>
          <w:rFonts w:ascii="Times New Roman" w:hAnsi="Times New Roman" w:cs="Times New Roman"/>
          <w:sz w:val="28"/>
          <w:szCs w:val="28"/>
          <w:lang w:eastAsia="en-US"/>
        </w:rPr>
        <w:t xml:space="preserve"> </w:t>
      </w:r>
      <w:r>
        <w:rPr>
          <w:rFonts w:ascii="Times New Roman" w:hAnsi="Times New Roman" w:cs="Times New Roman"/>
          <w:sz w:val="28"/>
          <w:szCs w:val="28"/>
        </w:rPr>
        <w:t>увеличилось бы до 3,292 или на 0,135 оборота; продолжительность одного оборота дебиторской задолженности</w:t>
      </w:r>
      <w:r>
        <w:rPr>
          <w:rFonts w:ascii="Times New Roman" w:hAnsi="Times New Roman" w:cs="Times New Roman"/>
          <w:sz w:val="28"/>
          <w:szCs w:val="28"/>
          <w:lang w:eastAsia="en-US"/>
        </w:rPr>
        <w:t xml:space="preserve"> </w:t>
      </w:r>
      <w:r>
        <w:rPr>
          <w:rFonts w:ascii="Times New Roman" w:hAnsi="Times New Roman" w:cs="Times New Roman"/>
          <w:sz w:val="28"/>
          <w:szCs w:val="28"/>
        </w:rPr>
        <w:t xml:space="preserve">сократилась бы до 111 дней или на 5 дней (4,31%). </w:t>
      </w:r>
      <w:r>
        <w:rPr>
          <w:rFonts w:ascii="Times New Roman" w:hAnsi="Times New Roman" w:cs="Times New Roman"/>
          <w:color w:val="000000"/>
          <w:sz w:val="28"/>
          <w:szCs w:val="28"/>
        </w:rPr>
        <w:t xml:space="preserve">Количество </w:t>
      </w:r>
      <w:r>
        <w:rPr>
          <w:rFonts w:ascii="Times New Roman" w:hAnsi="Times New Roman" w:cs="Times New Roman"/>
          <w:sz w:val="28"/>
          <w:szCs w:val="28"/>
        </w:rPr>
        <w:t>оборотов кредиторской задолженности</w:t>
      </w:r>
      <w:r>
        <w:rPr>
          <w:rFonts w:ascii="Times New Roman" w:hAnsi="Times New Roman" w:cs="Times New Roman"/>
          <w:sz w:val="28"/>
          <w:szCs w:val="28"/>
          <w:lang w:eastAsia="en-US"/>
        </w:rPr>
        <w:t xml:space="preserve"> </w:t>
      </w:r>
      <w:r>
        <w:rPr>
          <w:rFonts w:ascii="Times New Roman" w:hAnsi="Times New Roman" w:cs="Times New Roman"/>
          <w:sz w:val="28"/>
          <w:szCs w:val="28"/>
        </w:rPr>
        <w:t>возросло бы до 3,701 или на 0,151 оборота по сравнению с</w:t>
      </w:r>
      <w:r>
        <w:rPr>
          <w:rFonts w:ascii="Times New Roman" w:hAnsi="Times New Roman" w:cs="Times New Roman"/>
          <w:sz w:val="28"/>
          <w:szCs w:val="28"/>
          <w:lang w:eastAsia="en-US"/>
        </w:rPr>
        <w:t xml:space="preserve"> фактической величиной за </w:t>
      </w:r>
      <w:r>
        <w:rPr>
          <w:rFonts w:ascii="Times New Roman" w:hAnsi="Times New Roman" w:cs="Times New Roman"/>
          <w:sz w:val="28"/>
          <w:szCs w:val="28"/>
        </w:rPr>
        <w:t>2014 г.; продолжительность одного оборота кредиторской задолженности</w:t>
      </w:r>
      <w:r>
        <w:rPr>
          <w:rFonts w:ascii="Times New Roman" w:hAnsi="Times New Roman" w:cs="Times New Roman"/>
          <w:sz w:val="28"/>
          <w:szCs w:val="28"/>
          <w:lang w:eastAsia="en-US"/>
        </w:rPr>
        <w:t xml:space="preserve"> </w:t>
      </w:r>
      <w:r>
        <w:rPr>
          <w:rFonts w:ascii="Times New Roman" w:hAnsi="Times New Roman" w:cs="Times New Roman"/>
          <w:sz w:val="28"/>
          <w:szCs w:val="28"/>
        </w:rPr>
        <w:t xml:space="preserve">с учетом резерва роста </w:t>
      </w:r>
      <w:r>
        <w:rPr>
          <w:rFonts w:ascii="Times New Roman" w:hAnsi="Times New Roman" w:cs="Times New Roman"/>
          <w:sz w:val="28"/>
          <w:szCs w:val="28"/>
          <w:lang w:eastAsia="en-US"/>
        </w:rPr>
        <w:t>выручки</w:t>
      </w:r>
      <w:r>
        <w:rPr>
          <w:rFonts w:ascii="Times New Roman" w:hAnsi="Times New Roman" w:cs="Times New Roman"/>
          <w:sz w:val="28"/>
          <w:szCs w:val="28"/>
        </w:rPr>
        <w:t xml:space="preserve"> уменьшилась бы до 99 дней или на 4 дня (3,88%).</w:t>
      </w:r>
    </w:p>
    <w:p w:rsidR="008B5BAE" w:rsidRDefault="008B5BAE" w:rsidP="00CD10B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Продолжительность</w:t>
      </w:r>
      <w:r>
        <w:rPr>
          <w:rFonts w:ascii="Times New Roman" w:hAnsi="Times New Roman" w:cs="Times New Roman"/>
          <w:sz w:val="28"/>
          <w:szCs w:val="28"/>
          <w:lang w:eastAsia="en-US"/>
        </w:rPr>
        <w:t xml:space="preserve"> операционного цикла с учетом ускорения </w:t>
      </w:r>
      <w:r>
        <w:rPr>
          <w:rFonts w:ascii="Times New Roman" w:hAnsi="Times New Roman" w:cs="Times New Roman"/>
          <w:color w:val="000000"/>
          <w:sz w:val="28"/>
          <w:szCs w:val="28"/>
        </w:rPr>
        <w:t>о</w:t>
      </w:r>
      <w:r>
        <w:rPr>
          <w:rFonts w:ascii="Times New Roman" w:hAnsi="Times New Roman" w:cs="Times New Roman"/>
          <w:sz w:val="28"/>
          <w:szCs w:val="28"/>
        </w:rPr>
        <w:t>борачиваемости запасов и дебиторской задолженности сократилась бы в 2014 г. до 177 дней или на 8 дней (4,32 %), а продолжительность</w:t>
      </w:r>
      <w:r>
        <w:rPr>
          <w:rFonts w:ascii="Times New Roman" w:hAnsi="Times New Roman" w:cs="Times New Roman"/>
          <w:sz w:val="28"/>
          <w:szCs w:val="28"/>
          <w:lang w:eastAsia="en-US"/>
        </w:rPr>
        <w:t xml:space="preserve"> финансового цикла стала бы </w:t>
      </w:r>
      <w:r>
        <w:rPr>
          <w:rFonts w:ascii="Times New Roman" w:hAnsi="Times New Roman" w:cs="Times New Roman"/>
          <w:sz w:val="28"/>
          <w:szCs w:val="28"/>
        </w:rPr>
        <w:t>меньше на 4 дня или на 4,88%, и составила бы 78 дней.</w:t>
      </w:r>
    </w:p>
    <w:p w:rsidR="008B5BAE" w:rsidRDefault="008B5BAE" w:rsidP="00CD10B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С учетом резерва прибыль от продаж, как показали исследования, возросла бы до 389597 тыс. руб. В результате рентабельность продаж была бы равна 17,8 %, рентабельность проданной продукции как соотношение прибыли от продаж и полной себестоимости возросла бы до 22,5 % или на 0,9 пунктопроцента. Рентабельность совокупных активов как соотношение прибыли до налогообложения и среднегодовой стоимости всех активов повысилась бы до 10,2 % или на 0,3 пунктопроцента.</w:t>
      </w:r>
    </w:p>
    <w:p w:rsidR="008B5BAE" w:rsidRDefault="008B5BAE" w:rsidP="00CD10B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 xml:space="preserve">В расчете на среднегодового работника </w:t>
      </w:r>
      <w:r>
        <w:rPr>
          <w:rFonts w:ascii="Times New Roman" w:hAnsi="Times New Roman" w:cs="Times New Roman"/>
          <w:color w:val="000000"/>
          <w:sz w:val="28"/>
          <w:szCs w:val="28"/>
        </w:rPr>
        <w:t>ООО «Кубань-Вино»</w:t>
      </w:r>
      <w:r>
        <w:rPr>
          <w:rFonts w:ascii="Times New Roman" w:hAnsi="Times New Roman" w:cs="Times New Roman"/>
          <w:sz w:val="28"/>
          <w:szCs w:val="28"/>
          <w:lang w:eastAsia="en-US"/>
        </w:rPr>
        <w:t xml:space="preserve"> выручка </w:t>
      </w:r>
      <w:r>
        <w:rPr>
          <w:rFonts w:ascii="Times New Roman" w:hAnsi="Times New Roman" w:cs="Times New Roman"/>
          <w:sz w:val="28"/>
          <w:szCs w:val="28"/>
        </w:rPr>
        <w:t xml:space="preserve">с учетом резерва возросла бы до 3885423 руб. или на 159375 руб. (4,3 %); на 100 руб. расходов на оплату труда без отчислений на социальные нужды </w:t>
      </w:r>
      <w:r>
        <w:rPr>
          <w:rFonts w:ascii="Times New Roman" w:hAnsi="Times New Roman" w:cs="Times New Roman"/>
          <w:sz w:val="28"/>
          <w:szCs w:val="28"/>
          <w:lang w:eastAsia="en-US"/>
        </w:rPr>
        <w:t xml:space="preserve">выручка </w:t>
      </w:r>
      <w:r>
        <w:rPr>
          <w:rFonts w:ascii="Times New Roman" w:hAnsi="Times New Roman" w:cs="Times New Roman"/>
          <w:sz w:val="28"/>
          <w:szCs w:val="28"/>
        </w:rPr>
        <w:t>увеличилась бы до 1121,8 руб. или на 46 руб. (4,3%). Прибыль до налогообложения возросла бы до 262683 руб. в расчете на среднегодового работника или на 8509 руб., на 3,35 % по сравнению с</w:t>
      </w:r>
      <w:r>
        <w:rPr>
          <w:rFonts w:ascii="Times New Roman" w:hAnsi="Times New Roman" w:cs="Times New Roman"/>
          <w:sz w:val="28"/>
          <w:szCs w:val="28"/>
          <w:lang w:eastAsia="en-US"/>
        </w:rPr>
        <w:t xml:space="preserve"> фактической </w:t>
      </w:r>
      <w:r>
        <w:rPr>
          <w:rFonts w:ascii="Times New Roman" w:hAnsi="Times New Roman" w:cs="Times New Roman"/>
          <w:sz w:val="28"/>
          <w:szCs w:val="28"/>
        </w:rPr>
        <w:t xml:space="preserve">величиной в 2014 г. На 100 руб. производственных затрат прибыль увеличилась бы до 8,3 руб. или на 0,3 руб. (3,75%). В расчете на 100 руб. расходов на оплату труда без отчислений на социальные нужды прибыль увеличилась бы до 75,8 руб. или на 2,4 руб. (3,27%). Чистая прибыль возросла бы до 116447 тыс. руб. или на 3772 тыс. руб. (или на 3,35 %). В результате нераспределенная прибыль на конец 2014 г. возросла бы на 3772 тыс. руб. и достигла бы 302320 тыс. руб. или на 1,26% больше </w:t>
      </w:r>
      <w:r>
        <w:rPr>
          <w:rFonts w:ascii="Times New Roman" w:hAnsi="Times New Roman" w:cs="Times New Roman"/>
          <w:sz w:val="28"/>
          <w:szCs w:val="28"/>
          <w:lang w:eastAsia="en-US"/>
        </w:rPr>
        <w:t xml:space="preserve">фактической </w:t>
      </w:r>
      <w:r>
        <w:rPr>
          <w:rFonts w:ascii="Times New Roman" w:hAnsi="Times New Roman" w:cs="Times New Roman"/>
          <w:sz w:val="28"/>
          <w:szCs w:val="28"/>
        </w:rPr>
        <w:t xml:space="preserve">величины; собственный капитал возрос бы до 352330тыс. руб. или на 1,08 %; общая величина всех источников финансирования и задолженности достигла бы 1724652 тыс. руб. или больше </w:t>
      </w:r>
      <w:r>
        <w:rPr>
          <w:rFonts w:ascii="Times New Roman" w:hAnsi="Times New Roman" w:cs="Times New Roman"/>
          <w:sz w:val="28"/>
          <w:szCs w:val="28"/>
          <w:lang w:eastAsia="en-US"/>
        </w:rPr>
        <w:t xml:space="preserve">фактической на 0,22%. </w:t>
      </w:r>
      <w:r>
        <w:rPr>
          <w:rFonts w:ascii="Times New Roman" w:hAnsi="Times New Roman" w:cs="Times New Roman"/>
          <w:sz w:val="28"/>
          <w:szCs w:val="28"/>
        </w:rPr>
        <w:t xml:space="preserve">Коэффициент финансовой независимости </w:t>
      </w:r>
      <w:r>
        <w:rPr>
          <w:rFonts w:ascii="Times New Roman" w:hAnsi="Times New Roman" w:cs="Times New Roman"/>
          <w:color w:val="000000"/>
          <w:sz w:val="28"/>
          <w:szCs w:val="28"/>
        </w:rPr>
        <w:t xml:space="preserve">повысился бы до 0,2043 с 0,2006 на конец </w:t>
      </w:r>
      <w:r>
        <w:rPr>
          <w:rFonts w:ascii="Times New Roman" w:hAnsi="Times New Roman" w:cs="Times New Roman"/>
          <w:sz w:val="28"/>
          <w:szCs w:val="28"/>
        </w:rPr>
        <w:t>2014г.</w:t>
      </w:r>
    </w:p>
    <w:p w:rsidR="008B5BAE" w:rsidRDefault="008B5BAE" w:rsidP="00CD10B1">
      <w:pPr>
        <w:widowControl w:val="0"/>
        <w:autoSpaceDE w:val="0"/>
        <w:autoSpaceDN w:val="0"/>
        <w:adjustRightInd w:val="0"/>
        <w:spacing w:after="0" w:line="312"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Резервом повышения эффективности хозяйственной деятельности, укрепления финансового состояния </w:t>
      </w:r>
      <w:r>
        <w:rPr>
          <w:rFonts w:ascii="Times New Roman" w:hAnsi="Times New Roman" w:cs="Times New Roman"/>
          <w:color w:val="000000"/>
          <w:sz w:val="28"/>
          <w:szCs w:val="28"/>
        </w:rPr>
        <w:t>организации является также</w:t>
      </w:r>
      <w:r>
        <w:rPr>
          <w:rFonts w:ascii="Times New Roman" w:hAnsi="Times New Roman" w:cs="Times New Roman"/>
          <w:sz w:val="28"/>
          <w:szCs w:val="28"/>
        </w:rPr>
        <w:t xml:space="preserve"> уменьшение штрафных санкций за несвоевременное погашение обязательных платежей, за загрязнение окружающей среды вредными отходами производства.</w:t>
      </w:r>
    </w:p>
    <w:p w:rsidR="008B5BAE" w:rsidRDefault="008B5BAE" w:rsidP="00CD10B1">
      <w:pPr>
        <w:widowControl w:val="0"/>
        <w:autoSpaceDE w:val="0"/>
        <w:autoSpaceDN w:val="0"/>
        <w:adjustRightInd w:val="0"/>
        <w:spacing w:after="0" w:line="312" w:lineRule="auto"/>
        <w:ind w:firstLine="709"/>
        <w:jc w:val="both"/>
        <w:rPr>
          <w:rFonts w:cs="Times New Roman"/>
        </w:rPr>
      </w:pPr>
      <w:r>
        <w:rPr>
          <w:rFonts w:ascii="Times New Roman" w:hAnsi="Times New Roman" w:cs="Times New Roman"/>
          <w:sz w:val="28"/>
          <w:szCs w:val="28"/>
        </w:rPr>
        <w:t xml:space="preserve">Таким образом, использование резервов увеличения </w:t>
      </w:r>
      <w:r>
        <w:rPr>
          <w:rFonts w:ascii="Times New Roman" w:hAnsi="Times New Roman" w:cs="Times New Roman"/>
          <w:sz w:val="28"/>
          <w:szCs w:val="28"/>
          <w:lang w:eastAsia="en-US"/>
        </w:rPr>
        <w:t xml:space="preserve">выручки, </w:t>
      </w:r>
      <w:r>
        <w:rPr>
          <w:rFonts w:ascii="Times New Roman" w:hAnsi="Times New Roman" w:cs="Times New Roman"/>
          <w:sz w:val="28"/>
          <w:szCs w:val="28"/>
        </w:rPr>
        <w:t xml:space="preserve">прибыли от продаж, прибыли до налогообложения и чистой прибыли на основе ускорения оборачиваемости капитала позволило бы повысить эффективность ресурсов, укрепить финансовое состояние </w:t>
      </w:r>
      <w:r>
        <w:rPr>
          <w:rFonts w:ascii="Times New Roman" w:hAnsi="Times New Roman" w:cs="Times New Roman"/>
          <w:color w:val="000000"/>
          <w:sz w:val="28"/>
          <w:szCs w:val="28"/>
        </w:rPr>
        <w:t>ООО «Кубань-Вино».</w:t>
      </w:r>
    </w:p>
    <w:p w:rsidR="008B5BAE" w:rsidRPr="00ED7EEE" w:rsidRDefault="008B5BAE" w:rsidP="00526E1F">
      <w:pPr>
        <w:tabs>
          <w:tab w:val="left" w:pos="-540"/>
        </w:tabs>
        <w:spacing w:after="0" w:line="240" w:lineRule="auto"/>
        <w:ind w:right="-142"/>
        <w:jc w:val="center"/>
        <w:rPr>
          <w:rFonts w:ascii="Times New Roman" w:hAnsi="Times New Roman" w:cs="Times New Roman"/>
          <w:b/>
          <w:sz w:val="24"/>
          <w:szCs w:val="28"/>
        </w:rPr>
      </w:pPr>
      <w:r w:rsidRPr="00ED7EEE">
        <w:rPr>
          <w:rFonts w:ascii="Times New Roman" w:hAnsi="Times New Roman" w:cs="Times New Roman"/>
          <w:b/>
          <w:sz w:val="24"/>
          <w:szCs w:val="28"/>
        </w:rPr>
        <w:t>Литература</w:t>
      </w:r>
    </w:p>
    <w:p w:rsidR="008B5BAE" w:rsidRPr="00526E1F" w:rsidRDefault="008B5BAE" w:rsidP="00526E1F">
      <w:pPr>
        <w:tabs>
          <w:tab w:val="left" w:pos="-540"/>
        </w:tabs>
        <w:spacing w:after="0" w:line="240" w:lineRule="auto"/>
        <w:ind w:right="-142"/>
        <w:jc w:val="center"/>
        <w:rPr>
          <w:rFonts w:ascii="Times New Roman" w:hAnsi="Times New Roman" w:cs="Times New Roman"/>
          <w:sz w:val="24"/>
          <w:szCs w:val="28"/>
        </w:rPr>
      </w:pPr>
      <w:r w:rsidRPr="00526E1F">
        <w:rPr>
          <w:rFonts w:ascii="Times New Roman" w:hAnsi="Times New Roman" w:cs="Times New Roman"/>
          <w:sz w:val="24"/>
          <w:szCs w:val="28"/>
        </w:rPr>
        <w:t xml:space="preserve"> </w:t>
      </w:r>
    </w:p>
    <w:p w:rsidR="008B5BAE" w:rsidRPr="00526E1F" w:rsidRDefault="008B5BAE" w:rsidP="00526E1F">
      <w:pPr>
        <w:numPr>
          <w:ilvl w:val="0"/>
          <w:numId w:val="1"/>
        </w:numPr>
        <w:spacing w:after="0" w:line="240" w:lineRule="auto"/>
        <w:ind w:left="0" w:right="-142" w:firstLine="709"/>
        <w:jc w:val="both"/>
        <w:rPr>
          <w:rFonts w:ascii="Times New Roman" w:hAnsi="Times New Roman" w:cs="Times New Roman"/>
          <w:sz w:val="24"/>
          <w:szCs w:val="28"/>
        </w:rPr>
      </w:pPr>
      <w:r>
        <w:rPr>
          <w:rFonts w:ascii="Times New Roman" w:hAnsi="Times New Roman" w:cs="Times New Roman"/>
          <w:sz w:val="24"/>
          <w:szCs w:val="28"/>
        </w:rPr>
        <w:t>Донц</w:t>
      </w:r>
      <w:r w:rsidRPr="00526E1F">
        <w:rPr>
          <w:rFonts w:ascii="Times New Roman" w:hAnsi="Times New Roman" w:cs="Times New Roman"/>
          <w:sz w:val="24"/>
          <w:szCs w:val="28"/>
        </w:rPr>
        <w:t xml:space="preserve">ова, </w:t>
      </w:r>
      <w:r>
        <w:rPr>
          <w:rFonts w:ascii="Times New Roman" w:hAnsi="Times New Roman" w:cs="Times New Roman"/>
          <w:sz w:val="24"/>
          <w:szCs w:val="28"/>
        </w:rPr>
        <w:t>Л</w:t>
      </w:r>
      <w:r w:rsidRPr="00526E1F">
        <w:rPr>
          <w:rFonts w:ascii="Times New Roman" w:hAnsi="Times New Roman" w:cs="Times New Roman"/>
          <w:sz w:val="24"/>
          <w:szCs w:val="28"/>
        </w:rPr>
        <w:t xml:space="preserve">. В. </w:t>
      </w:r>
      <w:r>
        <w:rPr>
          <w:rFonts w:ascii="Times New Roman" w:hAnsi="Times New Roman" w:cs="Times New Roman"/>
          <w:sz w:val="24"/>
          <w:szCs w:val="28"/>
        </w:rPr>
        <w:t>А</w:t>
      </w:r>
      <w:r w:rsidRPr="00526E1F">
        <w:rPr>
          <w:rFonts w:ascii="Times New Roman" w:hAnsi="Times New Roman" w:cs="Times New Roman"/>
          <w:sz w:val="24"/>
          <w:szCs w:val="28"/>
        </w:rPr>
        <w:t xml:space="preserve">нализ </w:t>
      </w:r>
      <w:r>
        <w:rPr>
          <w:rFonts w:ascii="Times New Roman" w:hAnsi="Times New Roman" w:cs="Times New Roman"/>
          <w:sz w:val="28"/>
          <w:szCs w:val="28"/>
        </w:rPr>
        <w:t>финансовой отчетности</w:t>
      </w:r>
      <w:r w:rsidRPr="00526E1F">
        <w:rPr>
          <w:rFonts w:ascii="Times New Roman" w:hAnsi="Times New Roman" w:cs="Times New Roman"/>
          <w:sz w:val="24"/>
          <w:szCs w:val="28"/>
        </w:rPr>
        <w:t xml:space="preserve">: учеб. для вузов / </w:t>
      </w:r>
      <w:r>
        <w:rPr>
          <w:rFonts w:ascii="Times New Roman" w:hAnsi="Times New Roman" w:cs="Times New Roman"/>
          <w:sz w:val="24"/>
          <w:szCs w:val="28"/>
        </w:rPr>
        <w:t>Л</w:t>
      </w:r>
      <w:r w:rsidRPr="00526E1F">
        <w:rPr>
          <w:rFonts w:ascii="Times New Roman" w:hAnsi="Times New Roman" w:cs="Times New Roman"/>
          <w:sz w:val="24"/>
          <w:szCs w:val="28"/>
        </w:rPr>
        <w:t xml:space="preserve">. В. </w:t>
      </w:r>
      <w:r>
        <w:rPr>
          <w:rFonts w:ascii="Times New Roman" w:hAnsi="Times New Roman" w:cs="Times New Roman"/>
          <w:sz w:val="24"/>
          <w:szCs w:val="28"/>
        </w:rPr>
        <w:t>Донц</w:t>
      </w:r>
      <w:r w:rsidRPr="00526E1F">
        <w:rPr>
          <w:rFonts w:ascii="Times New Roman" w:hAnsi="Times New Roman" w:cs="Times New Roman"/>
          <w:sz w:val="24"/>
          <w:szCs w:val="28"/>
        </w:rPr>
        <w:t>ова</w:t>
      </w:r>
      <w:r>
        <w:rPr>
          <w:rFonts w:ascii="Times New Roman" w:hAnsi="Times New Roman" w:cs="Times New Roman"/>
          <w:sz w:val="24"/>
          <w:szCs w:val="28"/>
        </w:rPr>
        <w:t xml:space="preserve">, Н. А. Никифорова. </w:t>
      </w:r>
      <w:r w:rsidRPr="00526E1F">
        <w:rPr>
          <w:rFonts w:ascii="Times New Roman" w:hAnsi="Times New Roman" w:cs="Times New Roman"/>
          <w:sz w:val="24"/>
          <w:szCs w:val="28"/>
        </w:rPr>
        <w:t xml:space="preserve">- </w:t>
      </w:r>
      <w:r>
        <w:rPr>
          <w:rFonts w:ascii="Times New Roman" w:hAnsi="Times New Roman" w:cs="Times New Roman"/>
          <w:sz w:val="24"/>
          <w:szCs w:val="28"/>
        </w:rPr>
        <w:t>8</w:t>
      </w:r>
      <w:r w:rsidRPr="00526E1F">
        <w:rPr>
          <w:rFonts w:ascii="Times New Roman" w:hAnsi="Times New Roman" w:cs="Times New Roman"/>
          <w:sz w:val="24"/>
          <w:szCs w:val="28"/>
        </w:rPr>
        <w:t xml:space="preserve">-е изд., </w:t>
      </w:r>
      <w:r>
        <w:rPr>
          <w:rFonts w:ascii="Times New Roman" w:hAnsi="Times New Roman" w:cs="Times New Roman"/>
          <w:sz w:val="24"/>
          <w:szCs w:val="28"/>
        </w:rPr>
        <w:t>перераб. и доп</w:t>
      </w:r>
      <w:r w:rsidRPr="00526E1F">
        <w:rPr>
          <w:rFonts w:ascii="Times New Roman" w:hAnsi="Times New Roman" w:cs="Times New Roman"/>
          <w:sz w:val="24"/>
          <w:szCs w:val="28"/>
        </w:rPr>
        <w:t xml:space="preserve">. – М.: </w:t>
      </w:r>
      <w:r>
        <w:rPr>
          <w:rFonts w:ascii="Times New Roman" w:hAnsi="Times New Roman" w:cs="Times New Roman"/>
          <w:sz w:val="24"/>
          <w:szCs w:val="28"/>
        </w:rPr>
        <w:t>Дело и сервис</w:t>
      </w:r>
      <w:r w:rsidRPr="00526E1F">
        <w:rPr>
          <w:rFonts w:ascii="Times New Roman" w:hAnsi="Times New Roman" w:cs="Times New Roman"/>
          <w:sz w:val="24"/>
          <w:szCs w:val="28"/>
        </w:rPr>
        <w:t>, 201</w:t>
      </w:r>
      <w:r>
        <w:rPr>
          <w:rFonts w:ascii="Times New Roman" w:hAnsi="Times New Roman" w:cs="Times New Roman"/>
          <w:sz w:val="24"/>
          <w:szCs w:val="28"/>
        </w:rPr>
        <w:t>4</w:t>
      </w:r>
      <w:r w:rsidRPr="00526E1F">
        <w:rPr>
          <w:rFonts w:ascii="Times New Roman" w:hAnsi="Times New Roman" w:cs="Times New Roman"/>
          <w:sz w:val="24"/>
          <w:szCs w:val="28"/>
        </w:rPr>
        <w:t xml:space="preserve">. – </w:t>
      </w:r>
      <w:r>
        <w:rPr>
          <w:rFonts w:ascii="Times New Roman" w:hAnsi="Times New Roman" w:cs="Times New Roman"/>
          <w:sz w:val="24"/>
          <w:szCs w:val="28"/>
        </w:rPr>
        <w:t>412</w:t>
      </w:r>
      <w:r w:rsidRPr="00526E1F">
        <w:rPr>
          <w:rFonts w:ascii="Times New Roman" w:hAnsi="Times New Roman" w:cs="Times New Roman"/>
          <w:sz w:val="24"/>
          <w:szCs w:val="28"/>
        </w:rPr>
        <w:t xml:space="preserve">с. </w:t>
      </w:r>
    </w:p>
    <w:p w:rsidR="008B5BAE" w:rsidRDefault="008B5BAE" w:rsidP="00004264">
      <w:pPr>
        <w:numPr>
          <w:ilvl w:val="0"/>
          <w:numId w:val="1"/>
        </w:numPr>
        <w:spacing w:after="0" w:line="240" w:lineRule="auto"/>
        <w:ind w:left="0" w:right="-142" w:firstLine="709"/>
        <w:jc w:val="both"/>
        <w:rPr>
          <w:rFonts w:ascii="Times New Roman" w:hAnsi="Times New Roman" w:cs="Times New Roman"/>
          <w:sz w:val="24"/>
          <w:szCs w:val="28"/>
        </w:rPr>
      </w:pPr>
      <w:r>
        <w:rPr>
          <w:rFonts w:ascii="Times New Roman" w:hAnsi="Times New Roman" w:cs="Times New Roman"/>
          <w:sz w:val="24"/>
          <w:szCs w:val="28"/>
        </w:rPr>
        <w:t>Ефимова, О. Б. Финансовый анализ /</w:t>
      </w:r>
      <w:r w:rsidRPr="00004264">
        <w:rPr>
          <w:rFonts w:ascii="Times New Roman" w:hAnsi="Times New Roman" w:cs="Times New Roman"/>
          <w:sz w:val="24"/>
          <w:szCs w:val="28"/>
        </w:rPr>
        <w:t xml:space="preserve"> </w:t>
      </w:r>
      <w:r>
        <w:rPr>
          <w:rFonts w:ascii="Times New Roman" w:hAnsi="Times New Roman" w:cs="Times New Roman"/>
          <w:sz w:val="24"/>
          <w:szCs w:val="28"/>
        </w:rPr>
        <w:t>О. Б. Ефимова. – М.:</w:t>
      </w:r>
      <w:r w:rsidRPr="00004264">
        <w:rPr>
          <w:rFonts w:ascii="Times New Roman" w:hAnsi="Times New Roman" w:cs="Times New Roman"/>
          <w:sz w:val="24"/>
          <w:szCs w:val="28"/>
        </w:rPr>
        <w:t xml:space="preserve"> </w:t>
      </w:r>
      <w:r>
        <w:rPr>
          <w:rFonts w:ascii="Times New Roman" w:hAnsi="Times New Roman" w:cs="Times New Roman"/>
          <w:sz w:val="24"/>
          <w:szCs w:val="28"/>
        </w:rPr>
        <w:t>Б</w:t>
      </w:r>
      <w:r w:rsidRPr="00004264">
        <w:rPr>
          <w:rFonts w:ascii="Times New Roman" w:hAnsi="Times New Roman" w:cs="Times New Roman"/>
          <w:sz w:val="24"/>
          <w:szCs w:val="28"/>
        </w:rPr>
        <w:t>ухгалтерск</w:t>
      </w:r>
      <w:r>
        <w:rPr>
          <w:rFonts w:ascii="Times New Roman" w:hAnsi="Times New Roman" w:cs="Times New Roman"/>
          <w:sz w:val="24"/>
          <w:szCs w:val="28"/>
        </w:rPr>
        <w:t xml:space="preserve">ий учет, 2012. – 320 с. </w:t>
      </w:r>
    </w:p>
    <w:p w:rsidR="008B5BAE" w:rsidRDefault="008B5BAE" w:rsidP="00526E1F">
      <w:pPr>
        <w:numPr>
          <w:ilvl w:val="0"/>
          <w:numId w:val="1"/>
        </w:numPr>
        <w:spacing w:after="0" w:line="240" w:lineRule="auto"/>
        <w:ind w:left="0" w:right="-142" w:firstLine="709"/>
        <w:jc w:val="both"/>
        <w:rPr>
          <w:rFonts w:ascii="Times New Roman" w:hAnsi="Times New Roman" w:cs="Times New Roman"/>
          <w:sz w:val="24"/>
          <w:szCs w:val="28"/>
        </w:rPr>
      </w:pPr>
      <w:r>
        <w:rPr>
          <w:rFonts w:ascii="Times New Roman" w:hAnsi="Times New Roman" w:cs="Times New Roman"/>
          <w:sz w:val="24"/>
          <w:szCs w:val="28"/>
        </w:rPr>
        <w:t>Вахрушина, М. А. Управленческий а</w:t>
      </w:r>
      <w:r w:rsidRPr="00004264">
        <w:rPr>
          <w:rFonts w:ascii="Times New Roman" w:hAnsi="Times New Roman" w:cs="Times New Roman"/>
          <w:sz w:val="24"/>
          <w:szCs w:val="28"/>
        </w:rPr>
        <w:t>нализ</w:t>
      </w:r>
      <w:r>
        <w:rPr>
          <w:rFonts w:ascii="Times New Roman" w:hAnsi="Times New Roman" w:cs="Times New Roman"/>
          <w:sz w:val="24"/>
          <w:szCs w:val="28"/>
        </w:rPr>
        <w:t>:</w:t>
      </w:r>
      <w:r w:rsidRPr="00004264">
        <w:rPr>
          <w:rFonts w:ascii="Times New Roman" w:hAnsi="Times New Roman" w:cs="Times New Roman"/>
          <w:sz w:val="24"/>
          <w:szCs w:val="28"/>
        </w:rPr>
        <w:t xml:space="preserve"> </w:t>
      </w:r>
      <w:r>
        <w:rPr>
          <w:rFonts w:ascii="Times New Roman" w:hAnsi="Times New Roman" w:cs="Times New Roman"/>
          <w:sz w:val="24"/>
          <w:szCs w:val="28"/>
        </w:rPr>
        <w:t>учебно-</w:t>
      </w:r>
      <w:r w:rsidRPr="00004264">
        <w:rPr>
          <w:rFonts w:ascii="Times New Roman" w:hAnsi="Times New Roman" w:cs="Times New Roman"/>
          <w:sz w:val="24"/>
          <w:szCs w:val="28"/>
        </w:rPr>
        <w:t>практик</w:t>
      </w:r>
      <w:r>
        <w:rPr>
          <w:rFonts w:ascii="Times New Roman" w:hAnsi="Times New Roman" w:cs="Times New Roman"/>
          <w:sz w:val="24"/>
          <w:szCs w:val="28"/>
        </w:rPr>
        <w:t>. курс / М. А. Вахрушина.</w:t>
      </w:r>
      <w:r w:rsidRPr="00004264">
        <w:rPr>
          <w:rFonts w:ascii="Times New Roman" w:hAnsi="Times New Roman" w:cs="Times New Roman"/>
          <w:sz w:val="24"/>
          <w:szCs w:val="28"/>
        </w:rPr>
        <w:t xml:space="preserve"> </w:t>
      </w:r>
      <w:r>
        <w:rPr>
          <w:rFonts w:ascii="Times New Roman" w:hAnsi="Times New Roman" w:cs="Times New Roman"/>
          <w:sz w:val="24"/>
          <w:szCs w:val="28"/>
        </w:rPr>
        <w:t>- 3</w:t>
      </w:r>
      <w:r w:rsidRPr="00004264">
        <w:rPr>
          <w:rFonts w:ascii="Times New Roman" w:hAnsi="Times New Roman" w:cs="Times New Roman"/>
          <w:sz w:val="24"/>
          <w:szCs w:val="28"/>
        </w:rPr>
        <w:t xml:space="preserve">-е изд., </w:t>
      </w:r>
      <w:r>
        <w:rPr>
          <w:rFonts w:ascii="Times New Roman" w:hAnsi="Times New Roman" w:cs="Times New Roman"/>
          <w:sz w:val="24"/>
          <w:szCs w:val="28"/>
        </w:rPr>
        <w:t>испр</w:t>
      </w:r>
      <w:r w:rsidRPr="00004264">
        <w:rPr>
          <w:rFonts w:ascii="Times New Roman" w:hAnsi="Times New Roman" w:cs="Times New Roman"/>
          <w:sz w:val="24"/>
          <w:szCs w:val="28"/>
        </w:rPr>
        <w:t xml:space="preserve">. </w:t>
      </w:r>
      <w:r>
        <w:rPr>
          <w:rFonts w:ascii="Times New Roman" w:hAnsi="Times New Roman" w:cs="Times New Roman"/>
          <w:sz w:val="24"/>
          <w:szCs w:val="28"/>
        </w:rPr>
        <w:t xml:space="preserve">– </w:t>
      </w:r>
      <w:r w:rsidRPr="00004264">
        <w:rPr>
          <w:rFonts w:ascii="Times New Roman" w:hAnsi="Times New Roman" w:cs="Times New Roman"/>
          <w:sz w:val="24"/>
          <w:szCs w:val="28"/>
        </w:rPr>
        <w:t xml:space="preserve">М.: </w:t>
      </w:r>
      <w:r>
        <w:rPr>
          <w:rFonts w:ascii="Times New Roman" w:hAnsi="Times New Roman" w:cs="Times New Roman"/>
          <w:sz w:val="24"/>
          <w:szCs w:val="28"/>
        </w:rPr>
        <w:t>Омега-Л</w:t>
      </w:r>
      <w:r w:rsidRPr="00004264">
        <w:rPr>
          <w:rFonts w:ascii="Times New Roman" w:hAnsi="Times New Roman" w:cs="Times New Roman"/>
          <w:sz w:val="24"/>
          <w:szCs w:val="28"/>
        </w:rPr>
        <w:t>, 20</w:t>
      </w:r>
      <w:r>
        <w:rPr>
          <w:rFonts w:ascii="Times New Roman" w:hAnsi="Times New Roman" w:cs="Times New Roman"/>
          <w:sz w:val="24"/>
          <w:szCs w:val="28"/>
        </w:rPr>
        <w:t>06</w:t>
      </w:r>
      <w:r w:rsidRPr="00004264">
        <w:rPr>
          <w:rFonts w:ascii="Times New Roman" w:hAnsi="Times New Roman" w:cs="Times New Roman"/>
          <w:sz w:val="24"/>
          <w:szCs w:val="28"/>
        </w:rPr>
        <w:t xml:space="preserve">. – </w:t>
      </w:r>
      <w:r>
        <w:rPr>
          <w:rFonts w:ascii="Times New Roman" w:hAnsi="Times New Roman" w:cs="Times New Roman"/>
          <w:sz w:val="24"/>
          <w:szCs w:val="28"/>
        </w:rPr>
        <w:t>432</w:t>
      </w:r>
      <w:r w:rsidRPr="00004264">
        <w:rPr>
          <w:rFonts w:ascii="Times New Roman" w:hAnsi="Times New Roman" w:cs="Times New Roman"/>
          <w:sz w:val="24"/>
          <w:szCs w:val="28"/>
        </w:rPr>
        <w:t xml:space="preserve"> с.</w:t>
      </w:r>
    </w:p>
    <w:p w:rsidR="008B5BAE" w:rsidRDefault="008B5BAE" w:rsidP="00526E1F">
      <w:pPr>
        <w:widowControl w:val="0"/>
        <w:numPr>
          <w:ilvl w:val="0"/>
          <w:numId w:val="1"/>
        </w:numPr>
        <w:shd w:val="clear" w:color="auto" w:fill="FFFFFF"/>
        <w:tabs>
          <w:tab w:val="left" w:pos="-1260"/>
          <w:tab w:val="left" w:pos="-900"/>
          <w:tab w:val="left" w:pos="-720"/>
          <w:tab w:val="left" w:pos="0"/>
        </w:tabs>
        <w:suppressAutoHyphens w:val="0"/>
        <w:autoSpaceDE w:val="0"/>
        <w:autoSpaceDN w:val="0"/>
        <w:adjustRightInd w:val="0"/>
        <w:spacing w:after="0" w:line="240" w:lineRule="auto"/>
        <w:ind w:left="0" w:right="-142" w:firstLine="709"/>
        <w:jc w:val="both"/>
        <w:rPr>
          <w:rFonts w:ascii="Times New Roman" w:hAnsi="Times New Roman" w:cs="Times New Roman"/>
          <w:sz w:val="24"/>
          <w:szCs w:val="28"/>
        </w:rPr>
      </w:pPr>
      <w:r w:rsidRPr="00526E1F">
        <w:rPr>
          <w:rFonts w:ascii="Times New Roman" w:hAnsi="Times New Roman" w:cs="Times New Roman"/>
          <w:sz w:val="24"/>
          <w:szCs w:val="28"/>
        </w:rPr>
        <w:t>Комплексный экономический анализ: учеб. методическое пособие /Н. К. Васильева, А. Г. Прудников, А. И. Трубилин и др./; под общ. ред. Н. К. Васильевой, А. Г. Прудникова. – Краснодар: КубГАУ, 2011. – 121с.</w:t>
      </w:r>
    </w:p>
    <w:p w:rsidR="008B5BAE" w:rsidRPr="00526E1F" w:rsidRDefault="008B5BAE" w:rsidP="00526E1F">
      <w:pPr>
        <w:widowControl w:val="0"/>
        <w:numPr>
          <w:ilvl w:val="0"/>
          <w:numId w:val="1"/>
        </w:numPr>
        <w:shd w:val="clear" w:color="auto" w:fill="FFFFFF"/>
        <w:tabs>
          <w:tab w:val="left" w:pos="-1260"/>
          <w:tab w:val="left" w:pos="-900"/>
          <w:tab w:val="left" w:pos="-720"/>
          <w:tab w:val="left" w:pos="0"/>
        </w:tabs>
        <w:suppressAutoHyphens w:val="0"/>
        <w:autoSpaceDE w:val="0"/>
        <w:autoSpaceDN w:val="0"/>
        <w:adjustRightInd w:val="0"/>
        <w:spacing w:after="0" w:line="240" w:lineRule="auto"/>
        <w:ind w:left="0" w:right="-142" w:firstLine="709"/>
        <w:jc w:val="both"/>
        <w:rPr>
          <w:rFonts w:ascii="Times New Roman" w:hAnsi="Times New Roman" w:cs="Times New Roman"/>
          <w:sz w:val="24"/>
          <w:szCs w:val="28"/>
        </w:rPr>
      </w:pPr>
    </w:p>
    <w:p w:rsidR="008B5BAE" w:rsidRPr="00004264" w:rsidRDefault="008B5BAE" w:rsidP="009657CC">
      <w:pPr>
        <w:tabs>
          <w:tab w:val="left" w:pos="-540"/>
        </w:tabs>
        <w:spacing w:after="0" w:line="240" w:lineRule="auto"/>
        <w:ind w:right="-142" w:firstLine="426"/>
        <w:jc w:val="center"/>
        <w:rPr>
          <w:rFonts w:ascii="Times New Roman" w:hAnsi="Times New Roman" w:cs="Times New Roman"/>
          <w:b/>
          <w:sz w:val="24"/>
          <w:szCs w:val="24"/>
          <w:lang w:val="en-US"/>
        </w:rPr>
      </w:pPr>
      <w:r w:rsidRPr="00004264">
        <w:rPr>
          <w:rFonts w:ascii="Times New Roman" w:hAnsi="Times New Roman" w:cs="Times New Roman"/>
          <w:b/>
          <w:sz w:val="24"/>
          <w:szCs w:val="24"/>
          <w:lang w:val="en-US"/>
        </w:rPr>
        <w:t>References:</w:t>
      </w:r>
    </w:p>
    <w:p w:rsidR="008B5BAE" w:rsidRPr="00ED7EEE" w:rsidRDefault="008B5BAE" w:rsidP="009657CC">
      <w:pPr>
        <w:tabs>
          <w:tab w:val="left" w:pos="-540"/>
        </w:tabs>
        <w:spacing w:after="0" w:line="240" w:lineRule="auto"/>
        <w:ind w:right="-142" w:firstLine="426"/>
        <w:jc w:val="center"/>
        <w:rPr>
          <w:rFonts w:ascii="Times New Roman" w:hAnsi="Times New Roman" w:cs="Times New Roman"/>
          <w:sz w:val="24"/>
          <w:szCs w:val="24"/>
          <w:lang w:val="en-US"/>
        </w:rPr>
      </w:pPr>
    </w:p>
    <w:p w:rsidR="008B5BAE" w:rsidRPr="00004264" w:rsidRDefault="008B5BAE" w:rsidP="00004264">
      <w:pPr>
        <w:tabs>
          <w:tab w:val="left" w:pos="-540"/>
        </w:tabs>
        <w:spacing w:after="0" w:line="240" w:lineRule="auto"/>
        <w:ind w:right="-142" w:firstLine="426"/>
        <w:jc w:val="both"/>
        <w:rPr>
          <w:rFonts w:ascii="Times New Roman" w:hAnsi="Times New Roman" w:cs="Times New Roman"/>
          <w:sz w:val="24"/>
          <w:szCs w:val="24"/>
          <w:lang w:val="en-US"/>
        </w:rPr>
      </w:pPr>
      <w:r w:rsidRPr="00004264">
        <w:rPr>
          <w:rFonts w:ascii="Times New Roman" w:hAnsi="Times New Roman" w:cs="Times New Roman"/>
          <w:sz w:val="24"/>
          <w:szCs w:val="24"/>
          <w:lang w:val="en-US"/>
        </w:rPr>
        <w:t>1.</w:t>
      </w:r>
      <w:r w:rsidRPr="00004264">
        <w:rPr>
          <w:rFonts w:ascii="Times New Roman" w:hAnsi="Times New Roman" w:cs="Times New Roman"/>
          <w:sz w:val="24"/>
          <w:szCs w:val="24"/>
          <w:lang w:val="en-US"/>
        </w:rPr>
        <w:tab/>
        <w:t xml:space="preserve">Doncova, G. V. Analiz finansovoj otchetnosti: ucheb. dlja vuzov / L. V. Doncova, N. A. Nikiforova. - 8-e izd., pererab. i dop. – M.: Delo i servis, 2014. – 412s. </w:t>
      </w:r>
    </w:p>
    <w:p w:rsidR="008B5BAE" w:rsidRPr="00004264" w:rsidRDefault="008B5BAE" w:rsidP="00004264">
      <w:pPr>
        <w:tabs>
          <w:tab w:val="left" w:pos="-540"/>
        </w:tabs>
        <w:spacing w:after="0" w:line="240" w:lineRule="auto"/>
        <w:ind w:right="-142" w:firstLine="426"/>
        <w:jc w:val="both"/>
        <w:rPr>
          <w:rFonts w:ascii="Times New Roman" w:hAnsi="Times New Roman" w:cs="Times New Roman"/>
          <w:sz w:val="24"/>
          <w:szCs w:val="24"/>
          <w:lang w:val="en-US"/>
        </w:rPr>
      </w:pPr>
      <w:r w:rsidRPr="00004264">
        <w:rPr>
          <w:rFonts w:ascii="Times New Roman" w:hAnsi="Times New Roman" w:cs="Times New Roman"/>
          <w:sz w:val="24"/>
          <w:szCs w:val="24"/>
          <w:lang w:val="en-US"/>
        </w:rPr>
        <w:t>2.</w:t>
      </w:r>
      <w:r w:rsidRPr="00004264">
        <w:rPr>
          <w:rFonts w:ascii="Times New Roman" w:hAnsi="Times New Roman" w:cs="Times New Roman"/>
          <w:sz w:val="24"/>
          <w:szCs w:val="24"/>
          <w:lang w:val="en-US"/>
        </w:rPr>
        <w:tab/>
        <w:t xml:space="preserve">Efimova, O. B. Finansovyj analiz / O. B. Efimova. – M.: Buhgalterskij uchet, 2012. – 320 s. </w:t>
      </w:r>
    </w:p>
    <w:p w:rsidR="008B5BAE" w:rsidRPr="00004264" w:rsidRDefault="008B5BAE" w:rsidP="00004264">
      <w:pPr>
        <w:tabs>
          <w:tab w:val="left" w:pos="-540"/>
        </w:tabs>
        <w:spacing w:after="0" w:line="240" w:lineRule="auto"/>
        <w:ind w:right="-142" w:firstLine="426"/>
        <w:jc w:val="both"/>
        <w:rPr>
          <w:rFonts w:ascii="Times New Roman" w:hAnsi="Times New Roman" w:cs="Times New Roman"/>
          <w:sz w:val="24"/>
          <w:szCs w:val="24"/>
          <w:lang w:val="en-US"/>
        </w:rPr>
      </w:pPr>
      <w:r w:rsidRPr="00004264">
        <w:rPr>
          <w:rFonts w:ascii="Times New Roman" w:hAnsi="Times New Roman" w:cs="Times New Roman"/>
          <w:sz w:val="24"/>
          <w:szCs w:val="24"/>
          <w:lang w:val="en-US"/>
        </w:rPr>
        <w:t>3.</w:t>
      </w:r>
      <w:r w:rsidRPr="00004264">
        <w:rPr>
          <w:rFonts w:ascii="Times New Roman" w:hAnsi="Times New Roman" w:cs="Times New Roman"/>
          <w:sz w:val="24"/>
          <w:szCs w:val="24"/>
          <w:lang w:val="en-US"/>
        </w:rPr>
        <w:tab/>
        <w:t>Vahrushina, M. A. Upravlencheskij analiz: uchebno-praktik. kurs / M. A. Vahrushina. - 3-e izd., ispr. – M.: Omega-L, 2006. – 432 s.</w:t>
      </w:r>
    </w:p>
    <w:p w:rsidR="008B5BAE" w:rsidRPr="00B470FF" w:rsidRDefault="008B5BAE" w:rsidP="00004264">
      <w:pPr>
        <w:tabs>
          <w:tab w:val="left" w:pos="-540"/>
        </w:tabs>
        <w:spacing w:after="0" w:line="240" w:lineRule="auto"/>
        <w:ind w:right="-142" w:firstLine="426"/>
        <w:jc w:val="both"/>
        <w:rPr>
          <w:rFonts w:ascii="Times New Roman" w:hAnsi="Times New Roman" w:cs="Times New Roman"/>
          <w:sz w:val="24"/>
          <w:szCs w:val="24"/>
          <w:lang w:val="en-US"/>
        </w:rPr>
      </w:pPr>
      <w:r w:rsidRPr="00B470FF">
        <w:rPr>
          <w:rFonts w:ascii="Times New Roman" w:hAnsi="Times New Roman" w:cs="Times New Roman"/>
          <w:sz w:val="24"/>
          <w:szCs w:val="24"/>
          <w:lang w:val="en-US"/>
        </w:rPr>
        <w:t>4.</w:t>
      </w:r>
      <w:r w:rsidRPr="00B470FF">
        <w:rPr>
          <w:rFonts w:ascii="Times New Roman" w:hAnsi="Times New Roman" w:cs="Times New Roman"/>
          <w:sz w:val="24"/>
          <w:szCs w:val="24"/>
          <w:lang w:val="en-US"/>
        </w:rPr>
        <w:tab/>
        <w:t>Kompleksnyj jekonomicheskij analiz: ucheb. metodicheskoe posobie /N. K. Vasil'eva, A. G. Prudnikov, A. I. Trubilin i dr./; pod obshh. red. N. K. Vasil'evoj, A. G. Prudnikova. – Krasnodar: KubGAU, 2011. – 121s.</w:t>
      </w:r>
    </w:p>
    <w:sectPr w:rsidR="008B5BAE" w:rsidRPr="00B470FF" w:rsidSect="00526E1F">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5BAE" w:rsidRDefault="008B5BAE" w:rsidP="00727499">
      <w:pPr>
        <w:spacing w:after="0" w:line="240" w:lineRule="auto"/>
      </w:pPr>
      <w:r>
        <w:separator/>
      </w:r>
    </w:p>
  </w:endnote>
  <w:endnote w:type="continuationSeparator" w:id="0">
    <w:p w:rsidR="008B5BAE" w:rsidRDefault="008B5BAE" w:rsidP="007274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5BAE" w:rsidRDefault="008B5BAE">
    <w:pPr>
      <w:pStyle w:val="Footer"/>
    </w:pPr>
    <w:r w:rsidRPr="008F116B">
      <w:rPr>
        <w:rFonts w:ascii="Times New Roman" w:hAnsi="Times New Roman"/>
        <w:sz w:val="24"/>
        <w:szCs w:val="24"/>
      </w:rPr>
      <w:t>http://ej.kubagro.ru/2016/01/pdf/</w:t>
    </w:r>
    <w:r>
      <w:rPr>
        <w:rFonts w:ascii="Times New Roman" w:hAnsi="Times New Roman"/>
        <w:sz w:val="24"/>
        <w:szCs w:val="24"/>
        <w:lang w:val="en-US"/>
      </w:rPr>
      <w:t>5</w:t>
    </w:r>
    <w:r>
      <w:rPr>
        <w:rFonts w:ascii="Times New Roman" w:hAnsi="Times New Roman"/>
        <w:sz w:val="24"/>
        <w:szCs w:val="24"/>
      </w:rPr>
      <w:t>8</w:t>
    </w:r>
    <w:r w:rsidRPr="008F116B">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5BAE" w:rsidRDefault="008B5BAE" w:rsidP="00727499">
      <w:pPr>
        <w:spacing w:after="0" w:line="240" w:lineRule="auto"/>
      </w:pPr>
      <w:r>
        <w:separator/>
      </w:r>
    </w:p>
  </w:footnote>
  <w:footnote w:type="continuationSeparator" w:id="0">
    <w:p w:rsidR="008B5BAE" w:rsidRDefault="008B5BAE" w:rsidP="0072749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5BAE" w:rsidRDefault="008B5BAE" w:rsidP="00215627">
    <w:pPr>
      <w:pStyle w:val="Head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rsidR="008B5BAE" w:rsidRDefault="008B5BAE" w:rsidP="00013AA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5BAE" w:rsidRPr="00013AA8" w:rsidRDefault="008B5BAE" w:rsidP="00215627">
    <w:pPr>
      <w:pStyle w:val="Header"/>
      <w:framePr w:wrap="around" w:vAnchor="text" w:hAnchor="margin" w:xAlign="right" w:y="1"/>
      <w:rPr>
        <w:rStyle w:val="PageNumber"/>
        <w:rFonts w:ascii="Times New Roman" w:hAnsi="Times New Roman"/>
        <w:sz w:val="28"/>
        <w:szCs w:val="28"/>
      </w:rPr>
    </w:pPr>
    <w:r w:rsidRPr="00013AA8">
      <w:rPr>
        <w:rStyle w:val="PageNumber"/>
        <w:rFonts w:ascii="Times New Roman" w:hAnsi="Times New Roman"/>
        <w:sz w:val="28"/>
        <w:szCs w:val="28"/>
      </w:rPr>
      <w:fldChar w:fldCharType="begin"/>
    </w:r>
    <w:r w:rsidRPr="00013AA8">
      <w:rPr>
        <w:rStyle w:val="PageNumber"/>
        <w:rFonts w:ascii="Times New Roman" w:hAnsi="Times New Roman"/>
        <w:sz w:val="28"/>
        <w:szCs w:val="28"/>
      </w:rPr>
      <w:instrText xml:space="preserve">PAGE  </w:instrText>
    </w:r>
    <w:r w:rsidRPr="00013AA8">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013AA8">
      <w:rPr>
        <w:rStyle w:val="PageNumber"/>
        <w:rFonts w:ascii="Times New Roman" w:hAnsi="Times New Roman"/>
        <w:sz w:val="28"/>
        <w:szCs w:val="28"/>
      </w:rPr>
      <w:fldChar w:fldCharType="end"/>
    </w:r>
  </w:p>
  <w:p w:rsidR="008B5BAE" w:rsidRDefault="008B5BAE" w:rsidP="00013AA8">
    <w:pPr>
      <w:pStyle w:val="Header"/>
      <w:ind w:right="360"/>
    </w:pPr>
    <w:r w:rsidRPr="00173496">
      <w:rPr>
        <w:rFonts w:ascii="Times New Roman" w:hAnsi="Times New Roman"/>
        <w:sz w:val="24"/>
        <w:szCs w:val="24"/>
      </w:rPr>
      <w:t>Научный журнал КубГАУ, №115</w:t>
    </w:r>
    <w:r w:rsidRPr="00173496">
      <w:rPr>
        <w:rFonts w:ascii="Times New Roman" w:hAnsi="Times New Roman"/>
        <w:sz w:val="24"/>
        <w:szCs w:val="24"/>
        <w:lang w:val="en-US"/>
      </w:rPr>
      <w:t>(</w:t>
    </w:r>
    <w:r w:rsidRPr="00173496">
      <w:rPr>
        <w:rFonts w:ascii="Times New Roman" w:hAnsi="Times New Roman"/>
        <w:sz w:val="24"/>
        <w:szCs w:val="24"/>
      </w:rPr>
      <w:t>01), 2016 года</w:t>
    </w:r>
  </w:p>
  <w:p w:rsidR="008B5BAE" w:rsidRDefault="008B5BA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CF537D"/>
    <w:multiLevelType w:val="hybridMultilevel"/>
    <w:tmpl w:val="81EE1E9A"/>
    <w:lvl w:ilvl="0" w:tplc="0419000F">
      <w:start w:val="1"/>
      <w:numFmt w:val="decimal"/>
      <w:lvlText w:val="%1."/>
      <w:lvlJc w:val="left"/>
      <w:pPr>
        <w:ind w:left="144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1E38"/>
    <w:rsid w:val="00004264"/>
    <w:rsid w:val="00013AA8"/>
    <w:rsid w:val="000508A1"/>
    <w:rsid w:val="00094DA7"/>
    <w:rsid w:val="000C189E"/>
    <w:rsid w:val="000E7686"/>
    <w:rsid w:val="00171467"/>
    <w:rsid w:val="00173496"/>
    <w:rsid w:val="001F3DDE"/>
    <w:rsid w:val="00207FA5"/>
    <w:rsid w:val="00215627"/>
    <w:rsid w:val="00223B73"/>
    <w:rsid w:val="00245FB9"/>
    <w:rsid w:val="002568A2"/>
    <w:rsid w:val="0027646F"/>
    <w:rsid w:val="002919B2"/>
    <w:rsid w:val="00320AF4"/>
    <w:rsid w:val="0036684C"/>
    <w:rsid w:val="00370D4A"/>
    <w:rsid w:val="00415348"/>
    <w:rsid w:val="00465B5F"/>
    <w:rsid w:val="004C7839"/>
    <w:rsid w:val="004E6C5B"/>
    <w:rsid w:val="00526E1F"/>
    <w:rsid w:val="0057631B"/>
    <w:rsid w:val="00580398"/>
    <w:rsid w:val="00586EDA"/>
    <w:rsid w:val="00627679"/>
    <w:rsid w:val="006F0992"/>
    <w:rsid w:val="00727499"/>
    <w:rsid w:val="007B5356"/>
    <w:rsid w:val="00814BAE"/>
    <w:rsid w:val="00817974"/>
    <w:rsid w:val="00842D04"/>
    <w:rsid w:val="0087308D"/>
    <w:rsid w:val="00895855"/>
    <w:rsid w:val="008B0EAA"/>
    <w:rsid w:val="008B5BAE"/>
    <w:rsid w:val="008C4AA8"/>
    <w:rsid w:val="008C4BDC"/>
    <w:rsid w:val="008C7671"/>
    <w:rsid w:val="008E59A0"/>
    <w:rsid w:val="008F116B"/>
    <w:rsid w:val="009026D5"/>
    <w:rsid w:val="009657CC"/>
    <w:rsid w:val="00982147"/>
    <w:rsid w:val="009B55BE"/>
    <w:rsid w:val="009C197A"/>
    <w:rsid w:val="00A5576C"/>
    <w:rsid w:val="00A76630"/>
    <w:rsid w:val="00AC3EFF"/>
    <w:rsid w:val="00AC7B74"/>
    <w:rsid w:val="00AE15F5"/>
    <w:rsid w:val="00AF7870"/>
    <w:rsid w:val="00B470FF"/>
    <w:rsid w:val="00B61E38"/>
    <w:rsid w:val="00B739F9"/>
    <w:rsid w:val="00B86728"/>
    <w:rsid w:val="00BB11B7"/>
    <w:rsid w:val="00BC5557"/>
    <w:rsid w:val="00C31A26"/>
    <w:rsid w:val="00C36F0C"/>
    <w:rsid w:val="00CD10B1"/>
    <w:rsid w:val="00D06A97"/>
    <w:rsid w:val="00D818CB"/>
    <w:rsid w:val="00DA5F17"/>
    <w:rsid w:val="00E47EFC"/>
    <w:rsid w:val="00E5258A"/>
    <w:rsid w:val="00EA1429"/>
    <w:rsid w:val="00EC003D"/>
    <w:rsid w:val="00ED7EEE"/>
    <w:rsid w:val="00F34498"/>
    <w:rsid w:val="00FE7CF3"/>
    <w:rsid w:val="00FF073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E38"/>
    <w:pPr>
      <w:suppressAutoHyphens/>
      <w:spacing w:after="200" w:line="276" w:lineRule="auto"/>
    </w:pPr>
    <w:rPr>
      <w:rFonts w:eastAsia="Times New Roman" w:cs="Calibri"/>
      <w:lang w:eastAsia="ar-SA"/>
    </w:rPr>
  </w:style>
  <w:style w:type="paragraph" w:styleId="Heading1">
    <w:name w:val="heading 1"/>
    <w:basedOn w:val="Normal"/>
    <w:next w:val="Normal"/>
    <w:link w:val="Heading1Char"/>
    <w:uiPriority w:val="99"/>
    <w:qFormat/>
    <w:rsid w:val="00627679"/>
    <w:pPr>
      <w:keepNext/>
      <w:outlineLvl w:val="0"/>
    </w:pPr>
    <w:rPr>
      <w:rFonts w:cs="Times New Roman"/>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27679"/>
    <w:rPr>
      <w:rFonts w:ascii="Times New Roman" w:hAnsi="Times New Roman" w:cs="Times New Roman"/>
      <w:sz w:val="20"/>
      <w:szCs w:val="20"/>
      <w:lang w:eastAsia="ru-RU"/>
    </w:rPr>
  </w:style>
  <w:style w:type="table" w:styleId="TableGrid">
    <w:name w:val="Table Grid"/>
    <w:basedOn w:val="TableNormal"/>
    <w:uiPriority w:val="99"/>
    <w:rsid w:val="00B61E3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72749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27499"/>
    <w:rPr>
      <w:rFonts w:ascii="Calibri" w:hAnsi="Calibri" w:cs="Calibri"/>
      <w:lang w:eastAsia="ar-SA" w:bidi="ar-SA"/>
    </w:rPr>
  </w:style>
  <w:style w:type="paragraph" w:styleId="Footer">
    <w:name w:val="footer"/>
    <w:basedOn w:val="Normal"/>
    <w:link w:val="FooterChar"/>
    <w:uiPriority w:val="99"/>
    <w:rsid w:val="00727499"/>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27499"/>
    <w:rPr>
      <w:rFonts w:ascii="Calibri" w:hAnsi="Calibri" w:cs="Calibri"/>
      <w:lang w:eastAsia="ar-SA" w:bidi="ar-SA"/>
    </w:rPr>
  </w:style>
  <w:style w:type="paragraph" w:styleId="BalloonText">
    <w:name w:val="Balloon Text"/>
    <w:basedOn w:val="Normal"/>
    <w:link w:val="BalloonTextChar"/>
    <w:uiPriority w:val="99"/>
    <w:semiHidden/>
    <w:rsid w:val="00207F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07FA5"/>
    <w:rPr>
      <w:rFonts w:ascii="Tahoma" w:hAnsi="Tahoma" w:cs="Tahoma"/>
      <w:sz w:val="16"/>
      <w:szCs w:val="16"/>
      <w:lang w:eastAsia="ar-SA" w:bidi="ar-SA"/>
    </w:rPr>
  </w:style>
  <w:style w:type="character" w:styleId="Hyperlink">
    <w:name w:val="Hyperlink"/>
    <w:basedOn w:val="DefaultParagraphFont"/>
    <w:uiPriority w:val="99"/>
    <w:rsid w:val="00B739F9"/>
    <w:rPr>
      <w:rFonts w:cs="Times New Roman"/>
      <w:color w:val="0000FF"/>
      <w:u w:val="single"/>
    </w:rPr>
  </w:style>
  <w:style w:type="paragraph" w:styleId="ListParagraph">
    <w:name w:val="List Paragraph"/>
    <w:basedOn w:val="Normal"/>
    <w:uiPriority w:val="99"/>
    <w:qFormat/>
    <w:rsid w:val="00B739F9"/>
    <w:pPr>
      <w:ind w:left="720"/>
    </w:pPr>
  </w:style>
  <w:style w:type="character" w:styleId="Strong">
    <w:name w:val="Strong"/>
    <w:basedOn w:val="DefaultParagraphFont"/>
    <w:uiPriority w:val="99"/>
    <w:qFormat/>
    <w:rsid w:val="00B739F9"/>
    <w:rPr>
      <w:rFonts w:cs="Times New Roman"/>
      <w:b/>
      <w:bCs/>
    </w:rPr>
  </w:style>
  <w:style w:type="paragraph" w:customStyle="1" w:styleId="msonormalbullet2gifbullet2gif">
    <w:name w:val="msonormalbullet2gifbullet2.gif"/>
    <w:basedOn w:val="Normal"/>
    <w:uiPriority w:val="99"/>
    <w:rsid w:val="00AC7B74"/>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1gif">
    <w:name w:val="msonormalbullet2gifbullet1.gif"/>
    <w:basedOn w:val="Normal"/>
    <w:uiPriority w:val="99"/>
    <w:rsid w:val="00CD10B1"/>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3gif">
    <w:name w:val="msonormalbullet2gifbullet3.gif"/>
    <w:basedOn w:val="Normal"/>
    <w:uiPriority w:val="99"/>
    <w:semiHidden/>
    <w:rsid w:val="00CD10B1"/>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3gifbullet1gif">
    <w:name w:val="msonormalbullet2gifbullet3gifbullet1.gif"/>
    <w:basedOn w:val="Normal"/>
    <w:uiPriority w:val="99"/>
    <w:semiHidden/>
    <w:rsid w:val="00CD10B1"/>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3gifbullet3gif">
    <w:name w:val="msonormalbullet2gifbullet3gifbullet3.gif"/>
    <w:basedOn w:val="Normal"/>
    <w:uiPriority w:val="99"/>
    <w:semiHidden/>
    <w:rsid w:val="00CD10B1"/>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styleId="PageNumber">
    <w:name w:val="page number"/>
    <w:basedOn w:val="DefaultParagraphFont"/>
    <w:uiPriority w:val="99"/>
    <w:rsid w:val="00013AA8"/>
    <w:rPr>
      <w:rFonts w:cs="Times New Roman"/>
    </w:rPr>
  </w:style>
</w:styles>
</file>

<file path=word/webSettings.xml><?xml version="1.0" encoding="utf-8"?>
<w:webSettings xmlns:r="http://schemas.openxmlformats.org/officeDocument/2006/relationships" xmlns:w="http://schemas.openxmlformats.org/wordprocessingml/2006/main">
  <w:divs>
    <w:div w:id="2145464710">
      <w:marLeft w:val="0"/>
      <w:marRight w:val="0"/>
      <w:marTop w:val="0"/>
      <w:marBottom w:val="0"/>
      <w:divBdr>
        <w:top w:val="none" w:sz="0" w:space="0" w:color="auto"/>
        <w:left w:val="none" w:sz="0" w:space="0" w:color="auto"/>
        <w:bottom w:val="none" w:sz="0" w:space="0" w:color="auto"/>
        <w:right w:val="none" w:sz="0" w:space="0" w:color="auto"/>
      </w:divBdr>
    </w:div>
    <w:div w:id="2145464711">
      <w:marLeft w:val="0"/>
      <w:marRight w:val="0"/>
      <w:marTop w:val="0"/>
      <w:marBottom w:val="0"/>
      <w:divBdr>
        <w:top w:val="none" w:sz="0" w:space="0" w:color="auto"/>
        <w:left w:val="none" w:sz="0" w:space="0" w:color="auto"/>
        <w:bottom w:val="none" w:sz="0" w:space="0" w:color="auto"/>
        <w:right w:val="none" w:sz="0" w:space="0" w:color="auto"/>
      </w:divBdr>
    </w:div>
    <w:div w:id="2145464712">
      <w:marLeft w:val="0"/>
      <w:marRight w:val="0"/>
      <w:marTop w:val="0"/>
      <w:marBottom w:val="0"/>
      <w:divBdr>
        <w:top w:val="none" w:sz="0" w:space="0" w:color="auto"/>
        <w:left w:val="none" w:sz="0" w:space="0" w:color="auto"/>
        <w:bottom w:val="none" w:sz="0" w:space="0" w:color="auto"/>
        <w:right w:val="none" w:sz="0" w:space="0" w:color="auto"/>
      </w:divBdr>
    </w:div>
    <w:div w:id="2145464713">
      <w:marLeft w:val="0"/>
      <w:marRight w:val="0"/>
      <w:marTop w:val="0"/>
      <w:marBottom w:val="0"/>
      <w:divBdr>
        <w:top w:val="none" w:sz="0" w:space="0" w:color="auto"/>
        <w:left w:val="none" w:sz="0" w:space="0" w:color="auto"/>
        <w:bottom w:val="none" w:sz="0" w:space="0" w:color="auto"/>
        <w:right w:val="none" w:sz="0" w:space="0" w:color="auto"/>
      </w:divBdr>
    </w:div>
    <w:div w:id="2145464714">
      <w:marLeft w:val="0"/>
      <w:marRight w:val="0"/>
      <w:marTop w:val="0"/>
      <w:marBottom w:val="0"/>
      <w:divBdr>
        <w:top w:val="none" w:sz="0" w:space="0" w:color="auto"/>
        <w:left w:val="none" w:sz="0" w:space="0" w:color="auto"/>
        <w:bottom w:val="none" w:sz="0" w:space="0" w:color="auto"/>
        <w:right w:val="none" w:sz="0" w:space="0" w:color="auto"/>
      </w:divBdr>
    </w:div>
    <w:div w:id="2145464715">
      <w:marLeft w:val="0"/>
      <w:marRight w:val="0"/>
      <w:marTop w:val="0"/>
      <w:marBottom w:val="0"/>
      <w:divBdr>
        <w:top w:val="none" w:sz="0" w:space="0" w:color="auto"/>
        <w:left w:val="none" w:sz="0" w:space="0" w:color="auto"/>
        <w:bottom w:val="none" w:sz="0" w:space="0" w:color="auto"/>
        <w:right w:val="none" w:sz="0" w:space="0" w:color="auto"/>
      </w:divBdr>
    </w:div>
    <w:div w:id="2145464716">
      <w:marLeft w:val="0"/>
      <w:marRight w:val="0"/>
      <w:marTop w:val="0"/>
      <w:marBottom w:val="0"/>
      <w:divBdr>
        <w:top w:val="none" w:sz="0" w:space="0" w:color="auto"/>
        <w:left w:val="none" w:sz="0" w:space="0" w:color="auto"/>
        <w:bottom w:val="none" w:sz="0" w:space="0" w:color="auto"/>
        <w:right w:val="none" w:sz="0" w:space="0" w:color="auto"/>
      </w:divBdr>
    </w:div>
    <w:div w:id="2145464717">
      <w:marLeft w:val="0"/>
      <w:marRight w:val="0"/>
      <w:marTop w:val="0"/>
      <w:marBottom w:val="0"/>
      <w:divBdr>
        <w:top w:val="none" w:sz="0" w:space="0" w:color="auto"/>
        <w:left w:val="none" w:sz="0" w:space="0" w:color="auto"/>
        <w:bottom w:val="none" w:sz="0" w:space="0" w:color="auto"/>
        <w:right w:val="none" w:sz="0" w:space="0" w:color="auto"/>
      </w:divBdr>
    </w:div>
    <w:div w:id="2145464718">
      <w:marLeft w:val="0"/>
      <w:marRight w:val="0"/>
      <w:marTop w:val="0"/>
      <w:marBottom w:val="0"/>
      <w:divBdr>
        <w:top w:val="none" w:sz="0" w:space="0" w:color="auto"/>
        <w:left w:val="none" w:sz="0" w:space="0" w:color="auto"/>
        <w:bottom w:val="none" w:sz="0" w:space="0" w:color="auto"/>
        <w:right w:val="none" w:sz="0" w:space="0" w:color="auto"/>
      </w:divBdr>
    </w:div>
    <w:div w:id="2145464719">
      <w:marLeft w:val="0"/>
      <w:marRight w:val="0"/>
      <w:marTop w:val="0"/>
      <w:marBottom w:val="0"/>
      <w:divBdr>
        <w:top w:val="none" w:sz="0" w:space="0" w:color="auto"/>
        <w:left w:val="none" w:sz="0" w:space="0" w:color="auto"/>
        <w:bottom w:val="none" w:sz="0" w:space="0" w:color="auto"/>
        <w:right w:val="none" w:sz="0" w:space="0" w:color="auto"/>
      </w:divBdr>
    </w:div>
    <w:div w:id="2145464720">
      <w:marLeft w:val="0"/>
      <w:marRight w:val="0"/>
      <w:marTop w:val="0"/>
      <w:marBottom w:val="0"/>
      <w:divBdr>
        <w:top w:val="none" w:sz="0" w:space="0" w:color="auto"/>
        <w:left w:val="none" w:sz="0" w:space="0" w:color="auto"/>
        <w:bottom w:val="none" w:sz="0" w:space="0" w:color="auto"/>
        <w:right w:val="none" w:sz="0" w:space="0" w:color="auto"/>
      </w:divBdr>
    </w:div>
    <w:div w:id="2145464721">
      <w:marLeft w:val="0"/>
      <w:marRight w:val="0"/>
      <w:marTop w:val="0"/>
      <w:marBottom w:val="0"/>
      <w:divBdr>
        <w:top w:val="none" w:sz="0" w:space="0" w:color="auto"/>
        <w:left w:val="none" w:sz="0" w:space="0" w:color="auto"/>
        <w:bottom w:val="none" w:sz="0" w:space="0" w:color="auto"/>
        <w:right w:val="none" w:sz="0" w:space="0" w:color="auto"/>
      </w:divBdr>
    </w:div>
    <w:div w:id="2145464722">
      <w:marLeft w:val="0"/>
      <w:marRight w:val="0"/>
      <w:marTop w:val="0"/>
      <w:marBottom w:val="0"/>
      <w:divBdr>
        <w:top w:val="none" w:sz="0" w:space="0" w:color="auto"/>
        <w:left w:val="none" w:sz="0" w:space="0" w:color="auto"/>
        <w:bottom w:val="none" w:sz="0" w:space="0" w:color="auto"/>
        <w:right w:val="none" w:sz="0" w:space="0" w:color="auto"/>
      </w:divBdr>
    </w:div>
    <w:div w:id="2145464723">
      <w:marLeft w:val="0"/>
      <w:marRight w:val="0"/>
      <w:marTop w:val="0"/>
      <w:marBottom w:val="0"/>
      <w:divBdr>
        <w:top w:val="none" w:sz="0" w:space="0" w:color="auto"/>
        <w:left w:val="none" w:sz="0" w:space="0" w:color="auto"/>
        <w:bottom w:val="none" w:sz="0" w:space="0" w:color="auto"/>
        <w:right w:val="none" w:sz="0" w:space="0" w:color="auto"/>
      </w:divBdr>
    </w:div>
    <w:div w:id="2145464724">
      <w:marLeft w:val="0"/>
      <w:marRight w:val="0"/>
      <w:marTop w:val="0"/>
      <w:marBottom w:val="0"/>
      <w:divBdr>
        <w:top w:val="none" w:sz="0" w:space="0" w:color="auto"/>
        <w:left w:val="none" w:sz="0" w:space="0" w:color="auto"/>
        <w:bottom w:val="none" w:sz="0" w:space="0" w:color="auto"/>
        <w:right w:val="none" w:sz="0" w:space="0" w:color="auto"/>
      </w:divBdr>
    </w:div>
    <w:div w:id="2145464725">
      <w:marLeft w:val="0"/>
      <w:marRight w:val="0"/>
      <w:marTop w:val="0"/>
      <w:marBottom w:val="0"/>
      <w:divBdr>
        <w:top w:val="none" w:sz="0" w:space="0" w:color="auto"/>
        <w:left w:val="none" w:sz="0" w:space="0" w:color="auto"/>
        <w:bottom w:val="none" w:sz="0" w:space="0" w:color="auto"/>
        <w:right w:val="none" w:sz="0" w:space="0" w:color="auto"/>
      </w:divBdr>
    </w:div>
    <w:div w:id="2145464726">
      <w:marLeft w:val="0"/>
      <w:marRight w:val="0"/>
      <w:marTop w:val="0"/>
      <w:marBottom w:val="0"/>
      <w:divBdr>
        <w:top w:val="none" w:sz="0" w:space="0" w:color="auto"/>
        <w:left w:val="none" w:sz="0" w:space="0" w:color="auto"/>
        <w:bottom w:val="none" w:sz="0" w:space="0" w:color="auto"/>
        <w:right w:val="none" w:sz="0" w:space="0" w:color="auto"/>
      </w:divBdr>
    </w:div>
    <w:div w:id="2145464727">
      <w:marLeft w:val="0"/>
      <w:marRight w:val="0"/>
      <w:marTop w:val="0"/>
      <w:marBottom w:val="0"/>
      <w:divBdr>
        <w:top w:val="none" w:sz="0" w:space="0" w:color="auto"/>
        <w:left w:val="none" w:sz="0" w:space="0" w:color="auto"/>
        <w:bottom w:val="none" w:sz="0" w:space="0" w:color="auto"/>
        <w:right w:val="none" w:sz="0" w:space="0" w:color="auto"/>
      </w:divBdr>
    </w:div>
    <w:div w:id="2145464728">
      <w:marLeft w:val="0"/>
      <w:marRight w:val="0"/>
      <w:marTop w:val="0"/>
      <w:marBottom w:val="0"/>
      <w:divBdr>
        <w:top w:val="none" w:sz="0" w:space="0" w:color="auto"/>
        <w:left w:val="none" w:sz="0" w:space="0" w:color="auto"/>
        <w:bottom w:val="none" w:sz="0" w:space="0" w:color="auto"/>
        <w:right w:val="none" w:sz="0" w:space="0" w:color="auto"/>
      </w:divBdr>
    </w:div>
    <w:div w:id="2145464729">
      <w:marLeft w:val="0"/>
      <w:marRight w:val="0"/>
      <w:marTop w:val="0"/>
      <w:marBottom w:val="0"/>
      <w:divBdr>
        <w:top w:val="none" w:sz="0" w:space="0" w:color="auto"/>
        <w:left w:val="none" w:sz="0" w:space="0" w:color="auto"/>
        <w:bottom w:val="none" w:sz="0" w:space="0" w:color="auto"/>
        <w:right w:val="none" w:sz="0" w:space="0" w:color="auto"/>
      </w:divBdr>
    </w:div>
    <w:div w:id="2145464730">
      <w:marLeft w:val="0"/>
      <w:marRight w:val="0"/>
      <w:marTop w:val="0"/>
      <w:marBottom w:val="0"/>
      <w:divBdr>
        <w:top w:val="none" w:sz="0" w:space="0" w:color="auto"/>
        <w:left w:val="none" w:sz="0" w:space="0" w:color="auto"/>
        <w:bottom w:val="none" w:sz="0" w:space="0" w:color="auto"/>
        <w:right w:val="none" w:sz="0" w:space="0" w:color="auto"/>
      </w:divBdr>
    </w:div>
    <w:div w:id="2145464731">
      <w:marLeft w:val="0"/>
      <w:marRight w:val="0"/>
      <w:marTop w:val="0"/>
      <w:marBottom w:val="0"/>
      <w:divBdr>
        <w:top w:val="none" w:sz="0" w:space="0" w:color="auto"/>
        <w:left w:val="none" w:sz="0" w:space="0" w:color="auto"/>
        <w:bottom w:val="none" w:sz="0" w:space="0" w:color="auto"/>
        <w:right w:val="none" w:sz="0" w:space="0" w:color="auto"/>
      </w:divBdr>
    </w:div>
    <w:div w:id="2145464732">
      <w:marLeft w:val="0"/>
      <w:marRight w:val="0"/>
      <w:marTop w:val="0"/>
      <w:marBottom w:val="0"/>
      <w:divBdr>
        <w:top w:val="none" w:sz="0" w:space="0" w:color="auto"/>
        <w:left w:val="none" w:sz="0" w:space="0" w:color="auto"/>
        <w:bottom w:val="none" w:sz="0" w:space="0" w:color="auto"/>
        <w:right w:val="none" w:sz="0" w:space="0" w:color="auto"/>
      </w:divBdr>
    </w:div>
    <w:div w:id="2145464733">
      <w:marLeft w:val="0"/>
      <w:marRight w:val="0"/>
      <w:marTop w:val="0"/>
      <w:marBottom w:val="0"/>
      <w:divBdr>
        <w:top w:val="none" w:sz="0" w:space="0" w:color="auto"/>
        <w:left w:val="none" w:sz="0" w:space="0" w:color="auto"/>
        <w:bottom w:val="none" w:sz="0" w:space="0" w:color="auto"/>
        <w:right w:val="none" w:sz="0" w:space="0" w:color="auto"/>
      </w:divBdr>
    </w:div>
    <w:div w:id="2145464734">
      <w:marLeft w:val="0"/>
      <w:marRight w:val="0"/>
      <w:marTop w:val="0"/>
      <w:marBottom w:val="0"/>
      <w:divBdr>
        <w:top w:val="none" w:sz="0" w:space="0" w:color="auto"/>
        <w:left w:val="none" w:sz="0" w:space="0" w:color="auto"/>
        <w:bottom w:val="none" w:sz="0" w:space="0" w:color="auto"/>
        <w:right w:val="none" w:sz="0" w:space="0" w:color="auto"/>
      </w:divBdr>
    </w:div>
    <w:div w:id="2145464735">
      <w:marLeft w:val="0"/>
      <w:marRight w:val="0"/>
      <w:marTop w:val="0"/>
      <w:marBottom w:val="0"/>
      <w:divBdr>
        <w:top w:val="none" w:sz="0" w:space="0" w:color="auto"/>
        <w:left w:val="none" w:sz="0" w:space="0" w:color="auto"/>
        <w:bottom w:val="none" w:sz="0" w:space="0" w:color="auto"/>
        <w:right w:val="none" w:sz="0" w:space="0" w:color="auto"/>
      </w:divBdr>
    </w:div>
    <w:div w:id="2145464736">
      <w:marLeft w:val="0"/>
      <w:marRight w:val="0"/>
      <w:marTop w:val="0"/>
      <w:marBottom w:val="0"/>
      <w:divBdr>
        <w:top w:val="none" w:sz="0" w:space="0" w:color="auto"/>
        <w:left w:val="none" w:sz="0" w:space="0" w:color="auto"/>
        <w:bottom w:val="none" w:sz="0" w:space="0" w:color="auto"/>
        <w:right w:val="none" w:sz="0" w:space="0" w:color="auto"/>
      </w:divBdr>
    </w:div>
    <w:div w:id="2145464737">
      <w:marLeft w:val="0"/>
      <w:marRight w:val="0"/>
      <w:marTop w:val="0"/>
      <w:marBottom w:val="0"/>
      <w:divBdr>
        <w:top w:val="none" w:sz="0" w:space="0" w:color="auto"/>
        <w:left w:val="none" w:sz="0" w:space="0" w:color="auto"/>
        <w:bottom w:val="none" w:sz="0" w:space="0" w:color="auto"/>
        <w:right w:val="none" w:sz="0" w:space="0" w:color="auto"/>
      </w:divBdr>
    </w:div>
    <w:div w:id="2145464738">
      <w:marLeft w:val="0"/>
      <w:marRight w:val="0"/>
      <w:marTop w:val="0"/>
      <w:marBottom w:val="0"/>
      <w:divBdr>
        <w:top w:val="none" w:sz="0" w:space="0" w:color="auto"/>
        <w:left w:val="none" w:sz="0" w:space="0" w:color="auto"/>
        <w:bottom w:val="none" w:sz="0" w:space="0" w:color="auto"/>
        <w:right w:val="none" w:sz="0" w:space="0" w:color="auto"/>
      </w:divBdr>
    </w:div>
    <w:div w:id="2145464739">
      <w:marLeft w:val="0"/>
      <w:marRight w:val="0"/>
      <w:marTop w:val="0"/>
      <w:marBottom w:val="0"/>
      <w:divBdr>
        <w:top w:val="none" w:sz="0" w:space="0" w:color="auto"/>
        <w:left w:val="none" w:sz="0" w:space="0" w:color="auto"/>
        <w:bottom w:val="none" w:sz="0" w:space="0" w:color="auto"/>
        <w:right w:val="none" w:sz="0" w:space="0" w:color="auto"/>
      </w:divBdr>
    </w:div>
    <w:div w:id="2145464740">
      <w:marLeft w:val="0"/>
      <w:marRight w:val="0"/>
      <w:marTop w:val="0"/>
      <w:marBottom w:val="0"/>
      <w:divBdr>
        <w:top w:val="none" w:sz="0" w:space="0" w:color="auto"/>
        <w:left w:val="none" w:sz="0" w:space="0" w:color="auto"/>
        <w:bottom w:val="none" w:sz="0" w:space="0" w:color="auto"/>
        <w:right w:val="none" w:sz="0" w:space="0" w:color="auto"/>
      </w:divBdr>
    </w:div>
    <w:div w:id="2145464741">
      <w:marLeft w:val="0"/>
      <w:marRight w:val="0"/>
      <w:marTop w:val="0"/>
      <w:marBottom w:val="0"/>
      <w:divBdr>
        <w:top w:val="none" w:sz="0" w:space="0" w:color="auto"/>
        <w:left w:val="none" w:sz="0" w:space="0" w:color="auto"/>
        <w:bottom w:val="none" w:sz="0" w:space="0" w:color="auto"/>
        <w:right w:val="none" w:sz="0" w:space="0" w:color="auto"/>
      </w:divBdr>
    </w:div>
    <w:div w:id="21454647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1609</TotalTime>
  <Pages>17</Pages>
  <Words>4799</Words>
  <Characters>27358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5849</dc:creator>
  <cp:keywords/>
  <dc:description/>
  <cp:lastModifiedBy>Sergey</cp:lastModifiedBy>
  <cp:revision>21</cp:revision>
  <cp:lastPrinted>2016-01-12T07:40:00Z</cp:lastPrinted>
  <dcterms:created xsi:type="dcterms:W3CDTF">2015-04-29T02:22:00Z</dcterms:created>
  <dcterms:modified xsi:type="dcterms:W3CDTF">2016-01-16T21:17:00Z</dcterms:modified>
</cp:coreProperties>
</file>