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B4E4F" w:rsidRPr="00687089" w:rsidTr="007637B8">
        <w:trPr>
          <w:trHeight w:val="3826"/>
        </w:trPr>
        <w:tc>
          <w:tcPr>
            <w:tcW w:w="4643" w:type="dxa"/>
          </w:tcPr>
          <w:p w:rsidR="001B4E4F" w:rsidRPr="00687089" w:rsidRDefault="001B4E4F" w:rsidP="00687089">
            <w:pPr>
              <w:tabs>
                <w:tab w:val="left" w:pos="5949"/>
              </w:tabs>
              <w:spacing w:after="0" w:line="240" w:lineRule="auto"/>
              <w:rPr>
                <w:rFonts w:ascii="Times New Roman" w:hAnsi="Times New Roman" w:cs="Times New Roman"/>
                <w:sz w:val="20"/>
                <w:szCs w:val="20"/>
              </w:rPr>
            </w:pPr>
            <w:bookmarkStart w:id="0" w:name="_GoBack"/>
            <w:bookmarkEnd w:id="0"/>
            <w:r w:rsidRPr="00687089">
              <w:rPr>
                <w:rFonts w:ascii="Times New Roman" w:hAnsi="Times New Roman" w:cs="Times New Roman"/>
                <w:sz w:val="20"/>
                <w:szCs w:val="20"/>
              </w:rPr>
              <w:t>УДК 658.14:631.115</w:t>
            </w:r>
          </w:p>
          <w:p w:rsidR="001B4E4F" w:rsidRPr="00687089" w:rsidRDefault="001B4E4F" w:rsidP="00687089">
            <w:pPr>
              <w:tabs>
                <w:tab w:val="left" w:pos="5949"/>
              </w:tabs>
              <w:spacing w:after="0" w:line="240" w:lineRule="auto"/>
              <w:rPr>
                <w:rFonts w:ascii="Times New Roman" w:hAnsi="Times New Roman" w:cs="Times New Roman"/>
                <w:sz w:val="20"/>
                <w:szCs w:val="20"/>
              </w:rPr>
            </w:pPr>
          </w:p>
          <w:p w:rsidR="001B4E4F" w:rsidRPr="00687089" w:rsidRDefault="001B4E4F" w:rsidP="00687089">
            <w:pPr>
              <w:tabs>
                <w:tab w:val="left" w:pos="5949"/>
              </w:tabs>
              <w:spacing w:after="0" w:line="240" w:lineRule="auto"/>
              <w:rPr>
                <w:rFonts w:ascii="Times New Roman" w:hAnsi="Times New Roman" w:cs="Times New Roman"/>
                <w:sz w:val="20"/>
                <w:szCs w:val="20"/>
              </w:rPr>
            </w:pPr>
            <w:r w:rsidRPr="00687089">
              <w:rPr>
                <w:rFonts w:ascii="Times New Roman" w:hAnsi="Times New Roman" w:cs="Times New Roman"/>
                <w:sz w:val="20"/>
                <w:szCs w:val="20"/>
              </w:rPr>
              <w:t>08.00.00 Экономические науки</w:t>
            </w:r>
          </w:p>
          <w:p w:rsidR="001B4E4F" w:rsidRPr="00687089" w:rsidRDefault="001B4E4F" w:rsidP="00687089">
            <w:pPr>
              <w:tabs>
                <w:tab w:val="left" w:pos="5949"/>
              </w:tabs>
              <w:spacing w:after="0" w:line="240" w:lineRule="auto"/>
              <w:rPr>
                <w:rFonts w:ascii="Times New Roman" w:hAnsi="Times New Roman" w:cs="Times New Roman"/>
                <w:sz w:val="20"/>
                <w:szCs w:val="20"/>
              </w:rPr>
            </w:pPr>
          </w:p>
          <w:p w:rsidR="001B4E4F" w:rsidRPr="00687089" w:rsidRDefault="001B4E4F" w:rsidP="00687089">
            <w:pPr>
              <w:tabs>
                <w:tab w:val="left" w:pos="5949"/>
              </w:tabs>
              <w:spacing w:after="0" w:line="240" w:lineRule="auto"/>
              <w:rPr>
                <w:rFonts w:ascii="Times New Roman" w:hAnsi="Times New Roman" w:cs="Times New Roman"/>
                <w:b/>
                <w:sz w:val="20"/>
                <w:szCs w:val="20"/>
              </w:rPr>
            </w:pPr>
            <w:r w:rsidRPr="00687089">
              <w:rPr>
                <w:rFonts w:ascii="Times New Roman" w:hAnsi="Times New Roman" w:cs="Times New Roman"/>
                <w:b/>
                <w:sz w:val="20"/>
                <w:szCs w:val="20"/>
              </w:rPr>
              <w:t>ПРОБЛЕМЫ РЕЙТИНГОВОЙ ОЦЕНКИ ФИНАНСОВОЙ ДЕЯТЕЛЬНОСТИ ХОЗЯЙСТВУЮЩИХ СУБЪЕКТОВ АГРАРНОЙ СФЕРЫ</w:t>
            </w:r>
          </w:p>
          <w:p w:rsidR="001B4E4F" w:rsidRPr="00687089" w:rsidRDefault="001B4E4F" w:rsidP="00687089">
            <w:pPr>
              <w:tabs>
                <w:tab w:val="left" w:pos="5949"/>
              </w:tabs>
              <w:spacing w:after="0" w:line="240" w:lineRule="auto"/>
              <w:rPr>
                <w:rFonts w:ascii="Times New Roman" w:hAnsi="Times New Roman" w:cs="Times New Roman"/>
                <w:b/>
                <w:sz w:val="20"/>
                <w:szCs w:val="20"/>
              </w:rPr>
            </w:pPr>
          </w:p>
          <w:p w:rsidR="001B4E4F" w:rsidRPr="00687089" w:rsidRDefault="001B4E4F" w:rsidP="00687089">
            <w:pPr>
              <w:tabs>
                <w:tab w:val="left" w:pos="5949"/>
              </w:tabs>
              <w:spacing w:after="0" w:line="240" w:lineRule="auto"/>
              <w:rPr>
                <w:rFonts w:ascii="Times New Roman" w:hAnsi="Times New Roman" w:cs="Times New Roman"/>
                <w:sz w:val="20"/>
                <w:szCs w:val="20"/>
              </w:rPr>
            </w:pPr>
            <w:r w:rsidRPr="00687089">
              <w:rPr>
                <w:rFonts w:ascii="Times New Roman" w:hAnsi="Times New Roman" w:cs="Times New Roman"/>
                <w:sz w:val="20"/>
                <w:szCs w:val="20"/>
              </w:rPr>
              <w:t>Прудников Анатолий Григорьевич</w:t>
            </w:r>
          </w:p>
          <w:p w:rsidR="001B4E4F" w:rsidRPr="00687089" w:rsidRDefault="001B4E4F" w:rsidP="00687089">
            <w:pPr>
              <w:tabs>
                <w:tab w:val="left" w:pos="5949"/>
              </w:tabs>
              <w:spacing w:after="0" w:line="240" w:lineRule="auto"/>
              <w:rPr>
                <w:rFonts w:ascii="Times New Roman" w:hAnsi="Times New Roman" w:cs="Times New Roman"/>
                <w:sz w:val="20"/>
                <w:szCs w:val="20"/>
              </w:rPr>
            </w:pPr>
            <w:r w:rsidRPr="00687089">
              <w:rPr>
                <w:rFonts w:ascii="Times New Roman" w:hAnsi="Times New Roman" w:cs="Times New Roman"/>
                <w:sz w:val="20"/>
                <w:szCs w:val="20"/>
              </w:rPr>
              <w:t>д-р.экон. наук, профессор кафедры экономического анализа</w:t>
            </w:r>
          </w:p>
          <w:p w:rsidR="001B4E4F" w:rsidRPr="00687089" w:rsidRDefault="001B4E4F" w:rsidP="00687089">
            <w:pPr>
              <w:tabs>
                <w:tab w:val="left" w:pos="5949"/>
              </w:tabs>
              <w:spacing w:after="0" w:line="240" w:lineRule="auto"/>
              <w:rPr>
                <w:rFonts w:ascii="Times New Roman" w:hAnsi="Times New Roman" w:cs="Times New Roman"/>
                <w:sz w:val="20"/>
                <w:szCs w:val="20"/>
              </w:rPr>
            </w:pPr>
            <w:r w:rsidRPr="00687089">
              <w:rPr>
                <w:rFonts w:ascii="Times New Roman" w:hAnsi="Times New Roman" w:cs="Times New Roman"/>
                <w:sz w:val="20"/>
                <w:szCs w:val="20"/>
              </w:rPr>
              <w:t>РИНЦ SPIN-код:  9720-2140</w:t>
            </w:r>
          </w:p>
          <w:p w:rsidR="001B4E4F" w:rsidRPr="00687089" w:rsidRDefault="001B4E4F" w:rsidP="00687089">
            <w:pPr>
              <w:tabs>
                <w:tab w:val="left" w:pos="5949"/>
              </w:tabs>
              <w:spacing w:after="0" w:line="240" w:lineRule="auto"/>
              <w:rPr>
                <w:rFonts w:ascii="Times New Roman" w:hAnsi="Times New Roman" w:cs="Times New Roman"/>
                <w:sz w:val="20"/>
                <w:szCs w:val="20"/>
              </w:rPr>
            </w:pPr>
          </w:p>
          <w:p w:rsidR="001B4E4F"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rPr>
              <w:t>Поляков В. Е</w:t>
            </w:r>
          </w:p>
          <w:p w:rsidR="001B4E4F" w:rsidRPr="00687089"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ассистент кафедры экономического анализа</w:t>
            </w:r>
          </w:p>
          <w:p w:rsidR="001B4E4F" w:rsidRPr="00687089" w:rsidRDefault="001B4E4F" w:rsidP="00687089">
            <w:pPr>
              <w:spacing w:after="0" w:line="240" w:lineRule="auto"/>
              <w:rPr>
                <w:rFonts w:ascii="Times New Roman" w:hAnsi="Times New Roman" w:cs="Times New Roman"/>
                <w:sz w:val="20"/>
                <w:szCs w:val="20"/>
              </w:rPr>
            </w:pPr>
          </w:p>
          <w:p w:rsidR="001B4E4F" w:rsidRPr="00A31626"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Новожилов И</w:t>
            </w:r>
            <w:r>
              <w:rPr>
                <w:rFonts w:ascii="Times New Roman" w:hAnsi="Times New Roman" w:cs="Times New Roman"/>
                <w:sz w:val="20"/>
                <w:szCs w:val="20"/>
              </w:rPr>
              <w:t>ван Михайлович</w:t>
            </w:r>
          </w:p>
          <w:p w:rsidR="001B4E4F" w:rsidRPr="00687089"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аспирант</w:t>
            </w:r>
          </w:p>
          <w:p w:rsidR="001B4E4F" w:rsidRPr="00687089" w:rsidRDefault="001B4E4F" w:rsidP="00687089">
            <w:pPr>
              <w:spacing w:after="0" w:line="240" w:lineRule="auto"/>
              <w:rPr>
                <w:rFonts w:ascii="Times New Roman" w:hAnsi="Times New Roman" w:cs="Times New Roman"/>
                <w:i/>
                <w:sz w:val="20"/>
                <w:szCs w:val="20"/>
              </w:rPr>
            </w:pPr>
            <w:r w:rsidRPr="00687089">
              <w:rPr>
                <w:rFonts w:ascii="Times New Roman" w:hAnsi="Times New Roman" w:cs="Times New Roman"/>
                <w:i/>
                <w:sz w:val="20"/>
                <w:szCs w:val="20"/>
              </w:rPr>
              <w:t>Кубанский государственный аграрный университет, Краснодар, Россия</w:t>
            </w:r>
          </w:p>
          <w:p w:rsidR="001B4E4F" w:rsidRPr="00687089" w:rsidRDefault="001B4E4F" w:rsidP="00687089">
            <w:pPr>
              <w:tabs>
                <w:tab w:val="left" w:pos="5949"/>
              </w:tabs>
              <w:spacing w:after="0" w:line="240" w:lineRule="auto"/>
              <w:rPr>
                <w:rFonts w:ascii="Times New Roman" w:hAnsi="Times New Roman" w:cs="Times New Roman"/>
                <w:sz w:val="20"/>
                <w:szCs w:val="20"/>
              </w:rPr>
            </w:pPr>
          </w:p>
          <w:p w:rsidR="001B4E4F" w:rsidRPr="00A31626"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 xml:space="preserve">Пшмахова </w:t>
            </w:r>
            <w:r w:rsidRPr="00A31626">
              <w:rPr>
                <w:rFonts w:ascii="Times New Roman" w:hAnsi="Times New Roman" w:cs="Times New Roman"/>
                <w:sz w:val="20"/>
                <w:szCs w:val="20"/>
              </w:rPr>
              <w:t>Мадина Исмаиловна</w:t>
            </w:r>
          </w:p>
          <w:p w:rsidR="001B4E4F" w:rsidRPr="00687089"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канд. экон. наук, доцент кафедры экономики и управления</w:t>
            </w:r>
          </w:p>
          <w:p w:rsidR="001B4E4F" w:rsidRPr="00DF6EDF" w:rsidRDefault="001B4E4F" w:rsidP="00687089">
            <w:pPr>
              <w:spacing w:after="0" w:line="240" w:lineRule="auto"/>
              <w:rPr>
                <w:rFonts w:ascii="Times New Roman" w:hAnsi="Times New Roman" w:cs="Times New Roman"/>
                <w:i/>
                <w:sz w:val="20"/>
                <w:szCs w:val="20"/>
              </w:rPr>
            </w:pPr>
            <w:r w:rsidRPr="00687089">
              <w:rPr>
                <w:rFonts w:ascii="Times New Roman" w:hAnsi="Times New Roman" w:cs="Times New Roman"/>
                <w:i/>
                <w:sz w:val="20"/>
                <w:szCs w:val="20"/>
              </w:rPr>
              <w:t>Армавирская государственная педагогическая академия</w:t>
            </w:r>
            <w:r w:rsidRPr="00DF6EDF">
              <w:rPr>
                <w:rFonts w:ascii="Times New Roman" w:hAnsi="Times New Roman" w:cs="Times New Roman"/>
                <w:i/>
                <w:sz w:val="20"/>
                <w:szCs w:val="20"/>
              </w:rPr>
              <w:t xml:space="preserve">, </w:t>
            </w:r>
            <w:r>
              <w:rPr>
                <w:rFonts w:ascii="Times New Roman" w:hAnsi="Times New Roman" w:cs="Times New Roman"/>
                <w:i/>
                <w:sz w:val="20"/>
                <w:szCs w:val="20"/>
              </w:rPr>
              <w:t>Армавир, Россия</w:t>
            </w:r>
          </w:p>
          <w:p w:rsidR="001B4E4F" w:rsidRPr="00687089" w:rsidRDefault="001B4E4F" w:rsidP="00687089">
            <w:pPr>
              <w:spacing w:after="0" w:line="240" w:lineRule="auto"/>
              <w:rPr>
                <w:rFonts w:ascii="Times New Roman" w:hAnsi="Times New Roman" w:cs="Times New Roman"/>
                <w:sz w:val="20"/>
                <w:szCs w:val="20"/>
              </w:rPr>
            </w:pPr>
          </w:p>
          <w:p w:rsidR="001B4E4F" w:rsidRPr="004F014F"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В статье дана критическая оценка кредитному скорингу американского экономиста Д. Дюрана, обосновано совершенствование его методики для отечественных условий хозяйствования. Неприемлемость методики Д. Дюрана для анализа финансового состояния отечественных хозяйствующих субъектов объясняется следующими причинами: 1) несовершенством иерархии показателей кредитного скоринга и 2) несовершенством дифференциации балльной оценки за фактическую величину показателей, формирующих кредитный скоринг по группам фирм. В методике Д. Дюрана главным показателем кредитного скоринга является уровень рентабельности совокупных активов – для первого класса фирм, наиболее финансово устойчивых, автор дал оценку  «50 баллов» за фактическую величину рентабельности 30 %; вторым по значимости автор выбрал коэффициент текущей ликвидности – за фактическую величину коэффициента «2,0 и выше» дано 30 баллов для первого класса фирм; третьим показателем оценки финансового состояния фирм автор выбрал коэффициент финансовой независимости – для первой группы фирм фактическую величину коэффициента «0,7 и выше» дана оценка 20 баллов. В пятой, последней группе фирм, балльная оценка равна 0 (за фактическую рентабельность совокупных активов «меньше 1%»; за величину коэффициента текущей ликвидности «1,0 и меньше», за величину коэффициента финансовой независимости «менее 0,2»). Для оценки финансового состояния отечественных сельскохозяйственных товаропроизводителей приоритетным в иерархии показателей, по нашему мнению, является коэффициент финансовой независимости, которую формирует, главным образом, нераспределенная прибыль. Наши исследования показали, что балльная оценка коэффициента величиной «0,8 и выше» должна составлять 50 баллов. Вторым по значимости в оценке финансового состояния организации, на наш взгляд, является рентабельность совокупных активов; ее фактической величине «5 % и выше» должна соответствовать оценка 30 баллов. Третьим в системе показателей, характеризующих финансовое состояние, является коэффициент текущей ликвидности оборотных активов. Его фактическая величина «3,2 и выше» должна оцениваться в 20 баллов для сельскохозяйственных организаций первой, наибо</w:t>
            </w:r>
            <w:r>
              <w:rPr>
                <w:rFonts w:ascii="Times New Roman" w:hAnsi="Times New Roman" w:cs="Times New Roman"/>
                <w:sz w:val="20"/>
                <w:szCs w:val="20"/>
              </w:rPr>
              <w:t>лее финансово устойчивой группы</w:t>
            </w:r>
          </w:p>
          <w:p w:rsidR="001B4E4F" w:rsidRPr="00687089" w:rsidRDefault="001B4E4F" w:rsidP="00687089">
            <w:pPr>
              <w:spacing w:after="0" w:line="240" w:lineRule="auto"/>
              <w:rPr>
                <w:rFonts w:ascii="Times New Roman" w:hAnsi="Times New Roman" w:cs="Times New Roman"/>
                <w:sz w:val="20"/>
                <w:szCs w:val="20"/>
              </w:rPr>
            </w:pPr>
          </w:p>
          <w:p w:rsidR="001B4E4F" w:rsidRPr="00687089" w:rsidRDefault="001B4E4F" w:rsidP="00687089">
            <w:pPr>
              <w:spacing w:after="0" w:line="240" w:lineRule="auto"/>
              <w:rPr>
                <w:rFonts w:ascii="Times New Roman" w:hAnsi="Times New Roman" w:cs="Times New Roman"/>
                <w:sz w:val="20"/>
                <w:szCs w:val="20"/>
              </w:rPr>
            </w:pPr>
            <w:r w:rsidRPr="00687089">
              <w:rPr>
                <w:rFonts w:ascii="Times New Roman" w:hAnsi="Times New Roman" w:cs="Times New Roman"/>
                <w:sz w:val="20"/>
                <w:szCs w:val="20"/>
              </w:rPr>
              <w:t>Ключевые слова: КРЕДИТНЫЙ СКОРИНГ, МЕТОДИКА Д. ДЮРАНА, ИЕРАРХИЯ ПОКАЗАТЕЛЕЙ ФОРМИРОВАНИЯ РЕЙТИНГА, СЕЛЬСКОХОЗЯЙСТВЕННАЯ ОРГАНИЗАЦИЯ</w:t>
            </w:r>
          </w:p>
        </w:tc>
        <w:tc>
          <w:tcPr>
            <w:tcW w:w="4643" w:type="dxa"/>
          </w:tcPr>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UDC 658.14:631.115</w:t>
            </w: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Economical sciences</w:t>
            </w: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b/>
                <w:sz w:val="20"/>
                <w:szCs w:val="20"/>
                <w:lang w:val="en-US"/>
              </w:rPr>
            </w:pPr>
            <w:r w:rsidRPr="00687089">
              <w:rPr>
                <w:rFonts w:ascii="Times New Roman" w:hAnsi="Times New Roman" w:cs="Times New Roman"/>
                <w:b/>
                <w:sz w:val="20"/>
                <w:szCs w:val="20"/>
                <w:lang w:val="en-US"/>
              </w:rPr>
              <w:t xml:space="preserve">PROBLEMS </w:t>
            </w:r>
            <w:r>
              <w:rPr>
                <w:rFonts w:ascii="Times New Roman" w:hAnsi="Times New Roman" w:cs="Times New Roman"/>
                <w:b/>
                <w:sz w:val="20"/>
                <w:szCs w:val="20"/>
                <w:lang w:val="en-US"/>
              </w:rPr>
              <w:t xml:space="preserve">OF </w:t>
            </w:r>
            <w:r w:rsidRPr="00687089">
              <w:rPr>
                <w:rFonts w:ascii="Times New Roman" w:hAnsi="Times New Roman" w:cs="Times New Roman"/>
                <w:b/>
                <w:sz w:val="20"/>
                <w:szCs w:val="20"/>
                <w:lang w:val="en-US"/>
              </w:rPr>
              <w:t>RATING OF FINANCIAL ACTIVITY OF MANAGING SUBJECTS OF AGRARIAN SPHERE</w:t>
            </w: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Prudnikov Anatoliy Grigorievich</w:t>
            </w:r>
          </w:p>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Dr.</w:t>
            </w:r>
            <w:r>
              <w:rPr>
                <w:rFonts w:ascii="Times New Roman" w:hAnsi="Times New Roman" w:cs="Times New Roman"/>
                <w:sz w:val="20"/>
                <w:szCs w:val="20"/>
                <w:lang w:val="en-US"/>
              </w:rPr>
              <w:t>Sci.</w:t>
            </w:r>
            <w:r w:rsidRPr="00687089">
              <w:rPr>
                <w:rFonts w:ascii="Times New Roman" w:hAnsi="Times New Roman" w:cs="Times New Roman"/>
                <w:sz w:val="20"/>
                <w:szCs w:val="20"/>
                <w:lang w:val="en-US"/>
              </w:rPr>
              <w:t xml:space="preserve">Econ., </w:t>
            </w:r>
            <w:r>
              <w:rPr>
                <w:rFonts w:ascii="Times New Roman" w:hAnsi="Times New Roman" w:cs="Times New Roman"/>
                <w:sz w:val="20"/>
                <w:szCs w:val="20"/>
                <w:lang w:val="en-US"/>
              </w:rPr>
              <w:t>p</w:t>
            </w:r>
            <w:r w:rsidRPr="00687089">
              <w:rPr>
                <w:rFonts w:ascii="Times New Roman" w:hAnsi="Times New Roman" w:cs="Times New Roman"/>
                <w:sz w:val="20"/>
                <w:szCs w:val="20"/>
                <w:lang w:val="en-US"/>
              </w:rPr>
              <w:t xml:space="preserve">rofessor, </w:t>
            </w:r>
            <w:r>
              <w:rPr>
                <w:rFonts w:ascii="Times New Roman" w:hAnsi="Times New Roman" w:cs="Times New Roman"/>
                <w:sz w:val="20"/>
                <w:szCs w:val="20"/>
                <w:lang w:val="en-US"/>
              </w:rPr>
              <w:t>the C</w:t>
            </w:r>
            <w:r w:rsidRPr="00687089">
              <w:rPr>
                <w:rFonts w:ascii="Times New Roman" w:hAnsi="Times New Roman" w:cs="Times New Roman"/>
                <w:sz w:val="20"/>
                <w:szCs w:val="20"/>
                <w:lang w:val="en-US"/>
              </w:rPr>
              <w:t>hair of economic analysis</w:t>
            </w:r>
          </w:p>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RSCI SPIN- code: 9720-2140</w:t>
            </w:r>
          </w:p>
          <w:p w:rsidR="001B4E4F" w:rsidRPr="004F014F" w:rsidRDefault="001B4E4F" w:rsidP="00687089">
            <w:pPr>
              <w:spacing w:after="0" w:line="240" w:lineRule="auto"/>
              <w:rPr>
                <w:rFonts w:ascii="Times New Roman" w:hAnsi="Times New Roman" w:cs="Times New Roman"/>
                <w:sz w:val="20"/>
                <w:szCs w:val="20"/>
                <w:lang w:val="en-US"/>
              </w:rPr>
            </w:pPr>
          </w:p>
          <w:p w:rsidR="001B4E4F" w:rsidRPr="004F014F" w:rsidRDefault="001B4E4F" w:rsidP="00687089">
            <w:pPr>
              <w:spacing w:after="0" w:line="240" w:lineRule="auto"/>
              <w:rPr>
                <w:rFonts w:ascii="Times New Roman" w:hAnsi="Times New Roman" w:cs="Times New Roman"/>
                <w:sz w:val="20"/>
                <w:szCs w:val="20"/>
                <w:lang w:val="en-US"/>
              </w:rPr>
            </w:pPr>
            <w:r w:rsidRPr="004F014F">
              <w:rPr>
                <w:rFonts w:ascii="Times New Roman" w:hAnsi="Times New Roman" w:cs="Times New Roman"/>
                <w:sz w:val="20"/>
                <w:szCs w:val="20"/>
                <w:lang w:val="en-US"/>
              </w:rPr>
              <w:t>Polyakov V. E., assistant Professor of economic analysis</w:t>
            </w:r>
          </w:p>
          <w:p w:rsidR="001B4E4F" w:rsidRPr="004F014F" w:rsidRDefault="001B4E4F" w:rsidP="00687089">
            <w:pPr>
              <w:spacing w:after="0" w:line="240" w:lineRule="auto"/>
              <w:rPr>
                <w:rFonts w:ascii="Times New Roman" w:hAnsi="Times New Roman" w:cs="Times New Roman"/>
                <w:sz w:val="20"/>
                <w:szCs w:val="20"/>
                <w:lang w:val="en-US"/>
              </w:rPr>
            </w:pPr>
          </w:p>
          <w:p w:rsidR="001B4E4F" w:rsidRDefault="001B4E4F" w:rsidP="00687089">
            <w:pPr>
              <w:spacing w:after="0" w:line="240" w:lineRule="auto"/>
              <w:rPr>
                <w:rFonts w:ascii="Times New Roman" w:hAnsi="Times New Roman" w:cs="Times New Roman"/>
                <w:sz w:val="20"/>
                <w:szCs w:val="20"/>
                <w:lang w:val="en-US"/>
              </w:rPr>
            </w:pPr>
            <w:r w:rsidRPr="004F014F">
              <w:rPr>
                <w:rFonts w:ascii="Times New Roman" w:hAnsi="Times New Roman" w:cs="Times New Roman"/>
                <w:sz w:val="20"/>
                <w:szCs w:val="20"/>
                <w:lang w:val="en-US"/>
              </w:rPr>
              <w:t>Novozhilov I</w:t>
            </w:r>
            <w:r>
              <w:rPr>
                <w:rFonts w:ascii="Times New Roman" w:hAnsi="Times New Roman" w:cs="Times New Roman"/>
                <w:sz w:val="20"/>
                <w:szCs w:val="20"/>
                <w:lang w:val="en-US"/>
              </w:rPr>
              <w:t>van Mikhailovich</w:t>
            </w:r>
          </w:p>
          <w:p w:rsidR="001B4E4F" w:rsidRPr="004F014F" w:rsidRDefault="001B4E4F" w:rsidP="0068708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post</w:t>
            </w:r>
            <w:r w:rsidRPr="004F014F">
              <w:rPr>
                <w:rFonts w:ascii="Times New Roman" w:hAnsi="Times New Roman" w:cs="Times New Roman"/>
                <w:sz w:val="20"/>
                <w:szCs w:val="20"/>
                <w:lang w:val="en-US"/>
              </w:rPr>
              <w:t>graduate student</w:t>
            </w:r>
          </w:p>
          <w:p w:rsidR="001B4E4F" w:rsidRPr="00DF6EDF" w:rsidRDefault="001B4E4F" w:rsidP="00687089">
            <w:pPr>
              <w:spacing w:after="0" w:line="240" w:lineRule="auto"/>
              <w:rPr>
                <w:rFonts w:ascii="Times New Roman" w:hAnsi="Times New Roman" w:cs="Times New Roman"/>
                <w:i/>
                <w:sz w:val="20"/>
                <w:szCs w:val="20"/>
                <w:lang w:val="en-US"/>
              </w:rPr>
            </w:pPr>
            <w:r w:rsidRPr="00DF6EDF">
              <w:rPr>
                <w:rFonts w:ascii="Times New Roman" w:hAnsi="Times New Roman" w:cs="Times New Roman"/>
                <w:i/>
                <w:sz w:val="20"/>
                <w:szCs w:val="20"/>
                <w:lang w:val="en-US"/>
              </w:rPr>
              <w:t xml:space="preserve">Kuban state agrarian University, Krasnodar, </w:t>
            </w:r>
            <w:smartTag w:uri="urn:schemas-microsoft-com:office:smarttags" w:element="place">
              <w:smartTag w:uri="urn:schemas-microsoft-com:office:smarttags" w:element="country-region">
                <w:r w:rsidRPr="00DF6EDF">
                  <w:rPr>
                    <w:rFonts w:ascii="Times New Roman" w:hAnsi="Times New Roman" w:cs="Times New Roman"/>
                    <w:i/>
                    <w:sz w:val="20"/>
                    <w:szCs w:val="20"/>
                    <w:lang w:val="en-US"/>
                  </w:rPr>
                  <w:t>Russia</w:t>
                </w:r>
              </w:smartTag>
            </w:smartTag>
          </w:p>
          <w:p w:rsidR="001B4E4F" w:rsidRPr="004F014F" w:rsidRDefault="001B4E4F" w:rsidP="00687089">
            <w:pPr>
              <w:spacing w:after="0" w:line="240" w:lineRule="auto"/>
              <w:rPr>
                <w:rFonts w:ascii="Times New Roman" w:hAnsi="Times New Roman" w:cs="Times New Roman"/>
                <w:sz w:val="20"/>
                <w:szCs w:val="20"/>
                <w:lang w:val="en-US"/>
              </w:rPr>
            </w:pPr>
          </w:p>
          <w:p w:rsidR="001B4E4F" w:rsidRPr="004F014F" w:rsidRDefault="001B4E4F" w:rsidP="00687089">
            <w:pPr>
              <w:spacing w:after="0" w:line="240" w:lineRule="auto"/>
              <w:rPr>
                <w:rFonts w:ascii="Times New Roman" w:hAnsi="Times New Roman" w:cs="Times New Roman"/>
                <w:sz w:val="20"/>
                <w:szCs w:val="20"/>
                <w:lang w:val="en-US"/>
              </w:rPr>
            </w:pPr>
          </w:p>
          <w:p w:rsidR="001B4E4F" w:rsidRDefault="001B4E4F" w:rsidP="00687089">
            <w:pPr>
              <w:spacing w:after="0" w:line="240" w:lineRule="auto"/>
              <w:rPr>
                <w:rFonts w:ascii="Times New Roman" w:hAnsi="Times New Roman" w:cs="Times New Roman"/>
                <w:sz w:val="20"/>
                <w:szCs w:val="20"/>
                <w:lang w:val="en-US"/>
              </w:rPr>
            </w:pPr>
            <w:r w:rsidRPr="004F014F">
              <w:rPr>
                <w:rFonts w:ascii="Times New Roman" w:hAnsi="Times New Roman" w:cs="Times New Roman"/>
                <w:sz w:val="20"/>
                <w:szCs w:val="20"/>
              </w:rPr>
              <w:t>Р</w:t>
            </w:r>
            <w:r w:rsidRPr="004F014F">
              <w:rPr>
                <w:rFonts w:ascii="Times New Roman" w:hAnsi="Times New Roman" w:cs="Times New Roman"/>
                <w:sz w:val="20"/>
                <w:szCs w:val="20"/>
                <w:lang w:val="en-US"/>
              </w:rPr>
              <w:t>shmahova M</w:t>
            </w:r>
            <w:r>
              <w:rPr>
                <w:rFonts w:ascii="Times New Roman" w:hAnsi="Times New Roman" w:cs="Times New Roman"/>
                <w:sz w:val="20"/>
                <w:szCs w:val="20"/>
                <w:lang w:val="en-US"/>
              </w:rPr>
              <w:t>adina Ismailovna</w:t>
            </w:r>
          </w:p>
          <w:p w:rsidR="001B4E4F" w:rsidRPr="004F014F" w:rsidRDefault="001B4E4F" w:rsidP="00687089">
            <w:pPr>
              <w:spacing w:after="0" w:line="240" w:lineRule="auto"/>
              <w:rPr>
                <w:rFonts w:ascii="Times New Roman" w:hAnsi="Times New Roman" w:cs="Times New Roman"/>
                <w:sz w:val="20"/>
                <w:szCs w:val="20"/>
                <w:lang w:val="en-US"/>
              </w:rPr>
            </w:pPr>
            <w:r w:rsidRPr="004F014F">
              <w:rPr>
                <w:rFonts w:ascii="Times New Roman" w:hAnsi="Times New Roman" w:cs="Times New Roman"/>
                <w:sz w:val="20"/>
                <w:szCs w:val="20"/>
                <w:lang w:val="en-US"/>
              </w:rPr>
              <w:t>Cand. Econ. Sciences, associate Professor in the Department of Economics and management</w:t>
            </w:r>
          </w:p>
          <w:p w:rsidR="001B4E4F" w:rsidRPr="00DF6EDF" w:rsidRDefault="001B4E4F" w:rsidP="00687089">
            <w:pPr>
              <w:spacing w:after="0" w:line="240" w:lineRule="auto"/>
              <w:rPr>
                <w:rFonts w:ascii="Times New Roman" w:hAnsi="Times New Roman" w:cs="Times New Roman"/>
                <w:i/>
                <w:sz w:val="20"/>
                <w:szCs w:val="20"/>
                <w:lang w:val="en-US"/>
              </w:rPr>
            </w:pPr>
            <w:r w:rsidRPr="00DF6EDF">
              <w:rPr>
                <w:rFonts w:ascii="Times New Roman" w:hAnsi="Times New Roman" w:cs="Times New Roman"/>
                <w:i/>
                <w:sz w:val="20"/>
                <w:szCs w:val="20"/>
                <w:lang w:val="en-US"/>
              </w:rPr>
              <w:t>Armavir state pedagogical Academy, Armavir, Russia</w:t>
            </w:r>
          </w:p>
          <w:p w:rsidR="001B4E4F" w:rsidRPr="00687089" w:rsidRDefault="001B4E4F" w:rsidP="00687089">
            <w:pPr>
              <w:spacing w:after="0" w:line="240" w:lineRule="auto"/>
              <w:rPr>
                <w:rFonts w:ascii="Times New Roman" w:hAnsi="Times New Roman" w:cs="Times New Roman"/>
                <w:i/>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 xml:space="preserve">In the article </w:t>
            </w:r>
            <w:r>
              <w:rPr>
                <w:rFonts w:ascii="Times New Roman" w:hAnsi="Times New Roman" w:cs="Times New Roman"/>
                <w:sz w:val="20"/>
                <w:szCs w:val="20"/>
                <w:lang w:val="en-US"/>
              </w:rPr>
              <w:t>we have</w:t>
            </w:r>
            <w:r w:rsidRPr="00687089">
              <w:rPr>
                <w:rFonts w:ascii="Times New Roman" w:hAnsi="Times New Roman" w:cs="Times New Roman"/>
                <w:sz w:val="20"/>
                <w:szCs w:val="20"/>
                <w:lang w:val="en-US"/>
              </w:rPr>
              <w:t xml:space="preserve"> given a critical assessment of credit scoring by American economist D. Duran, </w:t>
            </w:r>
            <w:r>
              <w:rPr>
                <w:rFonts w:ascii="Times New Roman" w:hAnsi="Times New Roman" w:cs="Times New Roman"/>
                <w:sz w:val="20"/>
                <w:szCs w:val="20"/>
                <w:lang w:val="en-US"/>
              </w:rPr>
              <w:t xml:space="preserve">we have </w:t>
            </w:r>
            <w:r w:rsidRPr="00687089">
              <w:rPr>
                <w:rFonts w:ascii="Times New Roman" w:hAnsi="Times New Roman" w:cs="Times New Roman"/>
                <w:sz w:val="20"/>
                <w:szCs w:val="20"/>
                <w:lang w:val="en-US"/>
              </w:rPr>
              <w:t>grounded the developing of his method for the domestic economic conditions. The unacceptability of D. Duran’s method for the analysis of financial condition of domestic economic entities is explained by the following reasons: 1) the imperfection of the hierarchy of indicators of credit scoring, and 2) the imperfection of differentiation of scoring for the actual value of the indicators, forming the credit scoring by groups of firms. In the methodology of D. Duran the main indicator is a level of credit scoring profitability of total assets - for the first class of firms, that are the most financially stable, the author</w:t>
            </w:r>
            <w:r>
              <w:rPr>
                <w:rFonts w:ascii="Times New Roman" w:hAnsi="Times New Roman" w:cs="Times New Roman"/>
                <w:sz w:val="20"/>
                <w:szCs w:val="20"/>
                <w:lang w:val="en-US"/>
              </w:rPr>
              <w:t>s have</w:t>
            </w:r>
            <w:r w:rsidRPr="00687089">
              <w:rPr>
                <w:rFonts w:ascii="Times New Roman" w:hAnsi="Times New Roman" w:cs="Times New Roman"/>
                <w:sz w:val="20"/>
                <w:szCs w:val="20"/>
                <w:lang w:val="en-US"/>
              </w:rPr>
              <w:t xml:space="preserve"> given a rating of "50 points" for the actual value of the profitability of 30%; the second most important indicator by the author’s choice is the ratio of current liquidity - for the actual value of the coefficient "of 2.0 and higher," are given 30 points to a first-class firms; the third indicator of the financial condition of firms author has defined as the ratio of the financial independence - for the first group of firms the actual value of the coefficient "of 0.7 and higher," are assessed 20 points. In the fifth, the last group of firms, numerical score is 0 (for the actual return on total assets "of less than 1%", as the value of the current liquidity ratio "of 1.0 or less," for the coefficient of financial independence "less than 0.2"). For assessment of the financial condition of the domestic agricultural producers, a priority in the hierarchy of indicators, in our opinion, has the ratio of financial independence, which is formed mainly by retained earnings. Our researches have shown that the numerical score of the coefficient value "of 0.8 and above" should be 50 points. The second most important in the assessment of the financial condition of the organization, in our opinion, is the profitability of total assets; its actual value "of 5% and above" should correspond to score 30 points. The third in the system of indicators, characterizing the financial condition, is the ratio of current liquidity of the assets. Its actual value "of 3.2 and above" should be evaluated in 20 points for the agricultural organizations of the first,</w:t>
            </w:r>
            <w:r>
              <w:rPr>
                <w:rFonts w:ascii="Times New Roman" w:hAnsi="Times New Roman" w:cs="Times New Roman"/>
                <w:sz w:val="20"/>
                <w:szCs w:val="20"/>
                <w:lang w:val="en-US"/>
              </w:rPr>
              <w:t xml:space="preserve"> most financially stable, group</w:t>
            </w: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p>
          <w:p w:rsidR="001B4E4F" w:rsidRDefault="001B4E4F" w:rsidP="00687089">
            <w:pPr>
              <w:spacing w:after="0" w:line="240" w:lineRule="auto"/>
              <w:rPr>
                <w:rFonts w:ascii="Times New Roman" w:hAnsi="Times New Roman" w:cs="Times New Roman"/>
                <w:sz w:val="20"/>
                <w:szCs w:val="20"/>
                <w:lang w:val="en-US"/>
              </w:rPr>
            </w:pPr>
          </w:p>
          <w:p w:rsidR="001B4E4F" w:rsidRDefault="001B4E4F" w:rsidP="00687089">
            <w:pPr>
              <w:spacing w:after="0" w:line="240" w:lineRule="auto"/>
              <w:rPr>
                <w:rFonts w:ascii="Times New Roman" w:hAnsi="Times New Roman" w:cs="Times New Roman"/>
                <w:sz w:val="20"/>
                <w:szCs w:val="20"/>
                <w:lang w:val="en-US"/>
              </w:rPr>
            </w:pPr>
          </w:p>
          <w:p w:rsidR="001B4E4F" w:rsidRDefault="001B4E4F" w:rsidP="00687089">
            <w:pPr>
              <w:spacing w:after="0" w:line="240" w:lineRule="auto"/>
              <w:rPr>
                <w:rFonts w:ascii="Times New Roman" w:hAnsi="Times New Roman" w:cs="Times New Roman"/>
                <w:sz w:val="20"/>
                <w:szCs w:val="20"/>
                <w:lang w:val="en-US"/>
              </w:rPr>
            </w:pPr>
          </w:p>
          <w:p w:rsidR="001B4E4F" w:rsidRPr="00687089" w:rsidRDefault="001B4E4F" w:rsidP="00687089">
            <w:pPr>
              <w:spacing w:after="0" w:line="240" w:lineRule="auto"/>
              <w:rPr>
                <w:rFonts w:ascii="Times New Roman" w:hAnsi="Times New Roman" w:cs="Times New Roman"/>
                <w:sz w:val="20"/>
                <w:szCs w:val="20"/>
                <w:lang w:val="en-US"/>
              </w:rPr>
            </w:pPr>
          </w:p>
          <w:p w:rsidR="001B4E4F" w:rsidRDefault="001B4E4F" w:rsidP="00687089">
            <w:pPr>
              <w:spacing w:after="0" w:line="240" w:lineRule="auto"/>
              <w:rPr>
                <w:rFonts w:ascii="Times New Roman" w:hAnsi="Times New Roman" w:cs="Times New Roman"/>
                <w:sz w:val="20"/>
                <w:szCs w:val="20"/>
              </w:rPr>
            </w:pPr>
          </w:p>
          <w:p w:rsidR="001B4E4F" w:rsidRPr="006D2CFD" w:rsidRDefault="001B4E4F" w:rsidP="00687089">
            <w:pPr>
              <w:spacing w:after="0" w:line="240" w:lineRule="auto"/>
              <w:rPr>
                <w:rFonts w:ascii="Times New Roman" w:hAnsi="Times New Roman" w:cs="Times New Roman"/>
                <w:sz w:val="20"/>
                <w:szCs w:val="20"/>
              </w:rPr>
            </w:pPr>
          </w:p>
          <w:p w:rsidR="001B4E4F" w:rsidRPr="00687089" w:rsidRDefault="001B4E4F" w:rsidP="00687089">
            <w:pPr>
              <w:spacing w:after="0" w:line="240" w:lineRule="auto"/>
              <w:rPr>
                <w:rFonts w:ascii="Times New Roman" w:hAnsi="Times New Roman" w:cs="Times New Roman"/>
                <w:sz w:val="20"/>
                <w:szCs w:val="20"/>
                <w:lang w:val="en-US"/>
              </w:rPr>
            </w:pPr>
            <w:r w:rsidRPr="00687089">
              <w:rPr>
                <w:rFonts w:ascii="Times New Roman" w:hAnsi="Times New Roman" w:cs="Times New Roman"/>
                <w:sz w:val="20"/>
                <w:szCs w:val="20"/>
                <w:lang w:val="en-US"/>
              </w:rPr>
              <w:t>Keywords: CREDIT SCORING, D. DURANS’ METHOD, HIERARCHY OF INDICATORS OF RATING FORMATION, AGRICULTURAL ORGANIZATION</w:t>
            </w:r>
          </w:p>
        </w:tc>
      </w:tr>
    </w:tbl>
    <w:p w:rsidR="001B4E4F" w:rsidRPr="00526E1F" w:rsidRDefault="001B4E4F" w:rsidP="00526E1F">
      <w:pPr>
        <w:spacing w:line="240" w:lineRule="auto"/>
        <w:rPr>
          <w:sz w:val="20"/>
          <w:szCs w:val="20"/>
          <w:lang w:val="en-US"/>
        </w:rPr>
      </w:pP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Исследования выявили несовершенство разработанных отечественными и зарубежными авторами методик рейтинговой оценки финансово-хозяйственной деятельности хозяйствующих субъектов. Рассмотрим недостатки методики кредитного скоринга Д. Дюрана. В этой методике, по нашему мнению, превалирует субъективизм автора. Так, по прибыльности совокупного капитала для первого класса фирм Д. Дюран определил оценку в 50 баллов для рентабельности «30 % и выше»; для второго класса «49,9 -35 баллов» соответствуют рентабельности «от 29,9 до 20 %»; для третьего класса с рентабельностью «от 19,9 до 10 %» оценка равна «от 34,9 до 20 баллов»; для четвертого класса фирм с рентабельностью совокупного капитала «от 9,9 до 1%» установлена величина «от 19,9 до 5 баллов»; для пятого класса фирм с рентабельностью «меньше 1%» балльная оценка равна 0.</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На наш взгляд, корректнее принять для всех классов фирм одинаковую балльную оценку за 1% рентабельности совокупных активов, сформированную в первой группе хозяйствующих субъектов – 1,667 балла (50:30). Тогда для второго класса фирм балльная оценка для уровня рентабельности «от 29,9 до 20%» равна 49,8 балла (29,9×1,667) – 33,3 балла (20×1,667); для третьего класса с рентабельностью «от 19,9 до 10%» - оценка составляет 33,2 балла (19,9×1,667) – 16,7 балла (10×1,667); для четвертого класса фирм с рентабельностью «от 9,9 до 1%» оценка равна 16,5 балла (9,9×1,667) – 1,7 балла (1×1,667); для пятого класса с уровнем рентабельности совокупного капитала «меньше 1%» оценка находится в интервале 0 – 1,5 балла.</w:t>
      </w:r>
    </w:p>
    <w:p w:rsidR="001B4E4F" w:rsidRDefault="001B4E4F" w:rsidP="00465B5F">
      <w:pPr>
        <w:spacing w:after="0" w:line="360" w:lineRule="auto"/>
        <w:ind w:right="-144" w:firstLine="709"/>
        <w:jc w:val="both"/>
        <w:rPr>
          <w:rFonts w:ascii="Times New Roman" w:hAnsi="Times New Roman"/>
          <w:sz w:val="28"/>
          <w:szCs w:val="28"/>
        </w:rPr>
      </w:pPr>
      <w:r>
        <w:rPr>
          <w:rFonts w:ascii="Times New Roman" w:hAnsi="Times New Roman" w:cs="Times New Roman"/>
          <w:sz w:val="28"/>
          <w:szCs w:val="28"/>
        </w:rPr>
        <w:t>Коэффициенту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Д. Дюран дал оценку 30 баллов за величину «2,0 и выше» для первого класса фирм; для второго класса фирм с величиной коэффициента «от 1,99 до1,7» определена оценка «от 29,9 до 20 баллов»; для третьего класса фирм с коэффициентом текущей</w:t>
      </w:r>
      <w:r>
        <w:rPr>
          <w:rFonts w:ascii="Times New Roman" w:hAnsi="Times New Roman"/>
          <w:sz w:val="28"/>
          <w:szCs w:val="28"/>
        </w:rPr>
        <w:t xml:space="preserve"> ликвидности «от 1,69 до 1,4» автор дал «от 19,9 до 10 </w:t>
      </w:r>
      <w:r>
        <w:rPr>
          <w:rFonts w:ascii="Times New Roman" w:hAnsi="Times New Roman" w:cs="Times New Roman"/>
          <w:sz w:val="28"/>
          <w:szCs w:val="28"/>
        </w:rPr>
        <w:t>баллов»; для четвертого класса фирм с коэффициентом «от 1,39 до 1,1» дана оценка «от 9,9 до 1 балла»; для пятого класса с коэффициентом текущей</w:t>
      </w:r>
      <w:r>
        <w:rPr>
          <w:rFonts w:ascii="Times New Roman" w:hAnsi="Times New Roman"/>
          <w:sz w:val="28"/>
          <w:szCs w:val="28"/>
        </w:rPr>
        <w:t xml:space="preserve"> ликвидности «1 и меньше» определена нулевая оценка.</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sz w:val="28"/>
          <w:szCs w:val="28"/>
        </w:rPr>
        <w:t xml:space="preserve">Если использовать такой же принцип как и для </w:t>
      </w:r>
      <w:r>
        <w:rPr>
          <w:rFonts w:ascii="Times New Roman" w:hAnsi="Times New Roman" w:cs="Times New Roman"/>
          <w:sz w:val="28"/>
          <w:szCs w:val="28"/>
        </w:rPr>
        <w:t>рентабельности совокупного капитала, то в первой группе фирм величине коэффициента текущей</w:t>
      </w:r>
      <w:r>
        <w:rPr>
          <w:rFonts w:ascii="Times New Roman" w:hAnsi="Times New Roman"/>
          <w:sz w:val="28"/>
          <w:szCs w:val="28"/>
        </w:rPr>
        <w:t xml:space="preserve"> ликвидности 1,0 соответствует оценка 15 </w:t>
      </w:r>
      <w:r>
        <w:rPr>
          <w:rFonts w:ascii="Times New Roman" w:hAnsi="Times New Roman" w:cs="Times New Roman"/>
          <w:sz w:val="28"/>
          <w:szCs w:val="28"/>
        </w:rPr>
        <w:t>баллов. Для второй группы фирм</w:t>
      </w:r>
      <w:r>
        <w:rPr>
          <w:rFonts w:ascii="Times New Roman" w:hAnsi="Times New Roman"/>
          <w:sz w:val="28"/>
          <w:szCs w:val="28"/>
        </w:rPr>
        <w:t xml:space="preserve"> оценка</w:t>
      </w:r>
      <w:r>
        <w:rPr>
          <w:rFonts w:ascii="Times New Roman" w:hAnsi="Times New Roman" w:cs="Times New Roman"/>
          <w:sz w:val="28"/>
          <w:szCs w:val="28"/>
        </w:rPr>
        <w:t xml:space="preserve"> равна «от 29,8 до 25,5 балла»; для третьей группы фирм</w:t>
      </w:r>
      <w:r>
        <w:rPr>
          <w:rFonts w:ascii="Times New Roman" w:hAnsi="Times New Roman"/>
          <w:sz w:val="28"/>
          <w:szCs w:val="28"/>
        </w:rPr>
        <w:t xml:space="preserve"> оценка находится в интервале «25,4 – 21,0 </w:t>
      </w:r>
      <w:r>
        <w:rPr>
          <w:rFonts w:ascii="Times New Roman" w:hAnsi="Times New Roman" w:cs="Times New Roman"/>
          <w:sz w:val="28"/>
          <w:szCs w:val="28"/>
        </w:rPr>
        <w:t>балл»; для четвертой группы фирм</w:t>
      </w:r>
      <w:r>
        <w:rPr>
          <w:rFonts w:ascii="Times New Roman" w:hAnsi="Times New Roman"/>
          <w:sz w:val="28"/>
          <w:szCs w:val="28"/>
        </w:rPr>
        <w:t xml:space="preserve"> оценка равна «20,9 – 16,5 </w:t>
      </w:r>
      <w:r>
        <w:rPr>
          <w:rFonts w:ascii="Times New Roman" w:hAnsi="Times New Roman" w:cs="Times New Roman"/>
          <w:sz w:val="28"/>
          <w:szCs w:val="28"/>
        </w:rPr>
        <w:t>балла»; для пятой группы фирм оценка равна «15 баллов и меньше».</w:t>
      </w:r>
    </w:p>
    <w:p w:rsidR="001B4E4F" w:rsidRDefault="001B4E4F" w:rsidP="00465B5F">
      <w:pPr>
        <w:spacing w:after="0" w:line="360" w:lineRule="auto"/>
        <w:ind w:right="-144" w:firstLine="709"/>
        <w:jc w:val="both"/>
        <w:rPr>
          <w:rFonts w:ascii="Times New Roman" w:hAnsi="Times New Roman"/>
          <w:sz w:val="28"/>
          <w:szCs w:val="28"/>
        </w:rPr>
      </w:pPr>
      <w:r>
        <w:rPr>
          <w:rFonts w:ascii="Times New Roman" w:hAnsi="Times New Roman" w:cs="Times New Roman"/>
          <w:sz w:val="28"/>
          <w:szCs w:val="28"/>
        </w:rPr>
        <w:t xml:space="preserve">Коэффициенту финансовой независимости в методике Д. Дюрана дана </w:t>
      </w:r>
      <w:r>
        <w:rPr>
          <w:rFonts w:ascii="Times New Roman" w:hAnsi="Times New Roman"/>
          <w:sz w:val="28"/>
          <w:szCs w:val="28"/>
        </w:rPr>
        <w:t xml:space="preserve">оценка 20 </w:t>
      </w:r>
      <w:r>
        <w:rPr>
          <w:rFonts w:ascii="Times New Roman" w:hAnsi="Times New Roman" w:cs="Times New Roman"/>
          <w:sz w:val="28"/>
          <w:szCs w:val="28"/>
        </w:rPr>
        <w:t xml:space="preserve">баллов при величине коэффициента «0,7 и выше» в первой группе фирм. Во второй группе фирм с коэффициентом от «0,69 до 0,45» дана </w:t>
      </w:r>
      <w:r>
        <w:rPr>
          <w:rFonts w:ascii="Times New Roman" w:hAnsi="Times New Roman"/>
          <w:sz w:val="28"/>
          <w:szCs w:val="28"/>
        </w:rPr>
        <w:t xml:space="preserve">оценка «от 19,9 до 10 </w:t>
      </w:r>
      <w:r>
        <w:rPr>
          <w:rFonts w:ascii="Times New Roman" w:hAnsi="Times New Roman" w:cs="Times New Roman"/>
          <w:sz w:val="28"/>
          <w:szCs w:val="28"/>
        </w:rPr>
        <w:t xml:space="preserve">баллов»; в третьей группе фирм с коэффициентом «от 0,44 до 0,30» оценка равна «от 9,9 до 5 баллов»; в четвертой группе фирм с коэффициентом «от 0,29 до 0,20» </w:t>
      </w:r>
      <w:r>
        <w:rPr>
          <w:rFonts w:ascii="Times New Roman" w:hAnsi="Times New Roman"/>
          <w:sz w:val="28"/>
          <w:szCs w:val="28"/>
        </w:rPr>
        <w:t xml:space="preserve">оценка равна «от 5 </w:t>
      </w:r>
      <w:r>
        <w:rPr>
          <w:rFonts w:ascii="Times New Roman" w:hAnsi="Times New Roman" w:cs="Times New Roman"/>
          <w:sz w:val="28"/>
          <w:szCs w:val="28"/>
        </w:rPr>
        <w:t xml:space="preserve">баллов до 1 балла»; в пятой группе фирм с коэффициентом финансовой независимости «менее 0,2» дана </w:t>
      </w:r>
      <w:r>
        <w:rPr>
          <w:rFonts w:ascii="Times New Roman" w:hAnsi="Times New Roman"/>
          <w:sz w:val="28"/>
          <w:szCs w:val="28"/>
        </w:rPr>
        <w:t>оценка «0».</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sz w:val="28"/>
          <w:szCs w:val="28"/>
        </w:rPr>
        <w:t xml:space="preserve">При использовании принципа равной </w:t>
      </w:r>
      <w:r>
        <w:rPr>
          <w:rFonts w:ascii="Times New Roman" w:hAnsi="Times New Roman" w:cs="Times New Roman"/>
          <w:sz w:val="28"/>
          <w:szCs w:val="28"/>
        </w:rPr>
        <w:t xml:space="preserve">балльной </w:t>
      </w:r>
      <w:r>
        <w:rPr>
          <w:rFonts w:ascii="Times New Roman" w:hAnsi="Times New Roman"/>
          <w:sz w:val="28"/>
          <w:szCs w:val="28"/>
        </w:rPr>
        <w:t xml:space="preserve">оценки за 0,1 </w:t>
      </w:r>
      <w:r>
        <w:rPr>
          <w:rFonts w:ascii="Times New Roman" w:hAnsi="Times New Roman" w:cs="Times New Roman"/>
          <w:sz w:val="28"/>
          <w:szCs w:val="28"/>
        </w:rPr>
        <w:t>величины коэффициента финансовой независимости</w:t>
      </w:r>
      <w:r>
        <w:rPr>
          <w:rFonts w:ascii="Times New Roman" w:hAnsi="Times New Roman"/>
          <w:sz w:val="28"/>
          <w:szCs w:val="28"/>
        </w:rPr>
        <w:t xml:space="preserve"> оценка в </w:t>
      </w:r>
      <w:r>
        <w:rPr>
          <w:rFonts w:ascii="Times New Roman" w:hAnsi="Times New Roman" w:cs="Times New Roman"/>
          <w:sz w:val="28"/>
          <w:szCs w:val="28"/>
        </w:rPr>
        <w:t xml:space="preserve">баллах меняется, по группам фирм. Во второй группе фирм для коэффициента финансовой независимости 0,69 </w:t>
      </w:r>
      <w:r>
        <w:rPr>
          <w:rFonts w:ascii="Times New Roman" w:hAnsi="Times New Roman"/>
          <w:sz w:val="28"/>
          <w:szCs w:val="28"/>
        </w:rPr>
        <w:t xml:space="preserve">оценка равна 19,7 </w:t>
      </w:r>
      <w:r>
        <w:rPr>
          <w:rFonts w:ascii="Times New Roman" w:hAnsi="Times New Roman" w:cs="Times New Roman"/>
          <w:sz w:val="28"/>
          <w:szCs w:val="28"/>
        </w:rPr>
        <w:t xml:space="preserve">балла (28,57×0,69) и для коэффициента 0,45 – 12,9 балла (28,57×0,45); 28,57 балла – это </w:t>
      </w:r>
      <w:r>
        <w:rPr>
          <w:rFonts w:ascii="Times New Roman" w:hAnsi="Times New Roman"/>
          <w:sz w:val="28"/>
          <w:szCs w:val="28"/>
        </w:rPr>
        <w:t xml:space="preserve">оценка за 0,1 </w:t>
      </w:r>
      <w:r>
        <w:rPr>
          <w:rFonts w:ascii="Times New Roman" w:hAnsi="Times New Roman" w:cs="Times New Roman"/>
          <w:sz w:val="28"/>
          <w:szCs w:val="28"/>
        </w:rPr>
        <w:t>величины коэффициента финансовой независимости в первой группе фирм (20:0,7).</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Для третьей группы фирм величине коэффициента финансовой независимости «от 0,44 до 0,30» соответствует значение </w:t>
      </w:r>
      <w:r>
        <w:rPr>
          <w:rFonts w:ascii="Times New Roman" w:hAnsi="Times New Roman"/>
          <w:sz w:val="28"/>
          <w:szCs w:val="28"/>
        </w:rPr>
        <w:t xml:space="preserve">оценки 12,6 </w:t>
      </w:r>
      <w:r>
        <w:rPr>
          <w:rFonts w:ascii="Times New Roman" w:hAnsi="Times New Roman" w:cs="Times New Roman"/>
          <w:sz w:val="28"/>
          <w:szCs w:val="28"/>
        </w:rPr>
        <w:t>балла (28,57×0,44) – 8,6 балла (28,57×0,30).</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Для четвертой группы фирм значению коэффициента финансовой независимости «от 0,29 до 0,20» соответствует значение 8,3</w:t>
      </w:r>
      <w:r>
        <w:rPr>
          <w:rFonts w:ascii="Times New Roman" w:hAnsi="Times New Roman"/>
          <w:sz w:val="28"/>
          <w:szCs w:val="28"/>
        </w:rPr>
        <w:t xml:space="preserve"> </w:t>
      </w:r>
      <w:r>
        <w:rPr>
          <w:rFonts w:ascii="Times New Roman" w:hAnsi="Times New Roman" w:cs="Times New Roman"/>
          <w:sz w:val="28"/>
          <w:szCs w:val="28"/>
        </w:rPr>
        <w:t>балла (28,57×0,29) – 5,7 балла (28,57×0,20).</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Для пятой группы фирм коэффициенту финансовой независимости «меньше 0,2» соответствует </w:t>
      </w:r>
      <w:r>
        <w:rPr>
          <w:rFonts w:ascii="Times New Roman" w:hAnsi="Times New Roman"/>
          <w:sz w:val="28"/>
          <w:szCs w:val="28"/>
        </w:rPr>
        <w:t xml:space="preserve">оценка 5,7 </w:t>
      </w:r>
      <w:r>
        <w:rPr>
          <w:rFonts w:ascii="Times New Roman" w:hAnsi="Times New Roman" w:cs="Times New Roman"/>
          <w:sz w:val="28"/>
          <w:szCs w:val="28"/>
        </w:rPr>
        <w:t xml:space="preserve">балла (например, при величине коэффициента 0,15 его </w:t>
      </w:r>
      <w:r>
        <w:rPr>
          <w:rFonts w:ascii="Times New Roman" w:hAnsi="Times New Roman"/>
          <w:sz w:val="28"/>
          <w:szCs w:val="28"/>
        </w:rPr>
        <w:t>оценка равна 4,3 балла</w:t>
      </w:r>
      <w:r>
        <w:rPr>
          <w:rFonts w:ascii="Times New Roman" w:hAnsi="Times New Roman" w:cs="Times New Roman"/>
          <w:sz w:val="28"/>
          <w:szCs w:val="28"/>
        </w:rPr>
        <w:t>).</w:t>
      </w:r>
    </w:p>
    <w:p w:rsidR="001B4E4F" w:rsidRDefault="001B4E4F" w:rsidP="00465B5F">
      <w:pPr>
        <w:spacing w:after="0" w:line="360" w:lineRule="auto"/>
        <w:ind w:right="-144" w:firstLine="709"/>
        <w:jc w:val="both"/>
        <w:rPr>
          <w:rFonts w:ascii="Times New Roman" w:hAnsi="Times New Roman"/>
          <w:sz w:val="28"/>
          <w:szCs w:val="28"/>
        </w:rPr>
      </w:pPr>
      <w:r>
        <w:rPr>
          <w:rFonts w:ascii="Times New Roman" w:hAnsi="Times New Roman" w:cs="Times New Roman"/>
          <w:sz w:val="28"/>
          <w:szCs w:val="28"/>
        </w:rPr>
        <w:t>Сравнительный анализ балльной</w:t>
      </w:r>
      <w:r>
        <w:rPr>
          <w:rFonts w:ascii="Times New Roman" w:hAnsi="Times New Roman"/>
          <w:sz w:val="28"/>
          <w:szCs w:val="28"/>
        </w:rPr>
        <w:t xml:space="preserve"> оценки показателей кредитного </w:t>
      </w:r>
      <w:r>
        <w:rPr>
          <w:rFonts w:ascii="Times New Roman" w:hAnsi="Times New Roman" w:cs="Times New Roman"/>
          <w:sz w:val="28"/>
          <w:szCs w:val="28"/>
        </w:rPr>
        <w:t>скоринга Д. Дюрана и предложенной нами методики формирования величины рейтинга по группам фирм выявил существенные различия. Так, в группе второй балльная</w:t>
      </w:r>
      <w:r>
        <w:rPr>
          <w:rFonts w:ascii="Times New Roman" w:hAnsi="Times New Roman"/>
          <w:sz w:val="28"/>
          <w:szCs w:val="28"/>
        </w:rPr>
        <w:t xml:space="preserve"> оценка уровня </w:t>
      </w:r>
      <w:r>
        <w:rPr>
          <w:rFonts w:ascii="Times New Roman" w:hAnsi="Times New Roman" w:cs="Times New Roman"/>
          <w:sz w:val="28"/>
          <w:szCs w:val="28"/>
        </w:rPr>
        <w:t>рентабельности совокупного капитала фирмы по методике Д. Дюрана равна 49,9 – 35 баллов, а по предлагаемой нами методике оценка равна 49,8 – 33,3 балла; в третьей группе</w:t>
      </w:r>
      <w:r>
        <w:rPr>
          <w:rFonts w:ascii="Times New Roman" w:hAnsi="Times New Roman"/>
          <w:sz w:val="28"/>
          <w:szCs w:val="28"/>
        </w:rPr>
        <w:t xml:space="preserve"> оценка составляет 34,9 – 20,0 </w:t>
      </w:r>
      <w:r>
        <w:rPr>
          <w:rFonts w:ascii="Times New Roman" w:hAnsi="Times New Roman" w:cs="Times New Roman"/>
          <w:sz w:val="28"/>
          <w:szCs w:val="28"/>
        </w:rPr>
        <w:t>баллов и 33,2 – 16,7 балла соответственно; в четвертой группе</w:t>
      </w:r>
      <w:r>
        <w:rPr>
          <w:rFonts w:ascii="Times New Roman" w:hAnsi="Times New Roman"/>
          <w:sz w:val="28"/>
          <w:szCs w:val="28"/>
        </w:rPr>
        <w:t xml:space="preserve"> оценка равна 19,9 – 5,0 </w:t>
      </w:r>
      <w:r>
        <w:rPr>
          <w:rFonts w:ascii="Times New Roman" w:hAnsi="Times New Roman" w:cs="Times New Roman"/>
          <w:sz w:val="28"/>
          <w:szCs w:val="28"/>
        </w:rPr>
        <w:t>баллов и 16,5 – 1,7 балла; для пятой группы фирм</w:t>
      </w:r>
      <w:r>
        <w:rPr>
          <w:rFonts w:ascii="Times New Roman" w:hAnsi="Times New Roman"/>
          <w:sz w:val="28"/>
          <w:szCs w:val="28"/>
        </w:rPr>
        <w:t xml:space="preserve"> оценка по </w:t>
      </w:r>
      <w:r>
        <w:rPr>
          <w:rFonts w:ascii="Times New Roman" w:hAnsi="Times New Roman" w:cs="Times New Roman"/>
          <w:sz w:val="28"/>
          <w:szCs w:val="28"/>
        </w:rPr>
        <w:t xml:space="preserve">методике Д. Дюрана равна «0», а по предлагаемой нами методике </w:t>
      </w:r>
      <w:r>
        <w:rPr>
          <w:rFonts w:ascii="Times New Roman" w:hAnsi="Times New Roman"/>
          <w:sz w:val="28"/>
          <w:szCs w:val="28"/>
        </w:rPr>
        <w:t xml:space="preserve">оценка находится в интервале «0 – 1,5 </w:t>
      </w:r>
      <w:r>
        <w:rPr>
          <w:rFonts w:ascii="Times New Roman" w:hAnsi="Times New Roman" w:cs="Times New Roman"/>
          <w:sz w:val="28"/>
          <w:szCs w:val="28"/>
        </w:rPr>
        <w:t>балла</w:t>
      </w:r>
      <w:r>
        <w:rPr>
          <w:rFonts w:ascii="Times New Roman" w:hAnsi="Times New Roman"/>
          <w:sz w:val="28"/>
          <w:szCs w:val="28"/>
        </w:rPr>
        <w:t>».</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sz w:val="28"/>
          <w:szCs w:val="28"/>
        </w:rPr>
        <w:t xml:space="preserve">По </w:t>
      </w:r>
      <w:r>
        <w:rPr>
          <w:rFonts w:ascii="Times New Roman" w:hAnsi="Times New Roman" w:cs="Times New Roman"/>
          <w:sz w:val="28"/>
          <w:szCs w:val="28"/>
        </w:rPr>
        <w:t>коэффициенту текущей</w:t>
      </w:r>
      <w:r>
        <w:rPr>
          <w:rFonts w:ascii="Times New Roman" w:hAnsi="Times New Roman"/>
          <w:sz w:val="28"/>
          <w:szCs w:val="28"/>
        </w:rPr>
        <w:t xml:space="preserve"> ликвидности кредитный </w:t>
      </w:r>
      <w:r>
        <w:rPr>
          <w:rFonts w:ascii="Times New Roman" w:hAnsi="Times New Roman" w:cs="Times New Roman"/>
          <w:sz w:val="28"/>
          <w:szCs w:val="28"/>
        </w:rPr>
        <w:t xml:space="preserve">скоринг Д. Дюрана во второй группе фирм равен 29,9 – 20 баллов, а предлагаемое нами изменение равно 29,8 – 25,5 балла; в третьей группе фирм </w:t>
      </w:r>
      <w:r>
        <w:rPr>
          <w:rFonts w:ascii="Times New Roman" w:hAnsi="Times New Roman"/>
          <w:sz w:val="28"/>
          <w:szCs w:val="28"/>
        </w:rPr>
        <w:t xml:space="preserve">оценка кредитного </w:t>
      </w:r>
      <w:r>
        <w:rPr>
          <w:rFonts w:ascii="Times New Roman" w:hAnsi="Times New Roman" w:cs="Times New Roman"/>
          <w:sz w:val="28"/>
          <w:szCs w:val="28"/>
        </w:rPr>
        <w:t xml:space="preserve">скоринга равна 19,9 – 10 баллов, по нашей методике – 25,4 – 21,0 балл; в четвертой группе фирм </w:t>
      </w:r>
      <w:r>
        <w:rPr>
          <w:rFonts w:ascii="Times New Roman" w:hAnsi="Times New Roman"/>
          <w:sz w:val="28"/>
          <w:szCs w:val="28"/>
        </w:rPr>
        <w:t xml:space="preserve">кредитный </w:t>
      </w:r>
      <w:r>
        <w:rPr>
          <w:rFonts w:ascii="Times New Roman" w:hAnsi="Times New Roman" w:cs="Times New Roman"/>
          <w:sz w:val="28"/>
          <w:szCs w:val="28"/>
        </w:rPr>
        <w:t xml:space="preserve">скоринг равен 9,9 – 1,0 балл и 20,9 – 16,5 балла; в пятой группе </w:t>
      </w:r>
      <w:r>
        <w:rPr>
          <w:rFonts w:ascii="Times New Roman" w:hAnsi="Times New Roman"/>
          <w:sz w:val="28"/>
          <w:szCs w:val="28"/>
        </w:rPr>
        <w:t>оценка</w:t>
      </w:r>
      <w:r>
        <w:rPr>
          <w:rFonts w:ascii="Times New Roman" w:hAnsi="Times New Roman" w:cs="Times New Roman"/>
          <w:sz w:val="28"/>
          <w:szCs w:val="28"/>
        </w:rPr>
        <w:t xml:space="preserve"> </w:t>
      </w:r>
      <w:r>
        <w:rPr>
          <w:rFonts w:ascii="Times New Roman" w:hAnsi="Times New Roman"/>
          <w:sz w:val="28"/>
          <w:szCs w:val="28"/>
        </w:rPr>
        <w:t xml:space="preserve">кредитного </w:t>
      </w:r>
      <w:r>
        <w:rPr>
          <w:rFonts w:ascii="Times New Roman" w:hAnsi="Times New Roman" w:cs="Times New Roman"/>
          <w:sz w:val="28"/>
          <w:szCs w:val="28"/>
        </w:rPr>
        <w:t>скоринга составляет «0» и «15 баллов и меньше» соответственно.</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По коэффициенту финансовой независимости величина</w:t>
      </w:r>
      <w:r>
        <w:rPr>
          <w:rFonts w:ascii="Times New Roman" w:hAnsi="Times New Roman"/>
          <w:sz w:val="28"/>
          <w:szCs w:val="28"/>
        </w:rPr>
        <w:t xml:space="preserve"> кредитного </w:t>
      </w:r>
      <w:r>
        <w:rPr>
          <w:rFonts w:ascii="Times New Roman" w:hAnsi="Times New Roman" w:cs="Times New Roman"/>
          <w:sz w:val="28"/>
          <w:szCs w:val="28"/>
        </w:rPr>
        <w:t xml:space="preserve">скоринга Д. Дюрана во второй группе фирм равна 19,9 – 10 баллов, а с учетом предложенной нами методики его величина составляет 19,7 – 12,9 балла; в третьей группе фирм </w:t>
      </w:r>
      <w:r>
        <w:rPr>
          <w:rFonts w:ascii="Times New Roman" w:hAnsi="Times New Roman"/>
          <w:sz w:val="28"/>
          <w:szCs w:val="28"/>
        </w:rPr>
        <w:t xml:space="preserve">оценка равна 9,9 – 5,0 </w:t>
      </w:r>
      <w:r>
        <w:rPr>
          <w:rFonts w:ascii="Times New Roman" w:hAnsi="Times New Roman" w:cs="Times New Roman"/>
          <w:sz w:val="28"/>
          <w:szCs w:val="28"/>
        </w:rPr>
        <w:t xml:space="preserve">баллов и 12,6 – 8,6 балла соответственно; в четвертой группе фирм значение </w:t>
      </w:r>
      <w:r>
        <w:rPr>
          <w:rFonts w:ascii="Times New Roman" w:hAnsi="Times New Roman"/>
          <w:sz w:val="28"/>
          <w:szCs w:val="28"/>
        </w:rPr>
        <w:t xml:space="preserve">кредитного </w:t>
      </w:r>
      <w:r>
        <w:rPr>
          <w:rFonts w:ascii="Times New Roman" w:hAnsi="Times New Roman" w:cs="Times New Roman"/>
          <w:sz w:val="28"/>
          <w:szCs w:val="28"/>
        </w:rPr>
        <w:t xml:space="preserve">скоринга </w:t>
      </w:r>
      <w:r>
        <w:rPr>
          <w:rFonts w:ascii="Times New Roman" w:hAnsi="Times New Roman"/>
          <w:sz w:val="28"/>
          <w:szCs w:val="28"/>
        </w:rPr>
        <w:t xml:space="preserve">равно 5,0 – 1,0 </w:t>
      </w:r>
      <w:r>
        <w:rPr>
          <w:rFonts w:ascii="Times New Roman" w:hAnsi="Times New Roman" w:cs="Times New Roman"/>
          <w:sz w:val="28"/>
          <w:szCs w:val="28"/>
        </w:rPr>
        <w:t>балл и 8,3 – 5,7 балла соответственно; в пятой группе фирм величина</w:t>
      </w:r>
      <w:r>
        <w:rPr>
          <w:rFonts w:ascii="Times New Roman" w:hAnsi="Times New Roman"/>
          <w:sz w:val="28"/>
          <w:szCs w:val="28"/>
        </w:rPr>
        <w:t xml:space="preserve"> оценки</w:t>
      </w:r>
      <w:r>
        <w:rPr>
          <w:rFonts w:ascii="Times New Roman" w:hAnsi="Times New Roman" w:cs="Times New Roman"/>
          <w:sz w:val="28"/>
          <w:szCs w:val="28"/>
        </w:rPr>
        <w:t xml:space="preserve"> составляет «0» баллов – «менее 5,7 балла (4,3 балла)» соответственно.</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Общая величина рейтинга по предложенной нами методике составляет: для второй группы фирм 99,3 – 71,1 балла; для третьей группы 71,2 – 46,3 балла; для четвертой группы 46,1 – 23,9 балла; для пятой группы 0 – 22,2 балла. В первой группе фирм </w:t>
      </w:r>
      <w:r>
        <w:rPr>
          <w:rFonts w:ascii="Times New Roman" w:hAnsi="Times New Roman"/>
          <w:sz w:val="28"/>
          <w:szCs w:val="28"/>
        </w:rPr>
        <w:t xml:space="preserve">кредитный </w:t>
      </w:r>
      <w:r>
        <w:rPr>
          <w:rFonts w:ascii="Times New Roman" w:hAnsi="Times New Roman" w:cs="Times New Roman"/>
          <w:sz w:val="28"/>
          <w:szCs w:val="28"/>
        </w:rPr>
        <w:t xml:space="preserve">скоринг Д. Дюрана совпадает с величиной показателя, сформированной по предлагаемой нами методике, и </w:t>
      </w:r>
      <w:r>
        <w:rPr>
          <w:rFonts w:ascii="Times New Roman" w:hAnsi="Times New Roman"/>
          <w:sz w:val="28"/>
          <w:szCs w:val="28"/>
        </w:rPr>
        <w:t xml:space="preserve">равен 100 </w:t>
      </w:r>
      <w:r>
        <w:rPr>
          <w:rFonts w:ascii="Times New Roman" w:hAnsi="Times New Roman" w:cs="Times New Roman"/>
          <w:sz w:val="28"/>
          <w:szCs w:val="28"/>
        </w:rPr>
        <w:t xml:space="preserve">баллов. По сравнению с </w:t>
      </w:r>
      <w:r>
        <w:rPr>
          <w:rFonts w:ascii="Times New Roman" w:hAnsi="Times New Roman"/>
          <w:sz w:val="28"/>
          <w:szCs w:val="28"/>
        </w:rPr>
        <w:t xml:space="preserve">кредитным </w:t>
      </w:r>
      <w:r>
        <w:rPr>
          <w:rFonts w:ascii="Times New Roman" w:hAnsi="Times New Roman" w:cs="Times New Roman"/>
          <w:sz w:val="28"/>
          <w:szCs w:val="28"/>
        </w:rPr>
        <w:t>скорингом Д. Дюрана величина «нашего» рейтинга во второй группе фирм больше на 0,3 – 6,7 балла, в третьей группе – на 7,2 и 11,3 балла, в четвертой группе – на 12,1 и 17,9 балла, в пятой группе больше на 22,2 балла.</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Апробация предложенной нами методики формирования </w:t>
      </w:r>
      <w:r>
        <w:rPr>
          <w:rFonts w:ascii="Times New Roman" w:hAnsi="Times New Roman"/>
          <w:sz w:val="28"/>
          <w:szCs w:val="28"/>
        </w:rPr>
        <w:t xml:space="preserve">кредитного </w:t>
      </w:r>
      <w:r>
        <w:rPr>
          <w:rFonts w:ascii="Times New Roman" w:hAnsi="Times New Roman" w:cs="Times New Roman"/>
          <w:sz w:val="28"/>
          <w:szCs w:val="28"/>
        </w:rPr>
        <w:t>скоринга по материалам сельскохозяйственных организаций с различным уровнем рентабельности совокупных активов, коэффициента текущей</w:t>
      </w:r>
      <w:r>
        <w:rPr>
          <w:rFonts w:ascii="Times New Roman" w:hAnsi="Times New Roman"/>
          <w:sz w:val="28"/>
          <w:szCs w:val="28"/>
        </w:rPr>
        <w:t xml:space="preserve"> ликвидности оборотных активов и </w:t>
      </w:r>
      <w:r>
        <w:rPr>
          <w:rFonts w:ascii="Times New Roman" w:hAnsi="Times New Roman" w:cs="Times New Roman"/>
          <w:sz w:val="28"/>
          <w:szCs w:val="28"/>
        </w:rPr>
        <w:t xml:space="preserve">коэффициента финансовой независимости показала следующие результаты. Так, </w:t>
      </w:r>
      <w:r>
        <w:rPr>
          <w:rFonts w:ascii="Times New Roman" w:hAnsi="Times New Roman" w:cs="Times New Roman"/>
          <w:color w:val="000000"/>
          <w:sz w:val="28"/>
          <w:szCs w:val="28"/>
        </w:rPr>
        <w:t xml:space="preserve">ООО «Кубань» Каневского района за 2013 г. характеризовалось </w:t>
      </w:r>
      <w:r>
        <w:rPr>
          <w:rFonts w:ascii="Times New Roman" w:hAnsi="Times New Roman" w:cs="Times New Roman"/>
          <w:sz w:val="28"/>
          <w:szCs w:val="28"/>
        </w:rPr>
        <w:t>уровнем рентабельности совокупных активов 18%, коэффициент текущей</w:t>
      </w:r>
      <w:r>
        <w:rPr>
          <w:rFonts w:ascii="Times New Roman" w:hAnsi="Times New Roman"/>
          <w:sz w:val="28"/>
          <w:szCs w:val="28"/>
        </w:rPr>
        <w:t xml:space="preserve"> ликвидности на конец года был равен 6,837, </w:t>
      </w:r>
      <w:r>
        <w:rPr>
          <w:rFonts w:ascii="Times New Roman" w:hAnsi="Times New Roman" w:cs="Times New Roman"/>
          <w:sz w:val="28"/>
          <w:szCs w:val="28"/>
        </w:rPr>
        <w:t xml:space="preserve">коэффициент финансовой независимости 0,920. По уровню рентабельности совокупных активов организация относится к третьему классу согласно </w:t>
      </w:r>
      <w:r>
        <w:rPr>
          <w:rFonts w:ascii="Times New Roman" w:hAnsi="Times New Roman"/>
          <w:sz w:val="28"/>
          <w:szCs w:val="28"/>
        </w:rPr>
        <w:t xml:space="preserve">кредитному </w:t>
      </w:r>
      <w:r>
        <w:rPr>
          <w:rFonts w:ascii="Times New Roman" w:hAnsi="Times New Roman" w:cs="Times New Roman"/>
          <w:sz w:val="28"/>
          <w:szCs w:val="28"/>
        </w:rPr>
        <w:t>скорингу Д. Дюрана, по коэффициенту текущей</w:t>
      </w:r>
      <w:r>
        <w:rPr>
          <w:rFonts w:ascii="Times New Roman" w:hAnsi="Times New Roman"/>
          <w:sz w:val="28"/>
          <w:szCs w:val="28"/>
        </w:rPr>
        <w:t xml:space="preserve"> ликвидности и </w:t>
      </w:r>
      <w:r>
        <w:rPr>
          <w:rFonts w:ascii="Times New Roman" w:hAnsi="Times New Roman" w:cs="Times New Roman"/>
          <w:sz w:val="28"/>
          <w:szCs w:val="28"/>
        </w:rPr>
        <w:t>коэффициенту финансовой независимости</w:t>
      </w:r>
      <w:r>
        <w:rPr>
          <w:rFonts w:ascii="Times New Roman" w:hAnsi="Times New Roman"/>
          <w:sz w:val="28"/>
          <w:szCs w:val="28"/>
        </w:rPr>
        <w:t xml:space="preserve"> </w:t>
      </w:r>
      <w:r>
        <w:rPr>
          <w:rFonts w:ascii="Times New Roman" w:hAnsi="Times New Roman" w:cs="Times New Roman"/>
          <w:sz w:val="28"/>
          <w:szCs w:val="28"/>
        </w:rPr>
        <w:t xml:space="preserve">организация относится к первому классу; ее </w:t>
      </w:r>
      <w:r>
        <w:rPr>
          <w:rFonts w:ascii="Times New Roman" w:hAnsi="Times New Roman"/>
          <w:sz w:val="28"/>
          <w:szCs w:val="28"/>
        </w:rPr>
        <w:t xml:space="preserve">кредитный </w:t>
      </w:r>
      <w:r>
        <w:rPr>
          <w:rFonts w:ascii="Times New Roman" w:hAnsi="Times New Roman" w:cs="Times New Roman"/>
          <w:sz w:val="28"/>
          <w:szCs w:val="28"/>
        </w:rPr>
        <w:t>скоринг равен 84,9 балла и соответствует второму классу; по предложенной нами методике рейтинг организации равен 80 баллов и также соответствует второму классу.</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Определим класс других сельскохозяйственных организаций Краснодарского края по данным за 2013 г. с использованием мотивов </w:t>
      </w:r>
      <w:r>
        <w:rPr>
          <w:rFonts w:ascii="Times New Roman" w:hAnsi="Times New Roman"/>
          <w:sz w:val="28"/>
          <w:szCs w:val="28"/>
        </w:rPr>
        <w:t xml:space="preserve">кредитного </w:t>
      </w:r>
      <w:r>
        <w:rPr>
          <w:rFonts w:ascii="Times New Roman" w:hAnsi="Times New Roman" w:cs="Times New Roman"/>
          <w:sz w:val="28"/>
          <w:szCs w:val="28"/>
        </w:rPr>
        <w:t>скоринга Д. Дюрана и предлагаемой нами методики; ресурсы и результаты их деятельности представлены в таблице 1.</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Таблица 1 - Ресурсы и результаты деятельности сельскохозяйственных</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                      организаций за 2013 г.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1842"/>
        <w:gridCol w:w="1843"/>
        <w:gridCol w:w="1843"/>
      </w:tblGrid>
      <w:tr w:rsidR="001B4E4F" w:rsidTr="00465B5F">
        <w:tc>
          <w:tcPr>
            <w:tcW w:w="3794"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 xml:space="preserve">Показатель </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ОАО «им. Т.Г. Шевченко» Щербиновского района</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ЗАО «50 лет Октября» Щербиновского района</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ЗАО «Рассвет» Кавказского района</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Среднегодовая стоимость всех активов,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1557113</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203178</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457610</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Среднегодовая стоимость оборотных активов,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928690</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108709</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122580</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Среднегодовая величина собственного капитала,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1063804</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178095</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345184</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Среднегодовая величина краткосрочных обязательств,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292981</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6811</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107426</w:t>
            </w:r>
          </w:p>
        </w:tc>
      </w:tr>
      <w:tr w:rsidR="001B4E4F" w:rsidTr="00465B5F">
        <w:trPr>
          <w:trHeight w:val="187"/>
        </w:trPr>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Выручка,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486634</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128619</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178897</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Прибыль от продаж,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147339</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13502</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28107</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Прибыль до налогообложения,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93509</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10826</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35196</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Чистая прибыль, тыс. руб.</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93496</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10114</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34672</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Рентабельность всех активов, %</w:t>
            </w:r>
          </w:p>
        </w:tc>
        <w:tc>
          <w:tcPr>
            <w:tcW w:w="184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6,0</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5,3</w:t>
            </w:r>
          </w:p>
        </w:tc>
        <w:tc>
          <w:tcPr>
            <w:tcW w:w="1843"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7,7</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Коэффициент текущей</w:t>
            </w:r>
            <w:r>
              <w:rPr>
                <w:rFonts w:ascii="Times New Roman" w:hAnsi="Times New Roman"/>
                <w:sz w:val="24"/>
                <w:szCs w:val="24"/>
              </w:rPr>
              <w:t xml:space="preserve"> ликвидности </w:t>
            </w:r>
          </w:p>
        </w:tc>
        <w:tc>
          <w:tcPr>
            <w:tcW w:w="1842" w:type="dxa"/>
            <w:vAlign w:val="center"/>
          </w:tcPr>
          <w:p w:rsidR="001B4E4F" w:rsidRDefault="001B4E4F" w:rsidP="00465B5F">
            <w:pPr>
              <w:spacing w:after="0" w:line="360" w:lineRule="auto"/>
              <w:ind w:right="-144"/>
              <w:jc w:val="center"/>
              <w:rPr>
                <w:rFonts w:ascii="Times New Roman" w:hAnsi="Times New Roman" w:cs="Times New Roman"/>
                <w:sz w:val="24"/>
                <w:szCs w:val="24"/>
              </w:rPr>
            </w:pPr>
            <w:r>
              <w:rPr>
                <w:rFonts w:ascii="Times New Roman" w:hAnsi="Times New Roman" w:cs="Times New Roman"/>
                <w:sz w:val="24"/>
                <w:szCs w:val="24"/>
              </w:rPr>
              <w:t>3,17</w:t>
            </w:r>
          </w:p>
        </w:tc>
        <w:tc>
          <w:tcPr>
            <w:tcW w:w="1843" w:type="dxa"/>
            <w:vAlign w:val="center"/>
          </w:tcPr>
          <w:p w:rsidR="001B4E4F" w:rsidRDefault="001B4E4F" w:rsidP="00465B5F">
            <w:pPr>
              <w:spacing w:after="0" w:line="360" w:lineRule="auto"/>
              <w:ind w:right="-144"/>
              <w:jc w:val="center"/>
              <w:rPr>
                <w:rFonts w:ascii="Times New Roman" w:hAnsi="Times New Roman" w:cs="Times New Roman"/>
                <w:sz w:val="24"/>
                <w:szCs w:val="24"/>
              </w:rPr>
            </w:pPr>
            <w:r>
              <w:rPr>
                <w:rFonts w:ascii="Times New Roman" w:hAnsi="Times New Roman" w:cs="Times New Roman"/>
                <w:sz w:val="24"/>
                <w:szCs w:val="24"/>
              </w:rPr>
              <w:t>15,96</w:t>
            </w:r>
          </w:p>
        </w:tc>
        <w:tc>
          <w:tcPr>
            <w:tcW w:w="1843" w:type="dxa"/>
            <w:vAlign w:val="center"/>
          </w:tcPr>
          <w:p w:rsidR="001B4E4F" w:rsidRDefault="001B4E4F" w:rsidP="00465B5F">
            <w:pPr>
              <w:spacing w:after="0" w:line="360" w:lineRule="auto"/>
              <w:ind w:right="-144"/>
              <w:jc w:val="center"/>
              <w:rPr>
                <w:rFonts w:ascii="Times New Roman" w:hAnsi="Times New Roman" w:cs="Times New Roman"/>
                <w:sz w:val="24"/>
                <w:szCs w:val="24"/>
              </w:rPr>
            </w:pPr>
            <w:r>
              <w:rPr>
                <w:rFonts w:ascii="Times New Roman" w:hAnsi="Times New Roman" w:cs="Times New Roman"/>
                <w:sz w:val="24"/>
                <w:szCs w:val="24"/>
              </w:rPr>
              <w:t>1,14</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Коэффициент  финансовой независимости</w:t>
            </w:r>
          </w:p>
        </w:tc>
        <w:tc>
          <w:tcPr>
            <w:tcW w:w="1842" w:type="dxa"/>
            <w:vAlign w:val="center"/>
          </w:tcPr>
          <w:p w:rsidR="001B4E4F" w:rsidRDefault="001B4E4F" w:rsidP="00465B5F">
            <w:pPr>
              <w:spacing w:after="0" w:line="360" w:lineRule="auto"/>
              <w:ind w:right="-144"/>
              <w:jc w:val="center"/>
              <w:rPr>
                <w:rFonts w:ascii="Times New Roman" w:hAnsi="Times New Roman" w:cs="Times New Roman"/>
                <w:sz w:val="24"/>
                <w:szCs w:val="24"/>
              </w:rPr>
            </w:pPr>
            <w:r>
              <w:rPr>
                <w:rFonts w:ascii="Times New Roman" w:hAnsi="Times New Roman" w:cs="Times New Roman"/>
                <w:sz w:val="24"/>
                <w:szCs w:val="24"/>
              </w:rPr>
              <w:t>0,683</w:t>
            </w:r>
          </w:p>
        </w:tc>
        <w:tc>
          <w:tcPr>
            <w:tcW w:w="1843" w:type="dxa"/>
            <w:vAlign w:val="center"/>
          </w:tcPr>
          <w:p w:rsidR="001B4E4F" w:rsidRDefault="001B4E4F" w:rsidP="00465B5F">
            <w:pPr>
              <w:spacing w:after="0" w:line="360" w:lineRule="auto"/>
              <w:ind w:right="-144"/>
              <w:jc w:val="center"/>
              <w:rPr>
                <w:rFonts w:ascii="Times New Roman" w:hAnsi="Times New Roman" w:cs="Times New Roman"/>
                <w:sz w:val="24"/>
                <w:szCs w:val="24"/>
              </w:rPr>
            </w:pPr>
            <w:r>
              <w:rPr>
                <w:rFonts w:ascii="Times New Roman" w:hAnsi="Times New Roman" w:cs="Times New Roman"/>
                <w:sz w:val="24"/>
                <w:szCs w:val="24"/>
              </w:rPr>
              <w:t>0,877</w:t>
            </w:r>
          </w:p>
        </w:tc>
        <w:tc>
          <w:tcPr>
            <w:tcW w:w="1843" w:type="dxa"/>
            <w:vAlign w:val="center"/>
          </w:tcPr>
          <w:p w:rsidR="001B4E4F" w:rsidRDefault="001B4E4F" w:rsidP="00465B5F">
            <w:pPr>
              <w:spacing w:after="0" w:line="360" w:lineRule="auto"/>
              <w:ind w:right="-144"/>
              <w:jc w:val="center"/>
              <w:rPr>
                <w:rFonts w:ascii="Times New Roman" w:hAnsi="Times New Roman" w:cs="Times New Roman"/>
                <w:sz w:val="24"/>
                <w:szCs w:val="24"/>
              </w:rPr>
            </w:pPr>
            <w:r>
              <w:rPr>
                <w:rFonts w:ascii="Times New Roman" w:hAnsi="Times New Roman" w:cs="Times New Roman"/>
                <w:sz w:val="24"/>
                <w:szCs w:val="24"/>
              </w:rPr>
              <w:t>0,754</w:t>
            </w:r>
          </w:p>
        </w:tc>
      </w:tr>
    </w:tbl>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По уровню рентабельности совокупных активов все три сельскохозяйственные организации относятся к четвертому классу, согласно </w:t>
      </w:r>
      <w:r>
        <w:rPr>
          <w:rFonts w:ascii="Times New Roman" w:hAnsi="Times New Roman"/>
          <w:sz w:val="28"/>
          <w:szCs w:val="28"/>
        </w:rPr>
        <w:t xml:space="preserve">кредитному </w:t>
      </w:r>
      <w:r>
        <w:rPr>
          <w:rFonts w:ascii="Times New Roman" w:hAnsi="Times New Roman" w:cs="Times New Roman"/>
          <w:sz w:val="28"/>
          <w:szCs w:val="28"/>
        </w:rPr>
        <w:t>скорингу Д. Дюрана. Фактическая величина коэффициента текущей</w:t>
      </w:r>
      <w:r>
        <w:rPr>
          <w:rFonts w:ascii="Times New Roman" w:hAnsi="Times New Roman"/>
          <w:sz w:val="28"/>
          <w:szCs w:val="28"/>
        </w:rPr>
        <w:t xml:space="preserve"> ликвидности </w:t>
      </w:r>
      <w:r>
        <w:rPr>
          <w:rFonts w:ascii="Times New Roman" w:hAnsi="Times New Roman" w:cs="Times New Roman"/>
          <w:sz w:val="28"/>
          <w:szCs w:val="28"/>
        </w:rPr>
        <w:t>ОАО «им. Т.Г. Шевченко» и ЗАО «50 лет Октября» Щербиновского района соответствует первой группе организаций, а ЗАО «Рассвет» - четвертой группе. По фактической величине коэффициента финансовой независимости к первой группе организаций относятся ЗАО «50 лет Октября» и ЗАО «Рассвет», а ОАО «им. Т.Г. Шевченко» относится к второму классу.</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Согласно методике Д. Дюрана, балльная оценка ОАО «им. Т. Г. Шевченко» равна от 69,8 до 45,0; оценка ЗАО «50 лет Октября» находится в интервале 69,9 – 55 баллов; для ЗАО «Рассвет» оценка составляет 49,8 – 26,0 баллов.</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Приведенная интервальная оценка финансового состояния организаций по методике Д. Дюрана применима только для определения класса фирмы, но она не позволяет определить точечный результат оценки, обусловливает неопределенность. Указанный недостаток методики Д. Дюрана можно устранить с помощью мультипликатора – коэффициента соотношения балльной оценки и величины показателя, формирующего рейтинг для первого класса организаций. Так, точечный рейтинг ОАО «им. Т. Г. Шевченко» равен 77,1 балла (1,667×6,0+15,0×3,17+28,57×0,683); ЗАО «50 лет Октября» 273,3 балла (1,667×5,3+15,0×15,96+28,57×0,877); ЗАО «Рассвет» 51,5 балла (1,667×7,7+15,0×1,14+28,57×0,754).</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Полученные результаты оценки </w:t>
      </w:r>
      <w:r>
        <w:rPr>
          <w:rFonts w:ascii="Times New Roman" w:hAnsi="Times New Roman"/>
          <w:sz w:val="28"/>
          <w:szCs w:val="28"/>
        </w:rPr>
        <w:t xml:space="preserve">кредитного </w:t>
      </w:r>
      <w:r>
        <w:rPr>
          <w:rFonts w:ascii="Times New Roman" w:hAnsi="Times New Roman" w:cs="Times New Roman"/>
          <w:sz w:val="28"/>
          <w:szCs w:val="28"/>
        </w:rPr>
        <w:t>скоринга сельскохозяйственных организаций являются неоднозначными, варьируются от 51,5 до 273,3 балла, что свидетельствует о несовершенстве методики Д. Дюрана. Сомнение вызывает величина рейтинга ЗАО «50 лет Октября» - 273,3 балла, в которой 239,4 балла приходится на коэффициент текущей</w:t>
      </w:r>
      <w:r>
        <w:rPr>
          <w:rFonts w:ascii="Times New Roman" w:hAnsi="Times New Roman"/>
          <w:sz w:val="28"/>
          <w:szCs w:val="28"/>
        </w:rPr>
        <w:t xml:space="preserve"> ликвидности. Большая </w:t>
      </w:r>
      <w:r>
        <w:rPr>
          <w:rFonts w:ascii="Times New Roman" w:hAnsi="Times New Roman" w:cs="Times New Roman"/>
          <w:sz w:val="28"/>
          <w:szCs w:val="28"/>
        </w:rPr>
        <w:t>величина балльной оценки коэффициента текущей</w:t>
      </w:r>
      <w:r>
        <w:rPr>
          <w:rFonts w:ascii="Times New Roman" w:hAnsi="Times New Roman"/>
          <w:sz w:val="28"/>
          <w:szCs w:val="28"/>
        </w:rPr>
        <w:t xml:space="preserve"> ликвидности объясняется во многом несовершенством методики определения указанного </w:t>
      </w:r>
      <w:r>
        <w:rPr>
          <w:rFonts w:ascii="Times New Roman" w:hAnsi="Times New Roman" w:cs="Times New Roman"/>
          <w:sz w:val="28"/>
          <w:szCs w:val="28"/>
        </w:rPr>
        <w:t xml:space="preserve">коэффициента – включением в оборотные активы незавершенного производства, не участвующего в обороте за отчетный год. Исследования показали, что удельный вес незавершенного производства в растениеводстве и животноводстве превышает 50 – 60% от стоимости запасов (таблица 2). Это завышает оценку </w:t>
      </w:r>
      <w:r>
        <w:rPr>
          <w:rFonts w:ascii="Times New Roman" w:hAnsi="Times New Roman"/>
          <w:sz w:val="28"/>
          <w:szCs w:val="28"/>
        </w:rPr>
        <w:t>ликвидности</w:t>
      </w:r>
      <w:r>
        <w:rPr>
          <w:rFonts w:ascii="Times New Roman" w:hAnsi="Times New Roman" w:cs="Times New Roman"/>
          <w:sz w:val="28"/>
          <w:szCs w:val="28"/>
        </w:rPr>
        <w:t xml:space="preserve"> оборотных активов в целом, производственных запасов, платежеспособности организации, замедляет оборачиваемость капитала, снижает эффективность принимаемых управленческих решений [4]. В этом убеждают результаты оценки</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сельскохозяйственных организаций.</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Таблица 2 – Стоимость и удельный вес незавершенного производства в </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                      растениеводстве и животноводстве по данным бухгалтерского </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                     баланса сельскохозяйственных организаций, на конец года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1171"/>
        <w:gridCol w:w="1171"/>
        <w:gridCol w:w="1172"/>
        <w:gridCol w:w="1022"/>
        <w:gridCol w:w="1134"/>
      </w:tblGrid>
      <w:tr w:rsidR="001B4E4F" w:rsidTr="00465B5F">
        <w:tc>
          <w:tcPr>
            <w:tcW w:w="3794" w:type="dxa"/>
            <w:vMerge w:val="restart"/>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Сельскохозяйственная организация, год</w:t>
            </w:r>
          </w:p>
        </w:tc>
        <w:tc>
          <w:tcPr>
            <w:tcW w:w="3514" w:type="dxa"/>
            <w:gridSpan w:val="3"/>
            <w:vAlign w:val="center"/>
          </w:tcPr>
          <w:p w:rsidR="001B4E4F" w:rsidRDefault="001B4E4F" w:rsidP="00465B5F">
            <w:pPr>
              <w:spacing w:after="0" w:line="240" w:lineRule="auto"/>
              <w:ind w:left="-108" w:right="-144"/>
              <w:jc w:val="center"/>
              <w:rPr>
                <w:rFonts w:ascii="Times New Roman" w:hAnsi="Times New Roman" w:cs="Times New Roman"/>
                <w:sz w:val="24"/>
                <w:szCs w:val="24"/>
              </w:rPr>
            </w:pPr>
            <w:r>
              <w:rPr>
                <w:rFonts w:ascii="Times New Roman" w:hAnsi="Times New Roman" w:cs="Times New Roman"/>
                <w:sz w:val="24"/>
                <w:szCs w:val="24"/>
              </w:rPr>
              <w:t>Незавершенное производство, тыс. руб.</w:t>
            </w:r>
          </w:p>
        </w:tc>
        <w:tc>
          <w:tcPr>
            <w:tcW w:w="1022" w:type="dxa"/>
            <w:vMerge w:val="restart"/>
            <w:vAlign w:val="center"/>
          </w:tcPr>
          <w:p w:rsidR="001B4E4F" w:rsidRDefault="001B4E4F" w:rsidP="00465B5F">
            <w:pPr>
              <w:spacing w:after="0" w:line="240" w:lineRule="auto"/>
              <w:ind w:left="-108" w:right="-144"/>
              <w:jc w:val="center"/>
              <w:rPr>
                <w:rFonts w:ascii="Times New Roman" w:hAnsi="Times New Roman" w:cs="Times New Roman"/>
                <w:sz w:val="24"/>
                <w:szCs w:val="24"/>
              </w:rPr>
            </w:pPr>
            <w:r>
              <w:rPr>
                <w:rFonts w:ascii="Times New Roman" w:hAnsi="Times New Roman" w:cs="Times New Roman"/>
                <w:sz w:val="24"/>
                <w:szCs w:val="24"/>
              </w:rPr>
              <w:t>Запасы, тыс. руб.</w:t>
            </w:r>
          </w:p>
        </w:tc>
        <w:tc>
          <w:tcPr>
            <w:tcW w:w="1134" w:type="dxa"/>
            <w:vMerge w:val="restart"/>
            <w:vAlign w:val="center"/>
          </w:tcPr>
          <w:p w:rsidR="001B4E4F" w:rsidRDefault="001B4E4F" w:rsidP="00465B5F">
            <w:pPr>
              <w:spacing w:after="0" w:line="240" w:lineRule="auto"/>
              <w:ind w:left="-108" w:firstLine="108"/>
              <w:jc w:val="center"/>
              <w:rPr>
                <w:rFonts w:ascii="Times New Roman" w:hAnsi="Times New Roman" w:cs="Times New Roman"/>
                <w:sz w:val="24"/>
                <w:szCs w:val="24"/>
              </w:rPr>
            </w:pPr>
            <w:r>
              <w:rPr>
                <w:rFonts w:ascii="Times New Roman" w:hAnsi="Times New Roman" w:cs="Times New Roman"/>
                <w:sz w:val="24"/>
                <w:szCs w:val="24"/>
              </w:rPr>
              <w:t>Незавершенное производство к стоимости запасов, %</w:t>
            </w:r>
          </w:p>
        </w:tc>
      </w:tr>
      <w:tr w:rsidR="001B4E4F" w:rsidTr="00465B5F">
        <w:tc>
          <w:tcPr>
            <w:tcW w:w="3794" w:type="dxa"/>
            <w:vMerge/>
            <w:vAlign w:val="center"/>
          </w:tcPr>
          <w:p w:rsidR="001B4E4F" w:rsidRDefault="001B4E4F" w:rsidP="00465B5F">
            <w:pPr>
              <w:suppressAutoHyphens w:val="0"/>
              <w:spacing w:after="0" w:line="240" w:lineRule="auto"/>
              <w:ind w:right="-144"/>
              <w:rPr>
                <w:rFonts w:ascii="Times New Roman" w:hAnsi="Times New Roman" w:cs="Times New Roman"/>
                <w:sz w:val="24"/>
                <w:szCs w:val="24"/>
              </w:rPr>
            </w:pPr>
          </w:p>
        </w:tc>
        <w:tc>
          <w:tcPr>
            <w:tcW w:w="1171" w:type="dxa"/>
            <w:vAlign w:val="center"/>
          </w:tcPr>
          <w:p w:rsidR="001B4E4F" w:rsidRDefault="001B4E4F" w:rsidP="00465B5F">
            <w:pPr>
              <w:spacing w:after="0" w:line="240" w:lineRule="auto"/>
              <w:ind w:left="-108" w:right="-144"/>
              <w:jc w:val="center"/>
              <w:rPr>
                <w:rFonts w:ascii="Times New Roman" w:hAnsi="Times New Roman" w:cs="Times New Roman"/>
                <w:sz w:val="24"/>
                <w:szCs w:val="24"/>
              </w:rPr>
            </w:pPr>
            <w:r>
              <w:rPr>
                <w:rFonts w:ascii="Times New Roman" w:hAnsi="Times New Roman" w:cs="Times New Roman"/>
                <w:sz w:val="24"/>
                <w:szCs w:val="24"/>
              </w:rPr>
              <w:t>в растениеводстве</w:t>
            </w:r>
          </w:p>
        </w:tc>
        <w:tc>
          <w:tcPr>
            <w:tcW w:w="1171" w:type="dxa"/>
            <w:vAlign w:val="center"/>
          </w:tcPr>
          <w:p w:rsidR="001B4E4F" w:rsidRDefault="001B4E4F" w:rsidP="00465B5F">
            <w:pPr>
              <w:spacing w:after="0" w:line="240" w:lineRule="auto"/>
              <w:ind w:left="-108" w:right="-144"/>
              <w:jc w:val="center"/>
              <w:rPr>
                <w:rFonts w:ascii="Times New Roman" w:hAnsi="Times New Roman" w:cs="Times New Roman"/>
                <w:sz w:val="24"/>
                <w:szCs w:val="24"/>
              </w:rPr>
            </w:pPr>
            <w:r>
              <w:rPr>
                <w:rFonts w:ascii="Times New Roman" w:hAnsi="Times New Roman" w:cs="Times New Roman"/>
                <w:sz w:val="24"/>
                <w:szCs w:val="24"/>
              </w:rPr>
              <w:t>в животноводстве</w:t>
            </w:r>
          </w:p>
        </w:tc>
        <w:tc>
          <w:tcPr>
            <w:tcW w:w="1172" w:type="dxa"/>
            <w:vAlign w:val="center"/>
          </w:tcPr>
          <w:p w:rsidR="001B4E4F" w:rsidRDefault="001B4E4F" w:rsidP="00465B5F">
            <w:pPr>
              <w:spacing w:after="0" w:line="240" w:lineRule="auto"/>
              <w:ind w:left="-108" w:right="-144"/>
              <w:jc w:val="center"/>
              <w:rPr>
                <w:rFonts w:ascii="Times New Roman" w:hAnsi="Times New Roman" w:cs="Times New Roman"/>
                <w:sz w:val="24"/>
                <w:szCs w:val="24"/>
              </w:rPr>
            </w:pPr>
            <w:r>
              <w:rPr>
                <w:rFonts w:ascii="Times New Roman" w:hAnsi="Times New Roman" w:cs="Times New Roman"/>
                <w:sz w:val="24"/>
                <w:szCs w:val="24"/>
              </w:rPr>
              <w:t>всего</w:t>
            </w:r>
          </w:p>
        </w:tc>
        <w:tc>
          <w:tcPr>
            <w:tcW w:w="1022" w:type="dxa"/>
            <w:vMerge/>
            <w:vAlign w:val="center"/>
          </w:tcPr>
          <w:p w:rsidR="001B4E4F" w:rsidRDefault="001B4E4F" w:rsidP="00465B5F">
            <w:pPr>
              <w:suppressAutoHyphens w:val="0"/>
              <w:spacing w:after="0" w:line="240" w:lineRule="auto"/>
              <w:ind w:left="-108" w:right="-144"/>
              <w:rPr>
                <w:rFonts w:ascii="Times New Roman" w:hAnsi="Times New Roman" w:cs="Times New Roman"/>
                <w:sz w:val="24"/>
                <w:szCs w:val="24"/>
              </w:rPr>
            </w:pPr>
          </w:p>
        </w:tc>
        <w:tc>
          <w:tcPr>
            <w:tcW w:w="1134" w:type="dxa"/>
            <w:vMerge/>
            <w:vAlign w:val="center"/>
          </w:tcPr>
          <w:p w:rsidR="001B4E4F" w:rsidRDefault="001B4E4F" w:rsidP="00465B5F">
            <w:pPr>
              <w:suppressAutoHyphens w:val="0"/>
              <w:spacing w:after="0" w:line="240" w:lineRule="auto"/>
              <w:ind w:right="-144"/>
              <w:rPr>
                <w:rFonts w:ascii="Times New Roman" w:hAnsi="Times New Roman" w:cs="Times New Roman"/>
                <w:sz w:val="24"/>
                <w:szCs w:val="24"/>
              </w:rPr>
            </w:pP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ООО «Кубань» Каневского района</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2011</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2012</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2013</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52682</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54258</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61650</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52327</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51877</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51700</w:t>
            </w:r>
          </w:p>
        </w:tc>
        <w:tc>
          <w:tcPr>
            <w:tcW w:w="1172"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105009</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106135</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113350</w:t>
            </w:r>
          </w:p>
        </w:tc>
        <w:tc>
          <w:tcPr>
            <w:tcW w:w="1022"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202242</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201175</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226398</w:t>
            </w:r>
          </w:p>
        </w:tc>
        <w:tc>
          <w:tcPr>
            <w:tcW w:w="1134"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51,9</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52,8</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50,1</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ЗАО «50 лет Октября» Щербиновского района</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2011</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2012</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2013</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26243</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39546</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39697</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19884</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23185</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20702</w:t>
            </w:r>
          </w:p>
        </w:tc>
        <w:tc>
          <w:tcPr>
            <w:tcW w:w="1172"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46127</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62731</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60399</w:t>
            </w:r>
          </w:p>
        </w:tc>
        <w:tc>
          <w:tcPr>
            <w:tcW w:w="1022"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83885</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97830</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101058</w:t>
            </w:r>
          </w:p>
        </w:tc>
        <w:tc>
          <w:tcPr>
            <w:tcW w:w="1134"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55,0</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64,1</w:t>
            </w: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59,8</w:t>
            </w:r>
          </w:p>
        </w:tc>
      </w:tr>
    </w:tbl>
    <w:p w:rsidR="001B4E4F" w:rsidRDefault="001B4E4F" w:rsidP="00465B5F">
      <w:pPr>
        <w:spacing w:after="0" w:line="360" w:lineRule="auto"/>
        <w:ind w:right="-144" w:firstLine="709"/>
        <w:jc w:val="both"/>
        <w:rPr>
          <w:rFonts w:ascii="Times New Roman" w:hAnsi="Times New Roman" w:cs="Times New Roman"/>
          <w:sz w:val="28"/>
          <w:szCs w:val="28"/>
        </w:rPr>
      </w:pP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Исследования показали, что исключение из оборотных активов стоимости незавершенного производства уменьшает величину коэффициента текущей</w:t>
      </w:r>
      <w:r>
        <w:rPr>
          <w:rFonts w:ascii="Times New Roman" w:hAnsi="Times New Roman"/>
          <w:sz w:val="28"/>
          <w:szCs w:val="28"/>
        </w:rPr>
        <w:t xml:space="preserve"> ликвидности; следовательно, повышается точность </w:t>
      </w:r>
      <w:r>
        <w:rPr>
          <w:rFonts w:ascii="Times New Roman" w:hAnsi="Times New Roman" w:cs="Times New Roman"/>
          <w:sz w:val="28"/>
          <w:szCs w:val="28"/>
        </w:rPr>
        <w:t>оценки</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платежеспособности и рейтинга организации.</w:t>
      </w:r>
    </w:p>
    <w:p w:rsidR="001B4E4F" w:rsidRDefault="001B4E4F" w:rsidP="00465B5F">
      <w:pPr>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Так, величина незавершенного производства в растениеводстве и животноводстве в ООО «Кубань» Каневского района на конец года составляла 105009 – 113350 тыс. руб. с тенденцией роста в 2013 г. по сравнению с 2011 г.; ее удельный вес был равен 51,9% от стоимости запасов на конец 2011 г., 52,8% на конец 2012 г. и 50,1% на конец 2013 г.</w:t>
      </w:r>
    </w:p>
    <w:p w:rsidR="001B4E4F" w:rsidRDefault="001B4E4F" w:rsidP="00465B5F">
      <w:pPr>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В ЗАО «50 лет Октября» Щербиновского района на незавершенное производство в растениеводстве и животноводстве приходилось 55% от стоимости запасов на конец 2011 г., 64,1% на конец 2012 г. и 59,8% на конец 2013 г. (см. таблицу 2).</w:t>
      </w:r>
    </w:p>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Значительная доля незавершенного производства в стоимости запасов обусловила существенные различия величины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следовательно, повлияла на платежеспособность организаций (таблица 3).</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Таблица 3 </w:t>
      </w:r>
      <w:r>
        <w:rPr>
          <w:rFonts w:ascii="Times New Roman" w:hAnsi="Times New Roman" w:cs="Times New Roman"/>
          <w:sz w:val="24"/>
          <w:szCs w:val="24"/>
        </w:rPr>
        <w:t>–</w:t>
      </w:r>
      <w:r>
        <w:rPr>
          <w:rFonts w:ascii="Times New Roman" w:hAnsi="Times New Roman" w:cs="Times New Roman"/>
          <w:sz w:val="28"/>
          <w:szCs w:val="28"/>
        </w:rPr>
        <w:t xml:space="preserve"> Величина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                      активов сельскохозяйственных организаций в зависимости от </w:t>
      </w:r>
    </w:p>
    <w:p w:rsidR="001B4E4F" w:rsidRDefault="001B4E4F" w:rsidP="00465B5F">
      <w:pPr>
        <w:spacing w:after="0" w:line="240" w:lineRule="auto"/>
        <w:ind w:right="-14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sz w:val="28"/>
          <w:szCs w:val="28"/>
        </w:rPr>
        <w:t xml:space="preserve">методики исчисления </w:t>
      </w:r>
      <w:r>
        <w:rPr>
          <w:rFonts w:ascii="Times New Roman" w:hAnsi="Times New Roman" w:cs="Times New Roman"/>
          <w:sz w:val="28"/>
          <w:szCs w:val="28"/>
        </w:rPr>
        <w:t>показателя, на конец года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1171"/>
        <w:gridCol w:w="1171"/>
        <w:gridCol w:w="1172"/>
        <w:gridCol w:w="1131"/>
        <w:gridCol w:w="1025"/>
      </w:tblGrid>
      <w:tr w:rsidR="001B4E4F" w:rsidTr="00465B5F">
        <w:tc>
          <w:tcPr>
            <w:tcW w:w="3794" w:type="dxa"/>
            <w:vMerge w:val="restart"/>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 xml:space="preserve">Сельскохозяйственная организация, </w:t>
            </w:r>
            <w:r>
              <w:rPr>
                <w:rFonts w:ascii="Times New Roman" w:hAnsi="Times New Roman"/>
                <w:sz w:val="24"/>
                <w:szCs w:val="24"/>
              </w:rPr>
              <w:t>методика исчисления</w:t>
            </w:r>
          </w:p>
        </w:tc>
        <w:tc>
          <w:tcPr>
            <w:tcW w:w="3514" w:type="dxa"/>
            <w:gridSpan w:val="3"/>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 xml:space="preserve">Год </w:t>
            </w:r>
          </w:p>
        </w:tc>
        <w:tc>
          <w:tcPr>
            <w:tcW w:w="2156" w:type="dxa"/>
            <w:gridSpan w:val="2"/>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Изменение (+,–) в 2013г. по сравнению с</w:t>
            </w:r>
          </w:p>
        </w:tc>
      </w:tr>
      <w:tr w:rsidR="001B4E4F" w:rsidTr="00465B5F">
        <w:tc>
          <w:tcPr>
            <w:tcW w:w="3794" w:type="dxa"/>
            <w:vMerge/>
            <w:vAlign w:val="center"/>
          </w:tcPr>
          <w:p w:rsidR="001B4E4F" w:rsidRDefault="001B4E4F" w:rsidP="00465B5F">
            <w:pPr>
              <w:suppressAutoHyphens w:val="0"/>
              <w:spacing w:after="0" w:line="240" w:lineRule="auto"/>
              <w:ind w:right="-144"/>
              <w:rPr>
                <w:rFonts w:ascii="Times New Roman" w:hAnsi="Times New Roman" w:cs="Times New Roman"/>
                <w:sz w:val="24"/>
                <w:szCs w:val="24"/>
              </w:rPr>
            </w:pPr>
          </w:p>
        </w:tc>
        <w:tc>
          <w:tcPr>
            <w:tcW w:w="1171"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2011</w:t>
            </w:r>
          </w:p>
        </w:tc>
        <w:tc>
          <w:tcPr>
            <w:tcW w:w="1171"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2012</w:t>
            </w:r>
          </w:p>
        </w:tc>
        <w:tc>
          <w:tcPr>
            <w:tcW w:w="1172"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2013</w:t>
            </w:r>
          </w:p>
        </w:tc>
        <w:tc>
          <w:tcPr>
            <w:tcW w:w="1131"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2011 г.</w:t>
            </w:r>
          </w:p>
        </w:tc>
        <w:tc>
          <w:tcPr>
            <w:tcW w:w="1025" w:type="dxa"/>
            <w:vAlign w:val="center"/>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2012 г.</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ООО «Кубань» Каневского района</w:t>
            </w:r>
          </w:p>
          <w:p w:rsidR="001B4E4F" w:rsidRDefault="001B4E4F" w:rsidP="00245FB9">
            <w:pPr>
              <w:spacing w:after="0" w:line="192" w:lineRule="auto"/>
              <w:ind w:right="-142"/>
              <w:rPr>
                <w:rFonts w:ascii="Times New Roman" w:hAnsi="Times New Roman" w:cs="Times New Roman"/>
                <w:sz w:val="24"/>
                <w:szCs w:val="24"/>
              </w:rPr>
            </w:pPr>
          </w:p>
          <w:p w:rsidR="001B4E4F" w:rsidRDefault="001B4E4F" w:rsidP="00465B5F">
            <w:pPr>
              <w:spacing w:after="0" w:line="240" w:lineRule="auto"/>
              <w:ind w:right="-144"/>
              <w:rPr>
                <w:rFonts w:ascii="Times New Roman" w:hAnsi="Times New Roman"/>
                <w:sz w:val="24"/>
                <w:szCs w:val="24"/>
              </w:rPr>
            </w:pPr>
            <w:r>
              <w:rPr>
                <w:rFonts w:ascii="Times New Roman" w:hAnsi="Times New Roman" w:cs="Times New Roman"/>
                <w:sz w:val="24"/>
                <w:szCs w:val="24"/>
              </w:rPr>
              <w:t xml:space="preserve">с незавершенным производством в стоимости оборотных активов (принятая </w:t>
            </w:r>
            <w:r>
              <w:rPr>
                <w:rFonts w:ascii="Times New Roman" w:hAnsi="Times New Roman"/>
                <w:sz w:val="24"/>
                <w:szCs w:val="24"/>
              </w:rPr>
              <w:t>методика)</w:t>
            </w:r>
          </w:p>
          <w:p w:rsidR="001B4E4F" w:rsidRDefault="001B4E4F" w:rsidP="00465B5F">
            <w:pPr>
              <w:spacing w:after="0" w:line="240" w:lineRule="auto"/>
              <w:ind w:right="-144"/>
              <w:rPr>
                <w:rFonts w:ascii="Times New Roman" w:hAnsi="Times New Roman"/>
                <w:sz w:val="24"/>
                <w:szCs w:val="24"/>
              </w:rPr>
            </w:pPr>
          </w:p>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sz w:val="24"/>
                <w:szCs w:val="24"/>
              </w:rPr>
              <w:t>без</w:t>
            </w:r>
            <w:r>
              <w:rPr>
                <w:rFonts w:ascii="Times New Roman" w:hAnsi="Times New Roman" w:cs="Times New Roman"/>
                <w:sz w:val="24"/>
                <w:szCs w:val="24"/>
              </w:rPr>
              <w:t xml:space="preserve"> незавершенного производства в стоимости оборотных активов </w:t>
            </w:r>
          </w:p>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(предлагаемая методика)</w:t>
            </w:r>
          </w:p>
          <w:p w:rsidR="001B4E4F" w:rsidRDefault="001B4E4F" w:rsidP="00465B5F">
            <w:pPr>
              <w:spacing w:after="0" w:line="240" w:lineRule="auto"/>
              <w:ind w:right="-144"/>
              <w:rPr>
                <w:rFonts w:ascii="Times New Roman" w:hAnsi="Times New Roman" w:cs="Times New Roman"/>
                <w:sz w:val="24"/>
                <w:szCs w:val="24"/>
              </w:rPr>
            </w:pPr>
          </w:p>
          <w:p w:rsidR="001B4E4F" w:rsidRDefault="001B4E4F" w:rsidP="00465B5F">
            <w:pPr>
              <w:spacing w:after="0" w:line="240" w:lineRule="auto"/>
              <w:ind w:right="-144"/>
              <w:rPr>
                <w:rFonts w:ascii="Times New Roman" w:hAnsi="Times New Roman"/>
                <w:sz w:val="24"/>
                <w:szCs w:val="24"/>
              </w:rPr>
            </w:pPr>
            <w:r>
              <w:rPr>
                <w:rFonts w:ascii="Times New Roman" w:hAnsi="Times New Roman" w:cs="Times New Roman"/>
                <w:sz w:val="24"/>
                <w:szCs w:val="24"/>
              </w:rPr>
              <w:t>отклонение (+,–</w:t>
            </w:r>
            <w:r>
              <w:rPr>
                <w:rFonts w:ascii="Times New Roman" w:hAnsi="Times New Roman"/>
                <w:sz w:val="24"/>
                <w:szCs w:val="24"/>
              </w:rPr>
              <w:t xml:space="preserve">) по сравнению с </w:t>
            </w:r>
            <w:r>
              <w:rPr>
                <w:rFonts w:ascii="Times New Roman" w:hAnsi="Times New Roman" w:cs="Times New Roman"/>
                <w:sz w:val="24"/>
                <w:szCs w:val="24"/>
              </w:rPr>
              <w:t xml:space="preserve">принятой </w:t>
            </w:r>
            <w:r>
              <w:rPr>
                <w:rFonts w:ascii="Times New Roman" w:hAnsi="Times New Roman"/>
                <w:sz w:val="24"/>
                <w:szCs w:val="24"/>
              </w:rPr>
              <w:t>методикой</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6,79</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3,38</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–3,41</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5,25</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2,59</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–2,66</w:t>
            </w:r>
          </w:p>
        </w:tc>
        <w:tc>
          <w:tcPr>
            <w:tcW w:w="1172"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6,84</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3,53</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–3,31</w:t>
            </w:r>
          </w:p>
        </w:tc>
        <w:tc>
          <w:tcPr>
            <w:tcW w:w="113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0,05</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0,15</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х</w:t>
            </w:r>
          </w:p>
        </w:tc>
        <w:tc>
          <w:tcPr>
            <w:tcW w:w="1025"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1,59</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0,94</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х</w:t>
            </w:r>
          </w:p>
        </w:tc>
      </w:tr>
      <w:tr w:rsidR="001B4E4F" w:rsidTr="00465B5F">
        <w:tc>
          <w:tcPr>
            <w:tcW w:w="3794" w:type="dxa"/>
            <w:vAlign w:val="center"/>
          </w:tcPr>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ЗАО «50 лет Октября» Щербиновского района</w:t>
            </w:r>
          </w:p>
          <w:p w:rsidR="001B4E4F" w:rsidRDefault="001B4E4F" w:rsidP="00245FB9">
            <w:pPr>
              <w:spacing w:after="0" w:line="192" w:lineRule="auto"/>
              <w:ind w:right="-142"/>
              <w:rPr>
                <w:rFonts w:ascii="Times New Roman" w:hAnsi="Times New Roman" w:cs="Times New Roman"/>
                <w:sz w:val="24"/>
                <w:szCs w:val="24"/>
              </w:rPr>
            </w:pPr>
          </w:p>
          <w:p w:rsidR="001B4E4F" w:rsidRDefault="001B4E4F" w:rsidP="00465B5F">
            <w:pPr>
              <w:spacing w:after="0" w:line="240" w:lineRule="auto"/>
              <w:ind w:right="-144"/>
              <w:rPr>
                <w:rFonts w:ascii="Times New Roman" w:hAnsi="Times New Roman"/>
                <w:sz w:val="24"/>
                <w:szCs w:val="24"/>
              </w:rPr>
            </w:pPr>
            <w:r>
              <w:rPr>
                <w:rFonts w:ascii="Times New Roman" w:hAnsi="Times New Roman" w:cs="Times New Roman"/>
                <w:sz w:val="24"/>
                <w:szCs w:val="24"/>
              </w:rPr>
              <w:t xml:space="preserve">с незавершенным производством в стоимости оборотных активов (принятая </w:t>
            </w:r>
            <w:r>
              <w:rPr>
                <w:rFonts w:ascii="Times New Roman" w:hAnsi="Times New Roman"/>
                <w:sz w:val="24"/>
                <w:szCs w:val="24"/>
              </w:rPr>
              <w:t>методика)</w:t>
            </w:r>
          </w:p>
          <w:p w:rsidR="001B4E4F" w:rsidRDefault="001B4E4F" w:rsidP="00465B5F">
            <w:pPr>
              <w:spacing w:after="0" w:line="240" w:lineRule="auto"/>
              <w:ind w:right="-144"/>
              <w:rPr>
                <w:rFonts w:ascii="Times New Roman" w:hAnsi="Times New Roman"/>
                <w:sz w:val="24"/>
                <w:szCs w:val="24"/>
              </w:rPr>
            </w:pPr>
          </w:p>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sz w:val="24"/>
                <w:szCs w:val="24"/>
              </w:rPr>
              <w:t>без</w:t>
            </w:r>
            <w:r>
              <w:rPr>
                <w:rFonts w:ascii="Times New Roman" w:hAnsi="Times New Roman" w:cs="Times New Roman"/>
                <w:sz w:val="24"/>
                <w:szCs w:val="24"/>
              </w:rPr>
              <w:t xml:space="preserve"> незавершенного производства в стоимости оборотных активов </w:t>
            </w:r>
          </w:p>
          <w:p w:rsidR="001B4E4F" w:rsidRDefault="001B4E4F" w:rsidP="00465B5F">
            <w:pPr>
              <w:spacing w:after="0" w:line="240" w:lineRule="auto"/>
              <w:ind w:right="-144"/>
              <w:rPr>
                <w:rFonts w:ascii="Times New Roman" w:hAnsi="Times New Roman" w:cs="Times New Roman"/>
                <w:sz w:val="24"/>
                <w:szCs w:val="24"/>
              </w:rPr>
            </w:pPr>
          </w:p>
          <w:p w:rsidR="001B4E4F" w:rsidRDefault="001B4E4F" w:rsidP="00465B5F">
            <w:pPr>
              <w:spacing w:after="0" w:line="240" w:lineRule="auto"/>
              <w:ind w:right="-144"/>
              <w:rPr>
                <w:rFonts w:ascii="Times New Roman" w:hAnsi="Times New Roman" w:cs="Times New Roman"/>
                <w:sz w:val="24"/>
                <w:szCs w:val="24"/>
              </w:rPr>
            </w:pPr>
            <w:r>
              <w:rPr>
                <w:rFonts w:ascii="Times New Roman" w:hAnsi="Times New Roman" w:cs="Times New Roman"/>
                <w:sz w:val="24"/>
                <w:szCs w:val="24"/>
              </w:rPr>
              <w:t>отклонение (+,–</w:t>
            </w:r>
            <w:r>
              <w:rPr>
                <w:rFonts w:ascii="Times New Roman" w:hAnsi="Times New Roman"/>
                <w:sz w:val="24"/>
                <w:szCs w:val="24"/>
              </w:rPr>
              <w:t xml:space="preserve">) по сравнению по </w:t>
            </w:r>
            <w:r>
              <w:rPr>
                <w:rFonts w:ascii="Times New Roman" w:hAnsi="Times New Roman" w:cs="Times New Roman"/>
                <w:sz w:val="24"/>
                <w:szCs w:val="24"/>
              </w:rPr>
              <w:t xml:space="preserve">принятой </w:t>
            </w:r>
            <w:r>
              <w:rPr>
                <w:rFonts w:ascii="Times New Roman" w:hAnsi="Times New Roman"/>
                <w:sz w:val="24"/>
                <w:szCs w:val="24"/>
              </w:rPr>
              <w:t>методикой</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8,32</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4,25</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–4,07</w:t>
            </w:r>
          </w:p>
        </w:tc>
        <w:tc>
          <w:tcPr>
            <w:tcW w:w="117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26,32</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10,43</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–15,89</w:t>
            </w:r>
          </w:p>
        </w:tc>
        <w:tc>
          <w:tcPr>
            <w:tcW w:w="1172"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11,73</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5,49</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–6,24</w:t>
            </w:r>
          </w:p>
        </w:tc>
        <w:tc>
          <w:tcPr>
            <w:tcW w:w="1131"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3,41</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1,24</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х</w:t>
            </w:r>
          </w:p>
        </w:tc>
        <w:tc>
          <w:tcPr>
            <w:tcW w:w="1025" w:type="dxa"/>
            <w:vAlign w:val="bottom"/>
          </w:tcPr>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–14,59</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–4,94</w:t>
            </w: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p>
          <w:p w:rsidR="001B4E4F" w:rsidRDefault="001B4E4F" w:rsidP="00465B5F">
            <w:pPr>
              <w:spacing w:after="0" w:line="240" w:lineRule="auto"/>
              <w:ind w:right="-144"/>
              <w:jc w:val="center"/>
              <w:rPr>
                <w:rFonts w:ascii="Times New Roman" w:hAnsi="Times New Roman" w:cs="Times New Roman"/>
                <w:sz w:val="24"/>
                <w:szCs w:val="24"/>
              </w:rPr>
            </w:pPr>
            <w:r>
              <w:rPr>
                <w:rFonts w:ascii="Times New Roman" w:hAnsi="Times New Roman" w:cs="Times New Roman"/>
                <w:sz w:val="24"/>
                <w:szCs w:val="24"/>
              </w:rPr>
              <w:t>х</w:t>
            </w:r>
          </w:p>
        </w:tc>
      </w:tr>
    </w:tbl>
    <w:p w:rsidR="001B4E4F" w:rsidRDefault="001B4E4F" w:rsidP="00465B5F">
      <w:pPr>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В ООО «Кубань» величина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w:t>
      </w:r>
      <w:r>
        <w:rPr>
          <w:rFonts w:ascii="Times New Roman" w:hAnsi="Times New Roman"/>
          <w:sz w:val="28"/>
          <w:szCs w:val="28"/>
        </w:rPr>
        <w:t xml:space="preserve"> без</w:t>
      </w:r>
      <w:r>
        <w:rPr>
          <w:rFonts w:ascii="Times New Roman" w:hAnsi="Times New Roman" w:cs="Times New Roman"/>
          <w:sz w:val="28"/>
          <w:szCs w:val="28"/>
        </w:rPr>
        <w:t xml:space="preserve"> стоимости незавершенного производства на конец 2011 – 2013 гг. была меньше на 3,41, 2,66 и 3,31 соответственно по сравнению с величиной коэффициента, исчисленного с учетом незавершенного производства, как принято в учебной литературе.</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В ЗАО «50 лет Октября» отклонение величины показателя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составляло 4,07, 15,89 и 6,24 на конец 2011 – 2013 гг. соответственно; значение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w:t>
      </w:r>
      <w:r>
        <w:rPr>
          <w:rFonts w:ascii="Times New Roman" w:hAnsi="Times New Roman"/>
          <w:sz w:val="28"/>
          <w:szCs w:val="28"/>
        </w:rPr>
        <w:t xml:space="preserve"> без</w:t>
      </w:r>
      <w:r>
        <w:rPr>
          <w:rFonts w:ascii="Times New Roman" w:hAnsi="Times New Roman" w:cs="Times New Roman"/>
          <w:sz w:val="28"/>
          <w:szCs w:val="28"/>
        </w:rPr>
        <w:t xml:space="preserve"> стоимости незавершенного производства было меньше по сравнению с величиной показателя, полученной с учетом незавершенного производства. Поэтому, по нашему мнению, необходимо исключать из стоимости запасов незавершенное производство на конец года, не участвующее в обороте за отчетный год, так как оно искажает оценку исследуемого процесса – завышает ее, не позволяет принять оптимальное управленческое решение, дать правильную оценку по другим критериям.</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Но рейтинг хозяйствующего субъекта зависит от исходной балльной оценки показателей, формирующих величину рейтинга. Учитывая результаты оценки хозяйственной деятельности ЗАО «50 лет Октября» по коэффициенту текущей</w:t>
      </w:r>
      <w:r>
        <w:rPr>
          <w:rFonts w:ascii="Times New Roman" w:hAnsi="Times New Roman"/>
          <w:sz w:val="28"/>
          <w:szCs w:val="28"/>
        </w:rPr>
        <w:t xml:space="preserve"> ликвидности, очевидно несовершенство методики кредитного </w:t>
      </w:r>
      <w:r>
        <w:rPr>
          <w:rFonts w:ascii="Times New Roman" w:hAnsi="Times New Roman" w:cs="Times New Roman"/>
          <w:sz w:val="28"/>
          <w:szCs w:val="28"/>
        </w:rPr>
        <w:t>скоринга Д. Дюрана – завышена исходная балльная оценка этого коэффициента – «30 баллов за его величину 2,0 и выше». То есть, фактической величине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равной 1, соответствует оценка15 баллов, что, по нашему мнению, является завышенной оценкой. Таким образом, чем больше стоимость незавершенного производства и меньше величина краткосрочных обязательств, тем выше значение коэффициента текущей</w:t>
      </w:r>
      <w:r>
        <w:rPr>
          <w:rFonts w:ascii="Times New Roman" w:hAnsi="Times New Roman"/>
          <w:sz w:val="28"/>
          <w:szCs w:val="28"/>
        </w:rPr>
        <w:t xml:space="preserve"> ликвидности, следовательно, больше </w:t>
      </w:r>
      <w:r>
        <w:rPr>
          <w:rFonts w:ascii="Times New Roman" w:hAnsi="Times New Roman" w:cs="Times New Roman"/>
          <w:sz w:val="28"/>
          <w:szCs w:val="28"/>
        </w:rPr>
        <w:t xml:space="preserve">рейтинг организации. </w:t>
      </w:r>
    </w:p>
    <w:p w:rsidR="001B4E4F" w:rsidRDefault="001B4E4F" w:rsidP="00465B5F">
      <w:pPr>
        <w:tabs>
          <w:tab w:val="left" w:pos="-540"/>
        </w:tabs>
        <w:spacing w:after="0" w:line="360" w:lineRule="auto"/>
        <w:ind w:right="-144" w:firstLine="720"/>
        <w:jc w:val="both"/>
        <w:rPr>
          <w:rFonts w:ascii="Times New Roman" w:hAnsi="Times New Roman"/>
          <w:sz w:val="28"/>
          <w:szCs w:val="28"/>
        </w:rPr>
      </w:pPr>
      <w:r>
        <w:rPr>
          <w:rFonts w:ascii="Times New Roman" w:hAnsi="Times New Roman" w:cs="Times New Roman"/>
          <w:sz w:val="28"/>
          <w:szCs w:val="28"/>
        </w:rPr>
        <w:t xml:space="preserve">В связи с этим, на наш взгляд, в иерархии критериев </w:t>
      </w:r>
      <w:r>
        <w:rPr>
          <w:rFonts w:ascii="Times New Roman" w:hAnsi="Times New Roman"/>
          <w:sz w:val="28"/>
          <w:szCs w:val="28"/>
        </w:rPr>
        <w:t xml:space="preserve">кредитного </w:t>
      </w:r>
      <w:r>
        <w:rPr>
          <w:rFonts w:ascii="Times New Roman" w:hAnsi="Times New Roman" w:cs="Times New Roman"/>
          <w:sz w:val="28"/>
          <w:szCs w:val="28"/>
        </w:rPr>
        <w:t>скоринга коэффициент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не заслуживает самой высокой балльной оценки как принято в </w:t>
      </w:r>
      <w:r>
        <w:rPr>
          <w:rFonts w:ascii="Times New Roman" w:hAnsi="Times New Roman"/>
          <w:sz w:val="28"/>
          <w:szCs w:val="28"/>
        </w:rPr>
        <w:t>методике</w:t>
      </w:r>
      <w:r>
        <w:rPr>
          <w:rFonts w:ascii="Times New Roman" w:hAnsi="Times New Roman" w:cs="Times New Roman"/>
          <w:sz w:val="28"/>
          <w:szCs w:val="28"/>
        </w:rPr>
        <w:t xml:space="preserve"> Д. Дюрана – 30 баллов за величину коэффициента текущей</w:t>
      </w:r>
      <w:r>
        <w:rPr>
          <w:rFonts w:ascii="Times New Roman" w:hAnsi="Times New Roman"/>
          <w:sz w:val="28"/>
          <w:szCs w:val="28"/>
        </w:rPr>
        <w:t xml:space="preserve"> ликвидности «2,0 и больше».</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Исследования убеждают, что максимальная балльная оценка этого коэффициента не должна быть больше 20 баллов за фактическую его величину 3,2.</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 xml:space="preserve">Наиболее важным в оценке финансового состояния хозяйствующего субъекта в отечественной системе финансово-экономических отношений является показатель, характеризующий финансовую независимость. Исследования убеждают, что чем выше финансовая самостоятельность сельскохозяйственных организаций Краснодарского края, тем выше эффективность производства и другие показали, характеризующие деловую активность. Финансовую самостоятельность организации определяет, главным образом, нераспределенная прибыль, формируемая за счет прибыли от продаж, положительного сальдо прочих доходов и расходов, чистой прибыли. Поэтому показатель, характеризующий соотношение собственного капитала и всей стоимости имущества организации, должен выступать главным в оценке финансового состояния, финансовой устойчивости хозяйствующего субъекта. Балльная оценка этого показателя должна быть не меньше 50 баллов за величину коэффициента 0,8. Напомним, что в </w:t>
      </w:r>
      <w:r>
        <w:rPr>
          <w:rFonts w:ascii="Times New Roman" w:hAnsi="Times New Roman"/>
          <w:sz w:val="28"/>
          <w:szCs w:val="28"/>
        </w:rPr>
        <w:t xml:space="preserve">кредитном </w:t>
      </w:r>
      <w:r>
        <w:rPr>
          <w:rFonts w:ascii="Times New Roman" w:hAnsi="Times New Roman" w:cs="Times New Roman"/>
          <w:sz w:val="28"/>
          <w:szCs w:val="28"/>
        </w:rPr>
        <w:t>скоринге Д. Дюрана главным показателем является рентабельность совокупных активов – за «30 % и выше» его оценка равна 50 баллов. Наши исследования убеждают, что рентабельности всех активов «5% и выше» должна соответствовать оценка не больше 30 баллов, а величине коэффициента финансовой независимости</w:t>
      </w:r>
      <w:r>
        <w:rPr>
          <w:rFonts w:ascii="Times New Roman" w:hAnsi="Times New Roman"/>
          <w:sz w:val="28"/>
          <w:szCs w:val="28"/>
        </w:rPr>
        <w:t xml:space="preserve"> 0,8 должно </w:t>
      </w:r>
      <w:r>
        <w:rPr>
          <w:rFonts w:ascii="Times New Roman" w:hAnsi="Times New Roman" w:cs="Times New Roman"/>
          <w:sz w:val="28"/>
          <w:szCs w:val="28"/>
        </w:rPr>
        <w:t>соответствовать 50 баллов, значению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3,2 – 20 баллов. Таким образом, одному проценту рентабельности соответствует 6 баллов; 0,1 величине коэффициента финансовой независимости</w:t>
      </w:r>
      <w:r>
        <w:rPr>
          <w:rFonts w:ascii="Times New Roman" w:hAnsi="Times New Roman"/>
          <w:sz w:val="28"/>
          <w:szCs w:val="28"/>
        </w:rPr>
        <w:t xml:space="preserve"> </w:t>
      </w:r>
      <w:r>
        <w:rPr>
          <w:rFonts w:ascii="Times New Roman" w:hAnsi="Times New Roman" w:cs="Times New Roman"/>
          <w:sz w:val="28"/>
          <w:szCs w:val="28"/>
        </w:rPr>
        <w:t>соответствует 62,5 балла; значению 1,0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соответствует оценка 6,25 балла.</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Использование полученной величины мультипликаторов в определении рейтинга сельскохозяйственных организаций показало следующие результаты. Так, рейтинг ООО «Кубань» Каневского района за 2013г. равен 208,2 балла (0,92×62,5+6,84×6,25+18,0×6,0), если не исключать из стоимости оборотных активов незавершенное производство. При исключении из оборотных активов стоимости незавершенного производства рейтинг организации уменьшится на 20,6 балла и равен 187,6 балла (0,92×62,5+3,53×6,25+18,0×6,0).</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Рейтинг ОАО «им. Т. Г. Шевченко» Щербиновского района за 2013 г. равен 98,5 балла (0,683×62,5+3,17×6,25+6,0×6,0) с учетом незавершенного производства в стоимости оборотных активов; без стоимости незавершенного производства рейтинг равен 88,2 балла.</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Рейтинг ЗАО «50 лет Октября» Щербиновского района равен 159,9 балла (0,877×62,5+11,73×6,25+5,3×6,0) при величине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включающей стоимость незавершенного производства, не участвующего в обороте за 2013 г. При исключении стоимости незавершенного производства из оборотных активов рейтинг организации снизился до 120,9 балла или на 39,0 баллов.</w:t>
      </w:r>
    </w:p>
    <w:p w:rsidR="001B4E4F" w:rsidRDefault="001B4E4F" w:rsidP="00465B5F">
      <w:pPr>
        <w:tabs>
          <w:tab w:val="left" w:pos="-540"/>
        </w:tabs>
        <w:spacing w:after="0" w:line="360" w:lineRule="auto"/>
        <w:ind w:right="-144" w:firstLine="720"/>
        <w:jc w:val="both"/>
        <w:rPr>
          <w:rFonts w:ascii="Times New Roman" w:hAnsi="Times New Roman" w:cs="Times New Roman"/>
          <w:sz w:val="28"/>
          <w:szCs w:val="28"/>
        </w:rPr>
      </w:pPr>
      <w:r>
        <w:rPr>
          <w:rFonts w:ascii="Times New Roman" w:hAnsi="Times New Roman" w:cs="Times New Roman"/>
          <w:sz w:val="28"/>
          <w:szCs w:val="28"/>
        </w:rPr>
        <w:t>Рейтинг ЗАО «Рассвет» Кавказского района за 2013 г. равен 100,4 балла (0,754×62,5+1,14×6,25+7,7×6,0) – 98,9 балла соответственно.</w:t>
      </w:r>
    </w:p>
    <w:p w:rsidR="001B4E4F" w:rsidRDefault="001B4E4F" w:rsidP="00895855">
      <w:pPr>
        <w:tabs>
          <w:tab w:val="left" w:pos="-540"/>
        </w:tabs>
        <w:spacing w:after="0" w:line="360" w:lineRule="auto"/>
        <w:ind w:right="-144" w:firstLine="709"/>
        <w:jc w:val="both"/>
        <w:rPr>
          <w:rFonts w:ascii="Times New Roman" w:hAnsi="Times New Roman" w:cs="Times New Roman"/>
          <w:sz w:val="28"/>
          <w:szCs w:val="28"/>
        </w:rPr>
      </w:pPr>
      <w:r>
        <w:rPr>
          <w:rFonts w:ascii="Times New Roman" w:hAnsi="Times New Roman" w:cs="Times New Roman"/>
          <w:sz w:val="28"/>
          <w:szCs w:val="28"/>
        </w:rPr>
        <w:t>В заключение отметим несовершенство применяемых на практике методик рейтинговой оценки финансово- хозяйственной деятельности: некорректность иерархии и балльной оценки показателей, формирующих величину рейтинга хозяйствующего субъекта. Неточность определения рейтинга организации обусловливает также несовершенство методики исчисления коэффициента текущей</w:t>
      </w:r>
      <w:r>
        <w:rPr>
          <w:rFonts w:ascii="Times New Roman" w:hAnsi="Times New Roman"/>
          <w:sz w:val="28"/>
          <w:szCs w:val="28"/>
        </w:rPr>
        <w:t xml:space="preserve"> ликвидности</w:t>
      </w:r>
      <w:r>
        <w:rPr>
          <w:rFonts w:ascii="Times New Roman" w:hAnsi="Times New Roman" w:cs="Times New Roman"/>
          <w:sz w:val="28"/>
          <w:szCs w:val="28"/>
        </w:rPr>
        <w:t xml:space="preserve"> оборотных активов, одного из критериев оценки платежеспособности и </w:t>
      </w:r>
      <w:r>
        <w:rPr>
          <w:rFonts w:ascii="Times New Roman" w:hAnsi="Times New Roman"/>
          <w:sz w:val="28"/>
          <w:szCs w:val="28"/>
        </w:rPr>
        <w:t xml:space="preserve">кредитного </w:t>
      </w:r>
      <w:r>
        <w:rPr>
          <w:rFonts w:ascii="Times New Roman" w:hAnsi="Times New Roman" w:cs="Times New Roman"/>
          <w:sz w:val="28"/>
          <w:szCs w:val="28"/>
        </w:rPr>
        <w:t>скоринга хозяйствующего субъекта.</w:t>
      </w:r>
    </w:p>
    <w:p w:rsidR="001B4E4F" w:rsidRPr="00ED7EEE" w:rsidRDefault="001B4E4F" w:rsidP="00526E1F">
      <w:pPr>
        <w:tabs>
          <w:tab w:val="left" w:pos="-540"/>
        </w:tabs>
        <w:spacing w:after="0" w:line="240" w:lineRule="auto"/>
        <w:ind w:right="-142"/>
        <w:jc w:val="center"/>
        <w:rPr>
          <w:rFonts w:ascii="Times New Roman" w:hAnsi="Times New Roman" w:cs="Times New Roman"/>
          <w:b/>
          <w:sz w:val="24"/>
          <w:szCs w:val="28"/>
        </w:rPr>
      </w:pPr>
      <w:r w:rsidRPr="00ED7EEE">
        <w:rPr>
          <w:rFonts w:ascii="Times New Roman" w:hAnsi="Times New Roman" w:cs="Times New Roman"/>
          <w:b/>
          <w:sz w:val="24"/>
          <w:szCs w:val="28"/>
        </w:rPr>
        <w:t>Литература</w:t>
      </w:r>
    </w:p>
    <w:p w:rsidR="001B4E4F" w:rsidRPr="00526E1F" w:rsidRDefault="001B4E4F" w:rsidP="00526E1F">
      <w:pPr>
        <w:tabs>
          <w:tab w:val="left" w:pos="-540"/>
        </w:tabs>
        <w:spacing w:after="0" w:line="240" w:lineRule="auto"/>
        <w:ind w:right="-142"/>
        <w:jc w:val="center"/>
        <w:rPr>
          <w:rFonts w:ascii="Times New Roman" w:hAnsi="Times New Roman" w:cs="Times New Roman"/>
          <w:sz w:val="24"/>
          <w:szCs w:val="28"/>
        </w:rPr>
      </w:pPr>
      <w:r w:rsidRPr="00526E1F">
        <w:rPr>
          <w:rFonts w:ascii="Times New Roman" w:hAnsi="Times New Roman" w:cs="Times New Roman"/>
          <w:sz w:val="24"/>
          <w:szCs w:val="28"/>
        </w:rPr>
        <w:t xml:space="preserve"> </w:t>
      </w:r>
    </w:p>
    <w:p w:rsidR="001B4E4F" w:rsidRPr="00526E1F" w:rsidRDefault="001B4E4F" w:rsidP="00526E1F">
      <w:pPr>
        <w:numPr>
          <w:ilvl w:val="0"/>
          <w:numId w:val="1"/>
        </w:numPr>
        <w:spacing w:after="0" w:line="240" w:lineRule="auto"/>
        <w:ind w:left="0" w:right="-142" w:firstLine="709"/>
        <w:jc w:val="both"/>
        <w:rPr>
          <w:rFonts w:ascii="Times New Roman" w:hAnsi="Times New Roman" w:cs="Times New Roman"/>
          <w:sz w:val="24"/>
          <w:szCs w:val="28"/>
        </w:rPr>
      </w:pPr>
      <w:r w:rsidRPr="00526E1F">
        <w:rPr>
          <w:rFonts w:ascii="Times New Roman" w:hAnsi="Times New Roman" w:cs="Times New Roman"/>
          <w:sz w:val="24"/>
          <w:szCs w:val="28"/>
        </w:rPr>
        <w:t xml:space="preserve">Федорова, Г. В. Учет и анализ банкротств: учеб. для вузов - 3-е изд., доп. и испр. / Г. В. Федорова. – М.: Омега – Л, 2012. – 304 с. </w:t>
      </w:r>
    </w:p>
    <w:p w:rsidR="001B4E4F" w:rsidRPr="00526E1F" w:rsidRDefault="001B4E4F" w:rsidP="00526E1F">
      <w:pPr>
        <w:numPr>
          <w:ilvl w:val="0"/>
          <w:numId w:val="1"/>
        </w:numPr>
        <w:spacing w:after="0" w:line="240" w:lineRule="auto"/>
        <w:ind w:left="0" w:right="-142" w:firstLine="709"/>
        <w:jc w:val="both"/>
        <w:rPr>
          <w:rFonts w:ascii="Times New Roman" w:hAnsi="Times New Roman" w:cs="Times New Roman"/>
          <w:sz w:val="24"/>
          <w:szCs w:val="28"/>
        </w:rPr>
      </w:pPr>
      <w:r w:rsidRPr="00526E1F">
        <w:rPr>
          <w:rFonts w:ascii="Times New Roman" w:hAnsi="Times New Roman" w:cs="Times New Roman"/>
          <w:sz w:val="24"/>
          <w:szCs w:val="28"/>
        </w:rPr>
        <w:t>Донцова, Л. В. Анализ бухгалтерской (финансовой) отчетности: практикум - 5-е изд., перераб. и доп. /Л. В. Донцова, Н. А. Никифорова. – М.: Дело и Сервис, 2015. – 160 с.</w:t>
      </w:r>
    </w:p>
    <w:p w:rsidR="001B4E4F" w:rsidRPr="00526E1F" w:rsidRDefault="001B4E4F" w:rsidP="00526E1F">
      <w:pPr>
        <w:widowControl w:val="0"/>
        <w:numPr>
          <w:ilvl w:val="0"/>
          <w:numId w:val="1"/>
        </w:numPr>
        <w:shd w:val="clear" w:color="auto" w:fill="FFFFFF"/>
        <w:tabs>
          <w:tab w:val="left" w:pos="-1260"/>
          <w:tab w:val="left" w:pos="-900"/>
          <w:tab w:val="left" w:pos="-720"/>
          <w:tab w:val="left" w:pos="0"/>
        </w:tabs>
        <w:suppressAutoHyphens w:val="0"/>
        <w:autoSpaceDE w:val="0"/>
        <w:autoSpaceDN w:val="0"/>
        <w:adjustRightInd w:val="0"/>
        <w:spacing w:after="0" w:line="240" w:lineRule="auto"/>
        <w:ind w:left="0" w:right="-142" w:firstLine="709"/>
        <w:jc w:val="both"/>
        <w:rPr>
          <w:rFonts w:ascii="Times New Roman" w:hAnsi="Times New Roman" w:cs="Times New Roman"/>
          <w:sz w:val="24"/>
          <w:szCs w:val="28"/>
        </w:rPr>
      </w:pPr>
      <w:r w:rsidRPr="00526E1F">
        <w:rPr>
          <w:rFonts w:ascii="Times New Roman" w:hAnsi="Times New Roman" w:cs="Times New Roman"/>
          <w:sz w:val="24"/>
          <w:szCs w:val="28"/>
        </w:rPr>
        <w:t>Комплексный экономический анализ: учеб. методическое пособие /Н. К. Васильева, А. Г. Прудников, А. И. Трубилин и др./; под общ. ред. Н. К. Васильевой, А. Г. Прудникова. – Краснодар: КубГАУ, 2011. – 121с.</w:t>
      </w:r>
    </w:p>
    <w:p w:rsidR="001B4E4F" w:rsidRPr="00526E1F" w:rsidRDefault="001B4E4F" w:rsidP="00526E1F">
      <w:pPr>
        <w:widowControl w:val="0"/>
        <w:numPr>
          <w:ilvl w:val="0"/>
          <w:numId w:val="1"/>
        </w:numPr>
        <w:shd w:val="clear" w:color="auto" w:fill="FFFFFF"/>
        <w:tabs>
          <w:tab w:val="left" w:pos="-1701"/>
          <w:tab w:val="left" w:pos="0"/>
        </w:tabs>
        <w:suppressAutoHyphens w:val="0"/>
        <w:autoSpaceDE w:val="0"/>
        <w:autoSpaceDN w:val="0"/>
        <w:adjustRightInd w:val="0"/>
        <w:spacing w:after="0" w:line="240" w:lineRule="auto"/>
        <w:ind w:left="0" w:right="-142" w:firstLine="709"/>
        <w:jc w:val="both"/>
        <w:rPr>
          <w:rFonts w:ascii="Times New Roman" w:hAnsi="Times New Roman" w:cs="Times New Roman"/>
          <w:sz w:val="24"/>
          <w:szCs w:val="28"/>
        </w:rPr>
      </w:pPr>
      <w:r w:rsidRPr="00526E1F">
        <w:rPr>
          <w:rFonts w:ascii="Times New Roman" w:hAnsi="Times New Roman" w:cs="Times New Roman"/>
          <w:sz w:val="24"/>
          <w:szCs w:val="28"/>
        </w:rPr>
        <w:t>Прудников, А. Г. Особенности методики анализа и оценки ликвидности оборотных активов сельскохозяйственных организаций/А. Г. Прудников, М. И Пшмахова //Сборник научных статей по итогам международной конференции г. Волгоград, 28 - 29 марта 2012 г. / Под ред. д.э.н. проф. И. Е. Бельских. – Волгоград: Волгоградское научное издательство, 2012. – С. 163 – 167.</w:t>
      </w:r>
    </w:p>
    <w:p w:rsidR="001B4E4F" w:rsidRPr="00526E1F" w:rsidRDefault="001B4E4F" w:rsidP="00526E1F">
      <w:pPr>
        <w:widowControl w:val="0"/>
        <w:numPr>
          <w:ilvl w:val="0"/>
          <w:numId w:val="1"/>
        </w:numPr>
        <w:shd w:val="clear" w:color="auto" w:fill="FFFFFF"/>
        <w:tabs>
          <w:tab w:val="left" w:pos="-1701"/>
          <w:tab w:val="left" w:pos="0"/>
        </w:tabs>
        <w:suppressAutoHyphens w:val="0"/>
        <w:autoSpaceDE w:val="0"/>
        <w:autoSpaceDN w:val="0"/>
        <w:adjustRightInd w:val="0"/>
        <w:spacing w:after="0" w:line="240" w:lineRule="auto"/>
        <w:ind w:left="0" w:right="-142" w:firstLine="709"/>
        <w:jc w:val="both"/>
        <w:rPr>
          <w:rFonts w:ascii="Times New Roman" w:hAnsi="Times New Roman" w:cs="Times New Roman"/>
          <w:sz w:val="24"/>
          <w:szCs w:val="28"/>
        </w:rPr>
      </w:pPr>
      <w:r w:rsidRPr="00526E1F">
        <w:rPr>
          <w:rFonts w:ascii="Times New Roman" w:hAnsi="Times New Roman" w:cs="Times New Roman"/>
          <w:sz w:val="24"/>
          <w:szCs w:val="28"/>
        </w:rPr>
        <w:t>Прудников, А. Г. Анализ и оценка платежеспособности организаций аграрной сферы производства /А. Г. Прудников, А. И. Трубилин /Научные труды Кубанского ГАУ, №1 (52), 2015 – С. 65 – 69.</w:t>
      </w:r>
    </w:p>
    <w:p w:rsidR="001B4E4F" w:rsidRDefault="001B4E4F" w:rsidP="00AE15F5">
      <w:pPr>
        <w:widowControl w:val="0"/>
        <w:shd w:val="clear" w:color="auto" w:fill="FFFFFF"/>
        <w:tabs>
          <w:tab w:val="left" w:pos="-1701"/>
          <w:tab w:val="left" w:pos="0"/>
        </w:tabs>
        <w:suppressAutoHyphens w:val="0"/>
        <w:autoSpaceDE w:val="0"/>
        <w:autoSpaceDN w:val="0"/>
        <w:adjustRightInd w:val="0"/>
        <w:spacing w:after="0" w:line="360" w:lineRule="auto"/>
        <w:ind w:right="-144"/>
        <w:jc w:val="both"/>
        <w:rPr>
          <w:rFonts w:ascii="Times New Roman" w:hAnsi="Times New Roman" w:cs="Times New Roman"/>
          <w:sz w:val="28"/>
          <w:szCs w:val="28"/>
        </w:rPr>
      </w:pPr>
    </w:p>
    <w:p w:rsidR="001B4E4F" w:rsidRPr="00687089" w:rsidRDefault="001B4E4F" w:rsidP="009657CC">
      <w:pPr>
        <w:tabs>
          <w:tab w:val="left" w:pos="-540"/>
        </w:tabs>
        <w:spacing w:after="0" w:line="240" w:lineRule="auto"/>
        <w:ind w:right="-142" w:firstLine="426"/>
        <w:jc w:val="center"/>
        <w:rPr>
          <w:rFonts w:ascii="Times New Roman" w:hAnsi="Times New Roman" w:cs="Times New Roman"/>
          <w:b/>
          <w:sz w:val="24"/>
          <w:szCs w:val="24"/>
          <w:lang w:val="en-US"/>
        </w:rPr>
      </w:pPr>
      <w:r w:rsidRPr="00687089">
        <w:rPr>
          <w:rFonts w:ascii="Times New Roman" w:hAnsi="Times New Roman" w:cs="Times New Roman"/>
          <w:b/>
          <w:sz w:val="24"/>
          <w:szCs w:val="24"/>
          <w:lang w:val="en-US"/>
        </w:rPr>
        <w:t>References:</w:t>
      </w:r>
    </w:p>
    <w:p w:rsidR="001B4E4F" w:rsidRPr="00ED7EEE" w:rsidRDefault="001B4E4F" w:rsidP="009657CC">
      <w:pPr>
        <w:tabs>
          <w:tab w:val="left" w:pos="-540"/>
        </w:tabs>
        <w:spacing w:after="0" w:line="240" w:lineRule="auto"/>
        <w:ind w:right="-142" w:firstLine="426"/>
        <w:jc w:val="center"/>
        <w:rPr>
          <w:rFonts w:ascii="Times New Roman" w:hAnsi="Times New Roman" w:cs="Times New Roman"/>
          <w:sz w:val="24"/>
          <w:szCs w:val="24"/>
          <w:lang w:val="en-US"/>
        </w:rPr>
      </w:pPr>
    </w:p>
    <w:p w:rsidR="001B4E4F" w:rsidRPr="00ED7EEE" w:rsidRDefault="001B4E4F" w:rsidP="009657CC">
      <w:pPr>
        <w:tabs>
          <w:tab w:val="left" w:pos="-540"/>
        </w:tabs>
        <w:spacing w:after="0" w:line="240" w:lineRule="auto"/>
        <w:ind w:right="-142" w:firstLine="426"/>
        <w:jc w:val="both"/>
        <w:rPr>
          <w:rFonts w:ascii="Times New Roman" w:hAnsi="Times New Roman" w:cs="Times New Roman"/>
          <w:sz w:val="24"/>
          <w:szCs w:val="24"/>
          <w:lang w:val="en-US"/>
        </w:rPr>
      </w:pPr>
      <w:r w:rsidRPr="00ED7EEE">
        <w:rPr>
          <w:rFonts w:ascii="Times New Roman" w:hAnsi="Times New Roman" w:cs="Times New Roman"/>
          <w:sz w:val="24"/>
          <w:szCs w:val="24"/>
          <w:lang w:val="en-US"/>
        </w:rPr>
        <w:t>1.</w:t>
      </w:r>
      <w:r w:rsidRPr="00ED7EEE">
        <w:rPr>
          <w:rFonts w:ascii="Times New Roman" w:hAnsi="Times New Roman" w:cs="Times New Roman"/>
          <w:sz w:val="24"/>
          <w:szCs w:val="24"/>
          <w:lang w:val="en-US"/>
        </w:rPr>
        <w:tab/>
        <w:t xml:space="preserve">Fedorova, G. V. Uchet i analiz bankrotstv: ucheb. dlja vuzov - 3-e izd., dop. i ispr. / G. V. Fedorova. – M.: Omega – L, 2012. – 304 s. </w:t>
      </w:r>
    </w:p>
    <w:p w:rsidR="001B4E4F" w:rsidRPr="00ED7EEE" w:rsidRDefault="001B4E4F" w:rsidP="009657CC">
      <w:pPr>
        <w:tabs>
          <w:tab w:val="left" w:pos="-540"/>
        </w:tabs>
        <w:spacing w:after="0" w:line="240" w:lineRule="auto"/>
        <w:ind w:right="-142" w:firstLine="426"/>
        <w:jc w:val="both"/>
        <w:rPr>
          <w:rFonts w:ascii="Times New Roman" w:hAnsi="Times New Roman" w:cs="Times New Roman"/>
          <w:sz w:val="24"/>
          <w:szCs w:val="24"/>
          <w:lang w:val="en-US"/>
        </w:rPr>
      </w:pPr>
      <w:r w:rsidRPr="00ED7EEE">
        <w:rPr>
          <w:rFonts w:ascii="Times New Roman" w:hAnsi="Times New Roman" w:cs="Times New Roman"/>
          <w:sz w:val="24"/>
          <w:szCs w:val="24"/>
          <w:lang w:val="en-US"/>
        </w:rPr>
        <w:t>2.</w:t>
      </w:r>
      <w:r w:rsidRPr="00ED7EEE">
        <w:rPr>
          <w:rFonts w:ascii="Times New Roman" w:hAnsi="Times New Roman" w:cs="Times New Roman"/>
          <w:sz w:val="24"/>
          <w:szCs w:val="24"/>
          <w:lang w:val="en-US"/>
        </w:rPr>
        <w:tab/>
        <w:t>Doncova, L. V. Analiz buhgalterskoj (finansovoj) otchetnosti: praktikum - 5-e izd., pererab. i dop. /L. V. Doncova, N. A. Nikiforova. – M.: Delo i Servis, 2015. – 160 s.</w:t>
      </w:r>
    </w:p>
    <w:p w:rsidR="001B4E4F" w:rsidRPr="005322D3" w:rsidRDefault="001B4E4F" w:rsidP="009657CC">
      <w:pPr>
        <w:tabs>
          <w:tab w:val="left" w:pos="-540"/>
        </w:tabs>
        <w:spacing w:after="0" w:line="240" w:lineRule="auto"/>
        <w:ind w:right="-142" w:firstLine="426"/>
        <w:jc w:val="both"/>
        <w:rPr>
          <w:rFonts w:ascii="Times New Roman" w:hAnsi="Times New Roman" w:cs="Times New Roman"/>
          <w:sz w:val="24"/>
          <w:szCs w:val="24"/>
          <w:lang w:val="en-US"/>
        </w:rPr>
      </w:pPr>
      <w:r w:rsidRPr="005322D3">
        <w:rPr>
          <w:rFonts w:ascii="Times New Roman" w:hAnsi="Times New Roman" w:cs="Times New Roman"/>
          <w:sz w:val="24"/>
          <w:szCs w:val="24"/>
          <w:lang w:val="en-US"/>
        </w:rPr>
        <w:t>3.</w:t>
      </w:r>
      <w:r w:rsidRPr="005322D3">
        <w:rPr>
          <w:rFonts w:ascii="Times New Roman" w:hAnsi="Times New Roman" w:cs="Times New Roman"/>
          <w:sz w:val="24"/>
          <w:szCs w:val="24"/>
          <w:lang w:val="en-US"/>
        </w:rPr>
        <w:tab/>
        <w:t>Kompleksnyj jekonomicheskij analiz: ucheb. metodicheskoe posobie /N. K. Vasil'eva, A. G. Prudnikov, A. I. Trubilin i dr./; pod obshh. red. N. K. Vasil'evoj, A. G. Prudnikova. – Krasnodar: KubGAU, 2011. – 121s.</w:t>
      </w:r>
    </w:p>
    <w:p w:rsidR="001B4E4F" w:rsidRPr="005322D3" w:rsidRDefault="001B4E4F" w:rsidP="009657CC">
      <w:pPr>
        <w:tabs>
          <w:tab w:val="left" w:pos="-540"/>
        </w:tabs>
        <w:spacing w:after="0" w:line="240" w:lineRule="auto"/>
        <w:ind w:right="-142" w:firstLine="426"/>
        <w:jc w:val="both"/>
        <w:rPr>
          <w:rFonts w:ascii="Times New Roman" w:hAnsi="Times New Roman" w:cs="Times New Roman"/>
          <w:sz w:val="24"/>
          <w:szCs w:val="24"/>
          <w:lang w:val="en-US"/>
        </w:rPr>
      </w:pPr>
      <w:r w:rsidRPr="005322D3">
        <w:rPr>
          <w:rFonts w:ascii="Times New Roman" w:hAnsi="Times New Roman" w:cs="Times New Roman"/>
          <w:sz w:val="24"/>
          <w:szCs w:val="24"/>
          <w:lang w:val="en-US"/>
        </w:rPr>
        <w:t>4.</w:t>
      </w:r>
      <w:r w:rsidRPr="005322D3">
        <w:rPr>
          <w:rFonts w:ascii="Times New Roman" w:hAnsi="Times New Roman" w:cs="Times New Roman"/>
          <w:sz w:val="24"/>
          <w:szCs w:val="24"/>
          <w:lang w:val="en-US"/>
        </w:rPr>
        <w:tab/>
        <w:t>Prudnikov, A. G. Osobennosti metodiki analiza i ocenki likvidnosti oborotnyh aktivov sel'skohozjajstvennyh organizacij/A. G. Prudnikov, M. I Pshmahova //Sbornik nauchnyh statej po itogam mezhdunarodnoj konferencii g. Volgograd, 28 - 29 marta 2012 g. / Pod red. d.je.n. prof. I. E. Bel'skih. – Volgograd: Volgogradskoe nauchnoe izdatel'stvo, 2012. – S. 163 – 167.</w:t>
      </w:r>
    </w:p>
    <w:p w:rsidR="001B4E4F" w:rsidRDefault="001B4E4F" w:rsidP="009657CC">
      <w:pPr>
        <w:tabs>
          <w:tab w:val="left" w:pos="-540"/>
        </w:tabs>
        <w:spacing w:after="0" w:line="240" w:lineRule="auto"/>
        <w:ind w:right="-142" w:firstLine="426"/>
        <w:jc w:val="both"/>
        <w:rPr>
          <w:rFonts w:ascii="Times New Roman" w:hAnsi="Times New Roman" w:cs="Times New Roman"/>
          <w:sz w:val="24"/>
          <w:szCs w:val="24"/>
          <w:lang w:val="en-US"/>
        </w:rPr>
      </w:pPr>
      <w:r w:rsidRPr="005322D3">
        <w:rPr>
          <w:rFonts w:ascii="Times New Roman" w:hAnsi="Times New Roman" w:cs="Times New Roman"/>
          <w:sz w:val="24"/>
          <w:szCs w:val="24"/>
          <w:lang w:val="en-US"/>
        </w:rPr>
        <w:t>5.</w:t>
      </w:r>
      <w:r w:rsidRPr="005322D3">
        <w:rPr>
          <w:rFonts w:ascii="Times New Roman" w:hAnsi="Times New Roman" w:cs="Times New Roman"/>
          <w:sz w:val="24"/>
          <w:szCs w:val="24"/>
          <w:lang w:val="en-US"/>
        </w:rPr>
        <w:tab/>
        <w:t>Prudnikov, A. G. Analiz i ocenka platezhesposobnosti organizacij agrarnoj sfery proizvodstva /A. G. Prudnikov, A. I. Trubilin /Nauchnye trudy Kubanskogo GAU, №1 (52), 2015 – S. 65 – 69.</w:t>
      </w:r>
    </w:p>
    <w:sectPr w:rsidR="001B4E4F" w:rsidSect="00526E1F">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E4F" w:rsidRDefault="001B4E4F" w:rsidP="00727499">
      <w:pPr>
        <w:spacing w:after="0" w:line="240" w:lineRule="auto"/>
      </w:pPr>
      <w:r>
        <w:separator/>
      </w:r>
    </w:p>
  </w:endnote>
  <w:endnote w:type="continuationSeparator" w:id="0">
    <w:p w:rsidR="001B4E4F" w:rsidRDefault="001B4E4F" w:rsidP="007274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4F" w:rsidRDefault="001B4E4F">
    <w:pPr>
      <w:pStyle w:val="Footer"/>
    </w:pPr>
    <w:r w:rsidRPr="008F116B">
      <w:rPr>
        <w:rFonts w:ascii="Times New Roman" w:hAnsi="Times New Roman"/>
        <w:sz w:val="24"/>
        <w:szCs w:val="24"/>
      </w:rPr>
      <w:t>http://ej.kubagro.ru/2016/01/pdf/</w:t>
    </w:r>
    <w:r>
      <w:rPr>
        <w:rFonts w:ascii="Times New Roman" w:hAnsi="Times New Roman"/>
        <w:sz w:val="24"/>
        <w:szCs w:val="24"/>
        <w:lang w:val="en-US"/>
      </w:rPr>
      <w:t>5</w:t>
    </w:r>
    <w:r>
      <w:rPr>
        <w:rFonts w:ascii="Times New Roman" w:hAnsi="Times New Roman"/>
        <w:sz w:val="24"/>
        <w:szCs w:val="24"/>
      </w:rPr>
      <w:t>7</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E4F" w:rsidRDefault="001B4E4F" w:rsidP="00727499">
      <w:pPr>
        <w:spacing w:after="0" w:line="240" w:lineRule="auto"/>
      </w:pPr>
      <w:r>
        <w:separator/>
      </w:r>
    </w:p>
  </w:footnote>
  <w:footnote w:type="continuationSeparator" w:id="0">
    <w:p w:rsidR="001B4E4F" w:rsidRDefault="001B4E4F" w:rsidP="007274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4F" w:rsidRDefault="001B4E4F" w:rsidP="00215627">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1B4E4F" w:rsidRDefault="001B4E4F" w:rsidP="0068708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4F" w:rsidRPr="00687089" w:rsidRDefault="001B4E4F" w:rsidP="00215627">
    <w:pPr>
      <w:pStyle w:val="Header"/>
      <w:framePr w:wrap="around" w:vAnchor="text" w:hAnchor="margin" w:xAlign="right" w:y="1"/>
      <w:rPr>
        <w:rStyle w:val="PageNumber"/>
        <w:rFonts w:ascii="Times New Roman" w:hAnsi="Times New Roman"/>
        <w:sz w:val="28"/>
        <w:szCs w:val="28"/>
      </w:rPr>
    </w:pPr>
    <w:r w:rsidRPr="00687089">
      <w:rPr>
        <w:rStyle w:val="PageNumber"/>
        <w:rFonts w:ascii="Times New Roman" w:hAnsi="Times New Roman"/>
        <w:sz w:val="28"/>
        <w:szCs w:val="28"/>
      </w:rPr>
      <w:fldChar w:fldCharType="begin"/>
    </w:r>
    <w:r w:rsidRPr="00687089">
      <w:rPr>
        <w:rStyle w:val="PageNumber"/>
        <w:rFonts w:ascii="Times New Roman" w:hAnsi="Times New Roman"/>
        <w:sz w:val="28"/>
        <w:szCs w:val="28"/>
      </w:rPr>
      <w:instrText xml:space="preserve">PAGE  </w:instrText>
    </w:r>
    <w:r w:rsidRPr="00687089">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687089">
      <w:rPr>
        <w:rStyle w:val="PageNumber"/>
        <w:rFonts w:ascii="Times New Roman" w:hAnsi="Times New Roman"/>
        <w:sz w:val="28"/>
        <w:szCs w:val="28"/>
      </w:rPr>
      <w:fldChar w:fldCharType="end"/>
    </w:r>
  </w:p>
  <w:p w:rsidR="001B4E4F" w:rsidRDefault="001B4E4F" w:rsidP="00687089">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1B4E4F" w:rsidRDefault="001B4E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CF537D"/>
    <w:multiLevelType w:val="hybridMultilevel"/>
    <w:tmpl w:val="81EE1E9A"/>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1E38"/>
    <w:rsid w:val="000A49E8"/>
    <w:rsid w:val="00173496"/>
    <w:rsid w:val="001952C3"/>
    <w:rsid w:val="001A72CE"/>
    <w:rsid w:val="001B4E4F"/>
    <w:rsid w:val="00207FA5"/>
    <w:rsid w:val="00215627"/>
    <w:rsid w:val="00245FB9"/>
    <w:rsid w:val="002568A2"/>
    <w:rsid w:val="002919B2"/>
    <w:rsid w:val="00320AF4"/>
    <w:rsid w:val="003C06D2"/>
    <w:rsid w:val="00465B5F"/>
    <w:rsid w:val="004C7839"/>
    <w:rsid w:val="004F014F"/>
    <w:rsid w:val="00526E1F"/>
    <w:rsid w:val="005322D3"/>
    <w:rsid w:val="00627679"/>
    <w:rsid w:val="00687089"/>
    <w:rsid w:val="006D2CFD"/>
    <w:rsid w:val="00727499"/>
    <w:rsid w:val="007637B8"/>
    <w:rsid w:val="007B5356"/>
    <w:rsid w:val="007E1A9C"/>
    <w:rsid w:val="00814BAE"/>
    <w:rsid w:val="00817974"/>
    <w:rsid w:val="0087308D"/>
    <w:rsid w:val="00895855"/>
    <w:rsid w:val="008B0EAA"/>
    <w:rsid w:val="008C4BDC"/>
    <w:rsid w:val="008F116B"/>
    <w:rsid w:val="00960088"/>
    <w:rsid w:val="009657CC"/>
    <w:rsid w:val="00A31626"/>
    <w:rsid w:val="00A356A2"/>
    <w:rsid w:val="00A5576C"/>
    <w:rsid w:val="00A77289"/>
    <w:rsid w:val="00AA1A44"/>
    <w:rsid w:val="00AE15F5"/>
    <w:rsid w:val="00B61E38"/>
    <w:rsid w:val="00B739F9"/>
    <w:rsid w:val="00BB11B7"/>
    <w:rsid w:val="00C3055F"/>
    <w:rsid w:val="00D11160"/>
    <w:rsid w:val="00D343AC"/>
    <w:rsid w:val="00DF6EDF"/>
    <w:rsid w:val="00E40618"/>
    <w:rsid w:val="00E47EFC"/>
    <w:rsid w:val="00E5258A"/>
    <w:rsid w:val="00ED7EEE"/>
    <w:rsid w:val="00F34498"/>
    <w:rsid w:val="00FF07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E38"/>
    <w:pPr>
      <w:suppressAutoHyphens/>
      <w:spacing w:after="200" w:line="276" w:lineRule="auto"/>
    </w:pPr>
    <w:rPr>
      <w:rFonts w:eastAsia="Times New Roman" w:cs="Calibri"/>
      <w:lang w:eastAsia="ar-SA"/>
    </w:rPr>
  </w:style>
  <w:style w:type="paragraph" w:styleId="Heading1">
    <w:name w:val="heading 1"/>
    <w:basedOn w:val="Normal"/>
    <w:next w:val="Normal"/>
    <w:link w:val="Heading1Char"/>
    <w:uiPriority w:val="99"/>
    <w:qFormat/>
    <w:rsid w:val="00627679"/>
    <w:pPr>
      <w:keepNext/>
      <w:outlineLvl w:val="0"/>
    </w:pPr>
    <w:rPr>
      <w:rFonts w:cs="Times New Roman"/>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7679"/>
    <w:rPr>
      <w:rFonts w:ascii="Times New Roman" w:hAnsi="Times New Roman" w:cs="Times New Roman"/>
      <w:sz w:val="20"/>
      <w:szCs w:val="20"/>
      <w:lang w:eastAsia="ru-RU"/>
    </w:rPr>
  </w:style>
  <w:style w:type="table" w:styleId="TableGrid">
    <w:name w:val="Table Grid"/>
    <w:basedOn w:val="TableNormal"/>
    <w:uiPriority w:val="99"/>
    <w:rsid w:val="00B61E3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274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27499"/>
    <w:rPr>
      <w:rFonts w:ascii="Calibri" w:hAnsi="Calibri" w:cs="Calibri"/>
      <w:lang w:eastAsia="ar-SA" w:bidi="ar-SA"/>
    </w:rPr>
  </w:style>
  <w:style w:type="paragraph" w:styleId="Footer">
    <w:name w:val="footer"/>
    <w:basedOn w:val="Normal"/>
    <w:link w:val="FooterChar"/>
    <w:uiPriority w:val="99"/>
    <w:rsid w:val="007274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27499"/>
    <w:rPr>
      <w:rFonts w:ascii="Calibri" w:hAnsi="Calibri" w:cs="Calibri"/>
      <w:lang w:eastAsia="ar-SA" w:bidi="ar-SA"/>
    </w:rPr>
  </w:style>
  <w:style w:type="paragraph" w:styleId="BalloonText">
    <w:name w:val="Balloon Text"/>
    <w:basedOn w:val="Normal"/>
    <w:link w:val="BalloonTextChar"/>
    <w:uiPriority w:val="99"/>
    <w:semiHidden/>
    <w:rsid w:val="00207F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FA5"/>
    <w:rPr>
      <w:rFonts w:ascii="Tahoma" w:hAnsi="Tahoma" w:cs="Tahoma"/>
      <w:sz w:val="16"/>
      <w:szCs w:val="16"/>
      <w:lang w:eastAsia="ar-SA" w:bidi="ar-SA"/>
    </w:rPr>
  </w:style>
  <w:style w:type="character" w:styleId="Hyperlink">
    <w:name w:val="Hyperlink"/>
    <w:basedOn w:val="DefaultParagraphFont"/>
    <w:uiPriority w:val="99"/>
    <w:rsid w:val="00B739F9"/>
    <w:rPr>
      <w:rFonts w:cs="Times New Roman"/>
      <w:color w:val="0000FF"/>
      <w:u w:val="single"/>
    </w:rPr>
  </w:style>
  <w:style w:type="paragraph" w:styleId="ListParagraph">
    <w:name w:val="List Paragraph"/>
    <w:basedOn w:val="Normal"/>
    <w:uiPriority w:val="99"/>
    <w:qFormat/>
    <w:rsid w:val="00B739F9"/>
    <w:pPr>
      <w:ind w:left="720"/>
    </w:pPr>
  </w:style>
  <w:style w:type="character" w:styleId="Strong">
    <w:name w:val="Strong"/>
    <w:basedOn w:val="DefaultParagraphFont"/>
    <w:uiPriority w:val="99"/>
    <w:qFormat/>
    <w:rsid w:val="00B739F9"/>
    <w:rPr>
      <w:rFonts w:cs="Times New Roman"/>
      <w:b/>
      <w:bCs/>
    </w:rPr>
  </w:style>
  <w:style w:type="character" w:styleId="PageNumber">
    <w:name w:val="page number"/>
    <w:basedOn w:val="DefaultParagraphFont"/>
    <w:uiPriority w:val="99"/>
    <w:rsid w:val="00687089"/>
    <w:rPr>
      <w:rFonts w:cs="Times New Roman"/>
    </w:rPr>
  </w:style>
</w:styles>
</file>

<file path=word/webSettings.xml><?xml version="1.0" encoding="utf-8"?>
<w:webSettings xmlns:r="http://schemas.openxmlformats.org/officeDocument/2006/relationships" xmlns:w="http://schemas.openxmlformats.org/wordprocessingml/2006/main">
  <w:divs>
    <w:div w:id="1818842197">
      <w:marLeft w:val="0"/>
      <w:marRight w:val="0"/>
      <w:marTop w:val="0"/>
      <w:marBottom w:val="0"/>
      <w:divBdr>
        <w:top w:val="none" w:sz="0" w:space="0" w:color="auto"/>
        <w:left w:val="none" w:sz="0" w:space="0" w:color="auto"/>
        <w:bottom w:val="none" w:sz="0" w:space="0" w:color="auto"/>
        <w:right w:val="none" w:sz="0" w:space="0" w:color="auto"/>
      </w:divBdr>
    </w:div>
    <w:div w:id="1818842198">
      <w:marLeft w:val="0"/>
      <w:marRight w:val="0"/>
      <w:marTop w:val="0"/>
      <w:marBottom w:val="0"/>
      <w:divBdr>
        <w:top w:val="none" w:sz="0" w:space="0" w:color="auto"/>
        <w:left w:val="none" w:sz="0" w:space="0" w:color="auto"/>
        <w:bottom w:val="none" w:sz="0" w:space="0" w:color="auto"/>
        <w:right w:val="none" w:sz="0" w:space="0" w:color="auto"/>
      </w:divBdr>
    </w:div>
    <w:div w:id="1818842199">
      <w:marLeft w:val="0"/>
      <w:marRight w:val="0"/>
      <w:marTop w:val="0"/>
      <w:marBottom w:val="0"/>
      <w:divBdr>
        <w:top w:val="none" w:sz="0" w:space="0" w:color="auto"/>
        <w:left w:val="none" w:sz="0" w:space="0" w:color="auto"/>
        <w:bottom w:val="none" w:sz="0" w:space="0" w:color="auto"/>
        <w:right w:val="none" w:sz="0" w:space="0" w:color="auto"/>
      </w:divBdr>
    </w:div>
    <w:div w:id="1818842200">
      <w:marLeft w:val="0"/>
      <w:marRight w:val="0"/>
      <w:marTop w:val="0"/>
      <w:marBottom w:val="0"/>
      <w:divBdr>
        <w:top w:val="none" w:sz="0" w:space="0" w:color="auto"/>
        <w:left w:val="none" w:sz="0" w:space="0" w:color="auto"/>
        <w:bottom w:val="none" w:sz="0" w:space="0" w:color="auto"/>
        <w:right w:val="none" w:sz="0" w:space="0" w:color="auto"/>
      </w:divBdr>
    </w:div>
    <w:div w:id="1818842201">
      <w:marLeft w:val="0"/>
      <w:marRight w:val="0"/>
      <w:marTop w:val="0"/>
      <w:marBottom w:val="0"/>
      <w:divBdr>
        <w:top w:val="none" w:sz="0" w:space="0" w:color="auto"/>
        <w:left w:val="none" w:sz="0" w:space="0" w:color="auto"/>
        <w:bottom w:val="none" w:sz="0" w:space="0" w:color="auto"/>
        <w:right w:val="none" w:sz="0" w:space="0" w:color="auto"/>
      </w:divBdr>
    </w:div>
    <w:div w:id="1818842202">
      <w:marLeft w:val="0"/>
      <w:marRight w:val="0"/>
      <w:marTop w:val="0"/>
      <w:marBottom w:val="0"/>
      <w:divBdr>
        <w:top w:val="none" w:sz="0" w:space="0" w:color="auto"/>
        <w:left w:val="none" w:sz="0" w:space="0" w:color="auto"/>
        <w:bottom w:val="none" w:sz="0" w:space="0" w:color="auto"/>
        <w:right w:val="none" w:sz="0" w:space="0" w:color="auto"/>
      </w:divBdr>
    </w:div>
    <w:div w:id="1818842203">
      <w:marLeft w:val="0"/>
      <w:marRight w:val="0"/>
      <w:marTop w:val="0"/>
      <w:marBottom w:val="0"/>
      <w:divBdr>
        <w:top w:val="none" w:sz="0" w:space="0" w:color="auto"/>
        <w:left w:val="none" w:sz="0" w:space="0" w:color="auto"/>
        <w:bottom w:val="none" w:sz="0" w:space="0" w:color="auto"/>
        <w:right w:val="none" w:sz="0" w:space="0" w:color="auto"/>
      </w:divBdr>
    </w:div>
    <w:div w:id="1818842204">
      <w:marLeft w:val="0"/>
      <w:marRight w:val="0"/>
      <w:marTop w:val="0"/>
      <w:marBottom w:val="0"/>
      <w:divBdr>
        <w:top w:val="none" w:sz="0" w:space="0" w:color="auto"/>
        <w:left w:val="none" w:sz="0" w:space="0" w:color="auto"/>
        <w:bottom w:val="none" w:sz="0" w:space="0" w:color="auto"/>
        <w:right w:val="none" w:sz="0" w:space="0" w:color="auto"/>
      </w:divBdr>
    </w:div>
    <w:div w:id="1818842205">
      <w:marLeft w:val="0"/>
      <w:marRight w:val="0"/>
      <w:marTop w:val="0"/>
      <w:marBottom w:val="0"/>
      <w:divBdr>
        <w:top w:val="none" w:sz="0" w:space="0" w:color="auto"/>
        <w:left w:val="none" w:sz="0" w:space="0" w:color="auto"/>
        <w:bottom w:val="none" w:sz="0" w:space="0" w:color="auto"/>
        <w:right w:val="none" w:sz="0" w:space="0" w:color="auto"/>
      </w:divBdr>
    </w:div>
    <w:div w:id="1818842206">
      <w:marLeft w:val="0"/>
      <w:marRight w:val="0"/>
      <w:marTop w:val="0"/>
      <w:marBottom w:val="0"/>
      <w:divBdr>
        <w:top w:val="none" w:sz="0" w:space="0" w:color="auto"/>
        <w:left w:val="none" w:sz="0" w:space="0" w:color="auto"/>
        <w:bottom w:val="none" w:sz="0" w:space="0" w:color="auto"/>
        <w:right w:val="none" w:sz="0" w:space="0" w:color="auto"/>
      </w:divBdr>
    </w:div>
    <w:div w:id="1818842207">
      <w:marLeft w:val="0"/>
      <w:marRight w:val="0"/>
      <w:marTop w:val="0"/>
      <w:marBottom w:val="0"/>
      <w:divBdr>
        <w:top w:val="none" w:sz="0" w:space="0" w:color="auto"/>
        <w:left w:val="none" w:sz="0" w:space="0" w:color="auto"/>
        <w:bottom w:val="none" w:sz="0" w:space="0" w:color="auto"/>
        <w:right w:val="none" w:sz="0" w:space="0" w:color="auto"/>
      </w:divBdr>
    </w:div>
    <w:div w:id="1818842208">
      <w:marLeft w:val="0"/>
      <w:marRight w:val="0"/>
      <w:marTop w:val="0"/>
      <w:marBottom w:val="0"/>
      <w:divBdr>
        <w:top w:val="none" w:sz="0" w:space="0" w:color="auto"/>
        <w:left w:val="none" w:sz="0" w:space="0" w:color="auto"/>
        <w:bottom w:val="none" w:sz="0" w:space="0" w:color="auto"/>
        <w:right w:val="none" w:sz="0" w:space="0" w:color="auto"/>
      </w:divBdr>
    </w:div>
    <w:div w:id="1818842209">
      <w:marLeft w:val="0"/>
      <w:marRight w:val="0"/>
      <w:marTop w:val="0"/>
      <w:marBottom w:val="0"/>
      <w:divBdr>
        <w:top w:val="none" w:sz="0" w:space="0" w:color="auto"/>
        <w:left w:val="none" w:sz="0" w:space="0" w:color="auto"/>
        <w:bottom w:val="none" w:sz="0" w:space="0" w:color="auto"/>
        <w:right w:val="none" w:sz="0" w:space="0" w:color="auto"/>
      </w:divBdr>
    </w:div>
    <w:div w:id="1818842210">
      <w:marLeft w:val="0"/>
      <w:marRight w:val="0"/>
      <w:marTop w:val="0"/>
      <w:marBottom w:val="0"/>
      <w:divBdr>
        <w:top w:val="none" w:sz="0" w:space="0" w:color="auto"/>
        <w:left w:val="none" w:sz="0" w:space="0" w:color="auto"/>
        <w:bottom w:val="none" w:sz="0" w:space="0" w:color="auto"/>
        <w:right w:val="none" w:sz="0" w:space="0" w:color="auto"/>
      </w:divBdr>
    </w:div>
    <w:div w:id="1818842211">
      <w:marLeft w:val="0"/>
      <w:marRight w:val="0"/>
      <w:marTop w:val="0"/>
      <w:marBottom w:val="0"/>
      <w:divBdr>
        <w:top w:val="none" w:sz="0" w:space="0" w:color="auto"/>
        <w:left w:val="none" w:sz="0" w:space="0" w:color="auto"/>
        <w:bottom w:val="none" w:sz="0" w:space="0" w:color="auto"/>
        <w:right w:val="none" w:sz="0" w:space="0" w:color="auto"/>
      </w:divBdr>
    </w:div>
    <w:div w:id="1818842212">
      <w:marLeft w:val="0"/>
      <w:marRight w:val="0"/>
      <w:marTop w:val="0"/>
      <w:marBottom w:val="0"/>
      <w:divBdr>
        <w:top w:val="none" w:sz="0" w:space="0" w:color="auto"/>
        <w:left w:val="none" w:sz="0" w:space="0" w:color="auto"/>
        <w:bottom w:val="none" w:sz="0" w:space="0" w:color="auto"/>
        <w:right w:val="none" w:sz="0" w:space="0" w:color="auto"/>
      </w:divBdr>
    </w:div>
    <w:div w:id="1818842213">
      <w:marLeft w:val="0"/>
      <w:marRight w:val="0"/>
      <w:marTop w:val="0"/>
      <w:marBottom w:val="0"/>
      <w:divBdr>
        <w:top w:val="none" w:sz="0" w:space="0" w:color="auto"/>
        <w:left w:val="none" w:sz="0" w:space="0" w:color="auto"/>
        <w:bottom w:val="none" w:sz="0" w:space="0" w:color="auto"/>
        <w:right w:val="none" w:sz="0" w:space="0" w:color="auto"/>
      </w:divBdr>
    </w:div>
    <w:div w:id="1818842214">
      <w:marLeft w:val="0"/>
      <w:marRight w:val="0"/>
      <w:marTop w:val="0"/>
      <w:marBottom w:val="0"/>
      <w:divBdr>
        <w:top w:val="none" w:sz="0" w:space="0" w:color="auto"/>
        <w:left w:val="none" w:sz="0" w:space="0" w:color="auto"/>
        <w:bottom w:val="none" w:sz="0" w:space="0" w:color="auto"/>
        <w:right w:val="none" w:sz="0" w:space="0" w:color="auto"/>
      </w:divBdr>
    </w:div>
    <w:div w:id="1818842215">
      <w:marLeft w:val="0"/>
      <w:marRight w:val="0"/>
      <w:marTop w:val="0"/>
      <w:marBottom w:val="0"/>
      <w:divBdr>
        <w:top w:val="none" w:sz="0" w:space="0" w:color="auto"/>
        <w:left w:val="none" w:sz="0" w:space="0" w:color="auto"/>
        <w:bottom w:val="none" w:sz="0" w:space="0" w:color="auto"/>
        <w:right w:val="none" w:sz="0" w:space="0" w:color="auto"/>
      </w:divBdr>
    </w:div>
    <w:div w:id="1818842216">
      <w:marLeft w:val="0"/>
      <w:marRight w:val="0"/>
      <w:marTop w:val="0"/>
      <w:marBottom w:val="0"/>
      <w:divBdr>
        <w:top w:val="none" w:sz="0" w:space="0" w:color="auto"/>
        <w:left w:val="none" w:sz="0" w:space="0" w:color="auto"/>
        <w:bottom w:val="none" w:sz="0" w:space="0" w:color="auto"/>
        <w:right w:val="none" w:sz="0" w:space="0" w:color="auto"/>
      </w:divBdr>
    </w:div>
    <w:div w:id="1818842217">
      <w:marLeft w:val="0"/>
      <w:marRight w:val="0"/>
      <w:marTop w:val="0"/>
      <w:marBottom w:val="0"/>
      <w:divBdr>
        <w:top w:val="none" w:sz="0" w:space="0" w:color="auto"/>
        <w:left w:val="none" w:sz="0" w:space="0" w:color="auto"/>
        <w:bottom w:val="none" w:sz="0" w:space="0" w:color="auto"/>
        <w:right w:val="none" w:sz="0" w:space="0" w:color="auto"/>
      </w:divBdr>
    </w:div>
    <w:div w:id="1818842218">
      <w:marLeft w:val="0"/>
      <w:marRight w:val="0"/>
      <w:marTop w:val="0"/>
      <w:marBottom w:val="0"/>
      <w:divBdr>
        <w:top w:val="none" w:sz="0" w:space="0" w:color="auto"/>
        <w:left w:val="none" w:sz="0" w:space="0" w:color="auto"/>
        <w:bottom w:val="none" w:sz="0" w:space="0" w:color="auto"/>
        <w:right w:val="none" w:sz="0" w:space="0" w:color="auto"/>
      </w:divBdr>
    </w:div>
    <w:div w:id="18188422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1357</TotalTime>
  <Pages>13</Pages>
  <Words>4043</Words>
  <Characters>23051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5849</dc:creator>
  <cp:keywords/>
  <dc:description/>
  <cp:lastModifiedBy>Sergey</cp:lastModifiedBy>
  <cp:revision>15</cp:revision>
  <cp:lastPrinted>2016-01-07T09:01:00Z</cp:lastPrinted>
  <dcterms:created xsi:type="dcterms:W3CDTF">2015-04-29T02:22:00Z</dcterms:created>
  <dcterms:modified xsi:type="dcterms:W3CDTF">2016-01-16T21:10:00Z</dcterms:modified>
</cp:coreProperties>
</file>