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83"/>
        <w:gridCol w:w="4603"/>
      </w:tblGrid>
      <w:tr w:rsidR="00F9200B" w:rsidRPr="0083079E" w:rsidTr="00D7737E">
        <w:tc>
          <w:tcPr>
            <w:tcW w:w="4927" w:type="dxa"/>
          </w:tcPr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УДК 336.6</w:t>
            </w:r>
          </w:p>
          <w:p w:rsidR="00F9200B" w:rsidRPr="00345A1F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345A1F">
              <w:rPr>
                <w:rFonts w:ascii="Times New Roman" w:hAnsi="Times New Roman"/>
                <w:color w:val="000000"/>
                <w:sz w:val="20"/>
                <w:szCs w:val="20"/>
              </w:rPr>
              <w:t>08.00.00 Экономические науки</w:t>
            </w:r>
          </w:p>
          <w:p w:rsidR="00F9200B" w:rsidRPr="00345A1F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77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ОЦЕНКА ЭФФЕКТИВНОСТИ РАБОТЫ</w:t>
            </w:r>
            <w:r w:rsidRPr="008307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D7737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СЛУЖБЫ ВНУТРЕННЕГО КОНТРОЛЯ И АУДИТА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Тончу 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лена 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лександровна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доктор экономических наук, профессор</w:t>
            </w: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Величко К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онстантин 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лексеевич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</w:rPr>
              <w:t>студент учетно-финансового факультета</w:t>
            </w:r>
          </w:p>
          <w:p w:rsidR="00F9200B" w:rsidRPr="003B0E2D" w:rsidRDefault="00F9200B" w:rsidP="00D7737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D7737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ФГБОУ ВО «Кубанский ГАУ»</w:t>
            </w:r>
            <w:r w:rsidRPr="003B0E2D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Краснодар, Россия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F9200B" w:rsidRPr="00345A1F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В настоящей статье сделана попытка усовершенствовать работу по организации аудиторской проверки эффективности системы внутреннего контроля бизнес-процессов экономического агента рынка, успешно апробированную на практике службами внутреннего аудита ряда агрохолдингов и агросоюзов Краснодарского края. Результаты данных внутренних аудиторских проверок, организованных в соответствии с представленной методикой, могут оказать существенную помощь управленческому персоналу при построении надежн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ой системы внутреннего контроля</w:t>
            </w:r>
          </w:p>
          <w:p w:rsidR="00F9200B" w:rsidRPr="0083079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  <w:p w:rsidR="00F9200B" w:rsidRPr="0083079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Ключевые слова: ЭКОНОМИЧЕСКИЕ АГЕНТЫ РЫНКА, СЛУЖБА ВНУТРЕННЕГО КОНТРОЛЯ И АУДИТА, МЕТОДИКА ОЦЕНКИ ЭФФЕКТИВНОСТИ РАБОТЫ, СОВЕРШЕНСТВОВАНИЕ</w:t>
            </w:r>
          </w:p>
        </w:tc>
        <w:tc>
          <w:tcPr>
            <w:tcW w:w="4927" w:type="dxa"/>
          </w:tcPr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sz w:val="20"/>
                <w:szCs w:val="20"/>
                <w:lang w:val="en-US"/>
              </w:rPr>
              <w:t>UDC 336.6</w:t>
            </w: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Economics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EFFECTIVE EVALUATION OF THE INTERNAL CONTROL AND AUDIT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Tonchu E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lena 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leksandrovna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Doctor of Economics, Professor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Velichko K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onstantin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A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lekseevich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student of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Accounting and Finance Department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</w:pPr>
            <w:smartTag w:uri="urn:schemas-microsoft-com:office:smarttags" w:element="PlaceName">
              <w:r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Kuban</w:t>
              </w:r>
            </w:smartTag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Agrarian</w:t>
              </w:r>
            </w:smartTag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>University</w:t>
              </w:r>
            </w:smartTag>
            <w:r>
              <w:rPr>
                <w:rFonts w:ascii="Times New Roman" w:hAnsi="Times New Roman"/>
                <w:i/>
                <w:color w:val="000000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Krasnodar</w:t>
                </w:r>
              </w:smartTag>
              <w:r>
                <w:rPr>
                  <w:rFonts w:ascii="Times New Roman" w:hAnsi="Times New Roman"/>
                  <w:i/>
                  <w:color w:val="000000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>
                  <w:rPr>
                    <w:rFonts w:ascii="Times New Roman" w:hAnsi="Times New Roman"/>
                    <w:i/>
                    <w:color w:val="000000"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This article is an attempt to improve the work on the organization of the audit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of 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the effectiveness of the internal control of business processes of economic agents of the market, has been successfully tested in practice, internal audit of a number of agricultural holdings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of the</w:t>
            </w: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D7737E">
                <w:rPr>
                  <w:rFonts w:ascii="Times New Roman" w:hAnsi="Times New Roman"/>
                  <w:color w:val="000000"/>
                  <w:sz w:val="20"/>
                  <w:szCs w:val="20"/>
                  <w:lang w:val="en-US"/>
                </w:rPr>
                <w:t>Krasnodar</w:t>
              </w:r>
            </w:smartTag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region. The results of these internal audits, organized in accordance with the procedure provided, can provide substantial assistance in the construction management personnel of the s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ound system of internal control</w:t>
            </w:r>
          </w:p>
          <w:p w:rsidR="00F9200B" w:rsidRPr="00D7737E" w:rsidRDefault="00F9200B" w:rsidP="00D7737E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D7737E" w:rsidRDefault="00F9200B" w:rsidP="00D7737E">
            <w:pPr>
              <w:spacing w:after="0" w:line="240" w:lineRule="auto"/>
              <w:ind w:firstLine="709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F9200B" w:rsidRPr="0083079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D7737E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Keywords: ECONOMIC AGENTS OF THE MARKET, SERVICE OF INTERNAL CONTROL AND AUDIT METHODOLOGY FOR EVALUATING THE PERFORMANCE, IMPROVING</w:t>
            </w:r>
          </w:p>
        </w:tc>
      </w:tr>
    </w:tbl>
    <w:p w:rsidR="00F9200B" w:rsidRPr="0083079E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 w:eastAsia="ru-RU"/>
        </w:rPr>
      </w:pPr>
    </w:p>
    <w:p w:rsidR="00F9200B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исследовании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проблемных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вопросов, касающихся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организации внутреннего контроля в экономических субъектах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нами обнаружена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достат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очно парадоксальной ситуация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,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ложившейся в настоящее время. С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одной стороны, можно констатировать наличие повышенного интереса к данной экономической категории на протяжении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последних десяти-пятнадцати лет и, особенно, с принятием нового закона РФ № 402-ФЗ от 06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color w:val="000000"/>
            <w:sz w:val="28"/>
            <w:szCs w:val="28"/>
            <w:lang w:eastAsia="ru-RU"/>
          </w:rPr>
          <w:t>2011 г</w:t>
        </w:r>
      </w:smartTag>
      <w:r>
        <w:rPr>
          <w:rFonts w:ascii="Times New Roman" w:hAnsi="Times New Roman"/>
          <w:color w:val="000000"/>
          <w:sz w:val="28"/>
          <w:szCs w:val="28"/>
          <w:lang w:eastAsia="ru-RU"/>
        </w:rPr>
        <w:t>. «О бухгалтерском учете», предписывающего экономическим агентам рынка организовать эффективную работу службы внутреннего контроля и аудита. С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другой стороны, общепризнанного однозначного определения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дефиниции «внутренний контроль»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до сих пор не существует.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Различные авторы в рамках своего конкретного исследования трактуют дефиницию «внутренний контроль» по-своему. Нет и четко регламентированного нормативного документа, который бы предписывал механизм организации работы службы внутреннего контроля в экономических субъектах. Поэтому каждый экономический агент рынка разрабатывает свои собственные положения и регламенты работы указанной службы. Отсюда на лицо разнообразие структуры, места в управленческом механизме, методов и инструментов внутреннего контроля и проведения контрольных функций.</w:t>
      </w:r>
    </w:p>
    <w:p w:rsidR="00F9200B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Мониторинг организации службы внутреннего контроля и аудита в агрохолдингах и агросоюзах Краснодарского края позволил нам выявить определенные закономерности развития данной управленческой структуры в рамках учетно-аналитического кластера экономического субъекта. Выбор крупных экономических субъектов в качестве объектов исследования не случаен, так как специальное обследование организаций Краснодарского края показало, что только эти экономические агенты рынка включили в управленческую структуру службу внутреннего контроля. В организациях малого предпринимательства таких служб пока нет.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настоящей статье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мы определяем сущность категории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«внутренний контроль»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как совокупность организационной структуры управления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(модуль учетно-аналитического кластера)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мер, методик и процедур, принятых и постоянно осуществляемых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высшим органом управления экономическим агентом рынка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, исполнительными и контрольными органами, должностными лицами и иными сотрудниками, направленных на: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совершенствование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производственно-финансовой, технологической и экологической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экономического агента рынка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и органов его управления;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обеспечение результативности и эффективности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производственно-финансово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й деятельности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экономического субъекта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сохранность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 научно-техническое развитие имущественного комплекса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предотвращение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ликвидацию последствий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внутренних и внешних рисков;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 обеспечение коммерческой тайны, надежности,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достоверности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экономичности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всех видов отчетности;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соблюдение требований законодательства и внутренних документов и регламентов.</w:t>
      </w:r>
    </w:p>
    <w:p w:rsidR="00F9200B" w:rsidRPr="0018094F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Эффективная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служба внутреннего контроля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аудита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является ключевым элементом корпоративного управления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экономическим агентом рынка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который позволяет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управленческому персоналу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принимать адекватные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экономической среде хозяйствования, научно-обоснованные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решения, направленные на:</w:t>
      </w:r>
    </w:p>
    <w:p w:rsidR="00F9200B" w:rsidRPr="0018094F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совер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шенствование организации, технико-технического, технологического, экологического и финансово-экономического обеспечения бизнес-процессов и функционирования организации в целом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</w:p>
    <w:p w:rsidR="00F9200B" w:rsidRPr="0018094F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оперативное выявление, предотвращение и ограничение операционных,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экологических,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фин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ансовых и других видов рисков;</w:t>
      </w:r>
    </w:p>
    <w:p w:rsidR="00F9200B" w:rsidRPr="0018094F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разумную уверенность в достижении стратегических целей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экономического субъекта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го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акционеров.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Для эффективного планирования предстоящей аудиторской проверки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эффективности работы внутреннего контроля экономического субъекта,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следует проводить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46394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предварительное обследование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аудируемого объекта (бизнес-процесса). Задачей данного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мониторинга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является изучение фактических целей аудируемого бизнес-процесса, его структуры или изменений в нем,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произошедших со времени предыдущей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проверки. Также должное внимание необходимо уделить оценке уровня материальности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(возможности количественно измерить) аудируемого бизнес-процесса. Э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то позволит объективно говорить о существенности последствий неэффективной организации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службы внутреннего контроля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данного процесса для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организации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целом.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Алгоритм проверки качества и эффективности работы внутеренного контроля заключается в том, что 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удиторы на этапе предварительного обследования: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проводят анализ внутренней нормативной до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кументации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регламентирующей организацию аудируемого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объекта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проводят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анализ информационной базы данных и программного обеспечения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, обслуживающих рассматриваемый бизнес-процесс;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изучают исполнение программ корректирующих мероприятий и результаты предыдущих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аудиторских проверок данного бизнес-процесса (в случае их наличия);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идентифицируют 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проводят специальный опрос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управленческого персонала структурного подразделения, осуществляющего проверяемый бизнес-процесс,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других участников процесса по вопросам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его функционирования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анализируют фактические цели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бизне-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процесса на предмет их соответствия стратегии развития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экономического субъекта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принципам целеполагания (конкретизация, измеримость, согласованность, релевантность, временная ограниченность достижения);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формируют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дорожную карту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организации рассматриваемого бизнес-процесса, с указанием существующих контрольных процедур;</w:t>
      </w:r>
    </w:p>
    <w:p w:rsidR="00F9200B" w:rsidRPr="00146394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анализируют результаты оценки рисков, проводимой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управленческим персоналом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экономического субъекта и его подразделений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технологической, экологической и финансовой политики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(в случае ее наличия);</w:t>
      </w:r>
    </w:p>
    <w:p w:rsidR="00F9200B" w:rsidRPr="0083079E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анализируют систему оценки 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дескрипторы – натуральные и стоимостные показатели, используемые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для определения эффективности и экономичности процесса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(рис. 1)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9200B" w:rsidRPr="0083079E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200B" w:rsidRPr="0083079E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200B" w:rsidRPr="0083079E" w:rsidRDefault="00F9200B" w:rsidP="0052203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200B" w:rsidRPr="00A44376" w:rsidRDefault="00F9200B" w:rsidP="00EC4A68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noProof/>
          <w:lang w:eastAsia="ru-RU"/>
        </w:rPr>
        <w:pict>
          <v:group id="_x0000_s1026" style="position:absolute;left:0;text-align:left;margin-left:15.3pt;margin-top:5.75pt;width:459.15pt;height:394.3pt;z-index:251658240" coordorigin="1440,1571" coordsize="9183,7886">
            <v:roundrect id="_x0000_s1027" style="position:absolute;left:1640;top:1571;width:8983;height:1413" arcsize="10923f" strokeweight="1.5pt">
              <v:textbox>
                <w:txbxContent>
                  <w:p w:rsidR="00F9200B" w:rsidRDefault="00F9200B" w:rsidP="00A4437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A44376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ИСПОЛЬЗОВАНИЕ ИНДИКАТОРОВ РИСКА И ОПРЕДЕЛЕНИЕ ФАКТОВ ХОЗЯЙСТВЕННОЙ ЖИЗНИ, СОБЫТИЙ И ОБЪЕКТОВ ПОВЫШЕ</w:t>
                    </w:r>
                    <w:r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ННОГО РИСКА ПО БИЗНЕС-ПРОЦЕССАМ</w:t>
                    </w:r>
                  </w:p>
                  <w:p w:rsidR="00F9200B" w:rsidRPr="00A44376" w:rsidRDefault="00F9200B" w:rsidP="00A4437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</w:pPr>
                    <w:r w:rsidRPr="00A44376">
                      <w:rPr>
                        <w:rFonts w:ascii="Times New Roman" w:hAnsi="Times New Roman"/>
                        <w:b/>
                        <w:sz w:val="24"/>
                        <w:szCs w:val="24"/>
                      </w:rPr>
                      <w:t>И В ЦЕЛОМ ПО ЭКОНОМИЧЕСКОМУ АГЕНТУ РЫНКА</w:t>
                    </w:r>
                  </w:p>
                </w:txbxContent>
              </v:textbox>
            </v:roundrect>
            <v:shapetype id="_x0000_t80" coordsize="21600,21600" o:spt="80" adj="14400,5400,18000,8100" path="m,l21600,,21600@0@5@0@5@2@4@2,10800,21600@1@2@3@2@3@0,0@0xe">
              <v:stroke joinstyle="miter"/>
              <v:formulas>
                <v:f eqn="val #0"/>
                <v:f eqn="val #1"/>
                <v:f eqn="val #2"/>
                <v:f eqn="val #3"/>
                <v:f eqn="sum 21600 0 #1"/>
                <v:f eqn="sum 21600 0 #3"/>
                <v:f eqn="prod #0 1 2"/>
              </v:formulas>
              <v:path o:connecttype="custom" o:connectlocs="10800,0;0,@6;10800,21600;21600,@6" o:connectangles="270,180,90,0" textboxrect="0,0,21600,@0"/>
              <v:handles>
                <v:h position="topLeft,#0" yrange="0,@2"/>
                <v:h position="#1,bottomRight" xrange="0,@3"/>
                <v:h position="#3,#2" xrange="@1,10800" yrange="@0,21600"/>
              </v:handles>
            </v:shapetype>
            <v:shape id="_x0000_s1028" type="#_x0000_t80" style="position:absolute;left:1741;top:3297;width:8882;height:1443" adj=",8164,16885,9703" strokeweight="1.5pt">
              <v:textbox>
                <w:txbxContent>
                  <w:p w:rsidR="00F9200B" w:rsidRPr="00A44376" w:rsidRDefault="00F9200B" w:rsidP="00A4437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44376">
                      <w:rPr>
                        <w:rFonts w:ascii="Times New Roman" w:hAnsi="Times New Roman"/>
                        <w:sz w:val="24"/>
                        <w:szCs w:val="24"/>
                      </w:rPr>
                      <w:t>Применение различных способов идентификации</w:t>
                    </w:r>
                  </w:p>
                  <w:p w:rsidR="00F9200B" w:rsidRPr="00A44376" w:rsidRDefault="00F9200B" w:rsidP="00A4437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A44376">
                      <w:rPr>
                        <w:rFonts w:ascii="Times New Roman" w:hAnsi="Times New Roman"/>
                        <w:sz w:val="24"/>
                        <w:szCs w:val="24"/>
                      </w:rPr>
                      <w:t>множества индивидуальных типов рисков</w:t>
                    </w:r>
                  </w:p>
                </w:txbxContent>
              </v:textbox>
            </v:shape>
            <v:roundrect id="_x0000_s1029" style="position:absolute;left:1741;top:4740;width:8882;height:910" arcsize="10923f" strokeweight="1.5pt">
              <v:textbox>
                <w:txbxContent>
                  <w:p w:rsidR="00F9200B" w:rsidRPr="00A44376" w:rsidRDefault="00F9200B" w:rsidP="00A44376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Анализ и систематизация информации о рисках и достижения целей управления рисками в соответствии с допустимыми пределами</w:t>
                    </w:r>
                  </w:p>
                </w:txbxContent>
              </v:textbox>
            </v:roundrect>
            <v:shapetype id="_x0000_t67" coordsize="21600,21600" o:spt="67" adj="16200,5400" path="m0@0l@1@0@1,0@2,0@2@0,21600@0,10800,216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10800,0;0,@0;10800,21600;21600,@0" o:connectangles="270,180,90,0" textboxrect="@1,0,@2,@6"/>
              <v:handles>
                <v:h position="#1,#0" xrange="0,10800" yrange="0,21600"/>
              </v:handles>
            </v:shapetype>
            <v:shape id="_x0000_s1030" type="#_x0000_t67" style="position:absolute;left:5985;top:2984;width:326;height:313" strokeweight="1.5pt">
              <v:textbox style="layout-flow:vertical-ideographic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1828;top:5942;width:1590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720C60">
                      <w:rPr>
                        <w:rFonts w:ascii="Times New Roman" w:hAnsi="Times New Roman"/>
                        <w:sz w:val="24"/>
                        <w:szCs w:val="24"/>
                      </w:rPr>
                      <w:t>допустимый</w:t>
                    </w:r>
                  </w:p>
                </w:txbxContent>
              </v:textbox>
            </v:shape>
            <v:shape id="_x0000_s1032" type="#_x0000_t202" style="position:absolute;left:3795;top:5942;width:1590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значимый</w:t>
                    </w:r>
                  </w:p>
                </w:txbxContent>
              </v:textbox>
            </v:shape>
            <v:shape id="_x0000_s1033" type="#_x0000_t202" style="position:absolute;left:5877;top:5942;width:1862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критический</w:t>
                    </w:r>
                  </w:p>
                </w:txbxContent>
              </v:textbox>
            </v:shape>
            <v:shape id="_x0000_s1034" type="#_x0000_t202" style="position:absolute;left:8252;top:5942;width:2281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катастрофический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5" type="#_x0000_t32" style="position:absolute;left:2592;top:5650;width:0;height:292" o:connectortype="straight" strokeweight="1pt">
              <v:stroke endarrow="block"/>
            </v:shape>
            <v:shape id="_x0000_s1036" type="#_x0000_t32" style="position:absolute;left:4558;top:5650;width:0;height:292" o:connectortype="straight" strokeweight="1pt">
              <v:stroke endarrow="block"/>
            </v:shape>
            <v:shape id="_x0000_s1037" type="#_x0000_t32" style="position:absolute;left:6774;top:5650;width:0;height:292" o:connectortype="straight" strokeweight="1pt">
              <v:stroke endarrow="block"/>
            </v:shape>
            <v:shape id="_x0000_s1038" type="#_x0000_t32" style="position:absolute;left:9304;top:5650;width:0;height:292" o:connectortype="straight" strokeweight="1pt">
              <v:stroke endarrow="block"/>
            </v:shape>
            <v:roundrect id="_x0000_s1039" style="position:absolute;left:1741;top:6657;width:8882;height:910" arcsize="10923f" strokeweight="1.5pt">
              <v:textbox>
                <w:txbxContent>
                  <w:p w:rsidR="00F9200B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Разработка мероприятий по предотвращению и минимизации рисков</w:t>
                    </w:r>
                  </w:p>
                  <w:p w:rsidR="00F9200B" w:rsidRPr="00A44376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и возмещению причиненного ущерба</w:t>
                    </w:r>
                  </w:p>
                </w:txbxContent>
              </v:textbox>
            </v:roundrect>
            <v:shape id="_x0000_s1040" type="#_x0000_t202" style="position:absolute;left:1943;top:7858;width:1590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снижение</w:t>
                    </w:r>
                  </w:p>
                </w:txbxContent>
              </v:textbox>
            </v:shape>
            <v:shape id="_x0000_s1041" type="#_x0000_t202" style="position:absolute;left:5385;top:7858;width:1590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сохранение</w:t>
                    </w:r>
                  </w:p>
                </w:txbxContent>
              </v:textbox>
            </v:shape>
            <v:shape id="_x0000_s1042" type="#_x0000_t202" style="position:absolute;left:8632;top:7858;width:1590;height:451" strokeweight="1pt">
              <v:textbox>
                <w:txbxContent>
                  <w:p w:rsidR="00F9200B" w:rsidRPr="00720C60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передача</w:t>
                    </w:r>
                  </w:p>
                </w:txbxContent>
              </v:textbox>
            </v:shape>
            <v:shape id="_x0000_s1043" type="#_x0000_t32" style="position:absolute;left:2730;top:7566;width:0;height:292" o:connectortype="straight" strokeweight="1pt">
              <v:stroke endarrow="block"/>
            </v:shape>
            <v:shape id="_x0000_s1044" type="#_x0000_t32" style="position:absolute;left:6161;top:7566;width:0;height:292" o:connectortype="straight" strokeweight="1pt">
              <v:stroke endarrow="block"/>
            </v:shape>
            <v:shape id="_x0000_s1045" type="#_x0000_t32" style="position:absolute;left:9429;top:7566;width:0;height:292" o:connectortype="straight" strokeweight="1pt">
              <v:stroke endarrow="block"/>
            </v:shape>
            <v:roundrect id="_x0000_s1046" style="position:absolute;left:1741;top:8547;width:8882;height:910" arcsize="10923f" strokeweight="1.5pt">
              <v:textbox>
                <w:txbxContent>
                  <w:p w:rsidR="00F9200B" w:rsidRPr="00146394" w:rsidRDefault="00F9200B" w:rsidP="00720C60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146394">
                      <w:rPr>
                        <w:rFonts w:ascii="Times New Roman" w:hAnsi="Times New Roman"/>
                        <w:sz w:val="24"/>
                        <w:szCs w:val="24"/>
                      </w:rPr>
                      <w:t>Мониторинг рисков и оценка показателей эффективности функционирования экономического агента рынка</w:t>
                    </w:r>
                  </w:p>
                </w:txbxContent>
              </v:textbox>
            </v:roundrect>
            <v:shape id="_x0000_s1047" type="#_x0000_t32" style="position:absolute;left:1440;top:2223;width:200;height:1" o:connectortype="straight" strokeweight="1.5pt"/>
            <v:shape id="_x0000_s1048" type="#_x0000_t32" style="position:absolute;left:1440;top:2224;width:0;height:6674" o:connectortype="straight" strokeweight="1.5pt"/>
            <v:shape id="_x0000_s1049" type="#_x0000_t32" style="position:absolute;left:1440;top:8898;width:301;height:0" o:connectortype="straight" strokeweight="1.5pt">
              <v:stroke endarrow="block"/>
            </v:shape>
            <v:shape id="_x0000_s1050" type="#_x0000_t32" style="position:absolute;left:1440;top:7058;width:301;height:0" o:connectortype="straight" strokeweight="1.5pt">
              <v:stroke endarrow="block"/>
            </v:shape>
            <v:shape id="_x0000_s1051" type="#_x0000_t32" style="position:absolute;left:1440;top:5229;width:301;height:0" o:connectortype="straight" strokeweight="1.5pt">
              <v:stroke endarrow="block"/>
            </v:shape>
            <v:shape id="_x0000_s1052" type="#_x0000_t32" style="position:absolute;left:1440;top:3739;width:301;height:0" o:connectortype="straight" strokeweight="1.5pt">
              <v:stroke endarrow="block"/>
            </v:shape>
          </v:group>
        </w:pict>
      </w: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A4437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720C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720C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720C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720C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Pr="00A44376" w:rsidRDefault="00F9200B" w:rsidP="00720C6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A4437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A4437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A44376">
      <w:pPr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9200B" w:rsidRDefault="00F9200B" w:rsidP="00146394">
      <w:pPr>
        <w:spacing w:after="0" w:line="30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Рисунок 1 – Алгоритм процедур оценки рисков в процессе риск-ориентированного аудита в ПАО «Агрообъединение «Кубань»</w:t>
      </w:r>
    </w:p>
    <w:p w:rsidR="00F9200B" w:rsidRPr="00A44376" w:rsidRDefault="00F9200B" w:rsidP="00146394">
      <w:pPr>
        <w:spacing w:after="0" w:line="30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Усть-Лабинского района</w:t>
      </w:r>
    </w:p>
    <w:p w:rsidR="00F9200B" w:rsidRDefault="00F9200B" w:rsidP="00981E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200B" w:rsidRDefault="00F9200B" w:rsidP="00114ECD">
      <w:pPr>
        <w:shd w:val="clear" w:color="auto" w:fill="FFFFFF"/>
        <w:spacing w:after="0" w:line="348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По итогам анализа полученной информации о рассматриваемом бизнес-процессе и формирования адекватного понимания его фактического функционирования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руководитель службы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внутреннего контроля и аудита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должен принять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а именно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решение о дальнейшем проведении аудита или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решение об отказе от проведения проверки.</w:t>
      </w:r>
    </w:p>
    <w:p w:rsidR="00F9200B" w:rsidRPr="00146394" w:rsidRDefault="00F9200B" w:rsidP="00AE6E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этом решение об отказе от проведения проверки в настоящее время и причины данного решения должны быть доведены до лица, инициировавшего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эту аудиторскую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проверку. Обычно решение об отказе от проведения проверки в настоящее время принимается в случае если:</w:t>
      </w:r>
    </w:p>
    <w:p w:rsidR="00F9200B" w:rsidRPr="00146394" w:rsidRDefault="00F9200B" w:rsidP="00AE6E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оценка дизайна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внутреннего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контроля и ограниченное тестирование на этапе проведения предварительного обследования дают положительный результат о приемлемой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эффективности и надежности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работы службы внутреннего контроля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46394" w:rsidRDefault="00F9200B" w:rsidP="00AE6E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по результатам предварительного обследования устано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влено, что риски бизнес-процессов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несущественны или сам процесс нематериален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а потому его невозможно измерить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46394" w:rsidRDefault="00F9200B" w:rsidP="00AE6E9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46394">
        <w:rPr>
          <w:rFonts w:ascii="Times New Roman" w:hAnsi="Times New Roman"/>
          <w:color w:val="000000"/>
          <w:sz w:val="28"/>
          <w:szCs w:val="28"/>
          <w:lang w:eastAsia="ru-RU"/>
        </w:rPr>
        <w:t>в ходе проведения предварительного обследования стало известно, что в настоящее время существенно изменяется структура изучаемого бизнес-процесса.</w:t>
      </w:r>
    </w:p>
    <w:p w:rsidR="00F9200B" w:rsidRDefault="00F9200B" w:rsidP="00385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Основное направление совместной работы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службы внутреннего контроля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управленческим персоналом экономического субъекта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построению и оптимизации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работы службы внутреннего контроля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бизнес-процессов связано с контролем исполнения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программы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мероприятий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корректирующих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поведение бизнес-процесса и управленческого персонала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, необходимость которых была выявлена по результатам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аудита.</w:t>
      </w:r>
    </w:p>
    <w:p w:rsidR="00F9200B" w:rsidRDefault="00F9200B" w:rsidP="00385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В ходе научного исследования работы службы внутреннего контроля ПАО «Агрообъединение «Кубань» Усть-Лабинского района Краснодарского края было установлено, что служба позволяет «связывать» действия рисков путем проведения контрольных процедур (табл. 1).</w:t>
      </w:r>
    </w:p>
    <w:p w:rsidR="00F9200B" w:rsidRPr="0018094F" w:rsidRDefault="00F9200B" w:rsidP="00E61B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Контроль может осуществляться посредством:</w:t>
      </w:r>
    </w:p>
    <w:p w:rsidR="00F9200B" w:rsidRPr="0018094F" w:rsidRDefault="00F9200B" w:rsidP="00E61B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анализа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внутренней отчетности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аудируемого объекта о выполнении запланированных корректирующих мероприятий;</w:t>
      </w:r>
    </w:p>
    <w:p w:rsidR="00F9200B" w:rsidRPr="0018094F" w:rsidRDefault="00F9200B" w:rsidP="00E61B04">
      <w:pPr>
        <w:shd w:val="clear" w:color="auto" w:fill="FFFFFF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проведения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дополнительных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проверок объекта.</w:t>
      </w:r>
    </w:p>
    <w:p w:rsidR="00F9200B" w:rsidRPr="0018094F" w:rsidRDefault="00F9200B" w:rsidP="00E61B04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результатам осуществления контрольных действий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служба внутреннего аудита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формирует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85915"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«Отчет об исполнении </w:t>
      </w:r>
      <w:r>
        <w:rPr>
          <w:rFonts w:ascii="Times New Roman" w:hAnsi="Times New Roman"/>
          <w:iCs/>
          <w:color w:val="000000"/>
          <w:sz w:val="28"/>
          <w:szCs w:val="28"/>
          <w:lang w:eastAsia="ru-RU"/>
        </w:rPr>
        <w:t xml:space="preserve">плана </w:t>
      </w:r>
      <w:r w:rsidRPr="00385915">
        <w:rPr>
          <w:rFonts w:ascii="Times New Roman" w:hAnsi="Times New Roman"/>
          <w:iCs/>
          <w:color w:val="000000"/>
          <w:sz w:val="28"/>
          <w:szCs w:val="28"/>
          <w:lang w:eastAsia="ru-RU"/>
        </w:rPr>
        <w:t>корректирующих мероприятий»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по конкретной проверке с указанием выполнения мероприятий, их достаточности, своевременности и эффективности, который доводится до тех же лиц, кому направлялся ранее сам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385915">
        <w:rPr>
          <w:rFonts w:ascii="Times New Roman" w:hAnsi="Times New Roman"/>
          <w:iCs/>
          <w:color w:val="000000"/>
          <w:sz w:val="28"/>
          <w:szCs w:val="28"/>
          <w:lang w:eastAsia="ru-RU"/>
        </w:rPr>
        <w:t>«Аудиторский отчет»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9200B" w:rsidRDefault="00F9200B" w:rsidP="0067148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Таблица 1 – Сценарий работы службы внутреннего контроля по выбору</w:t>
      </w:r>
    </w:p>
    <w:p w:rsidR="00F9200B" w:rsidRDefault="00F9200B" w:rsidP="0067148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и оценке надежности поставщика удобрений</w:t>
      </w:r>
    </w:p>
    <w:p w:rsidR="00F9200B" w:rsidRDefault="00F9200B" w:rsidP="0067148F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44"/>
        <w:gridCol w:w="3252"/>
        <w:gridCol w:w="5490"/>
      </w:tblGrid>
      <w:tr w:rsidR="00F9200B" w:rsidRPr="00D7737E" w:rsidTr="00D7737E">
        <w:tc>
          <w:tcPr>
            <w:tcW w:w="293" w:type="pct"/>
            <w:vAlign w:val="center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51" w:type="pct"/>
            <w:vAlign w:val="center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Описание риска, присущего факту хозяйственной жизни  по приобретению удобрений</w:t>
            </w:r>
          </w:p>
        </w:tc>
        <w:tc>
          <w:tcPr>
            <w:tcW w:w="2957" w:type="pct"/>
            <w:vAlign w:val="center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Контрольная процедура</w:t>
            </w:r>
          </w:p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службы внутреннего контроля</w:t>
            </w:r>
          </w:p>
        </w:tc>
      </w:tr>
      <w:tr w:rsidR="00F9200B" w:rsidRPr="00D7737E" w:rsidTr="00D7737E">
        <w:tc>
          <w:tcPr>
            <w:tcW w:w="293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51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Потенциальный поставщик не знает о том, что агрохолдинг нуждается в определенном виде удобрений, которые есть у него в наличии</w:t>
            </w:r>
          </w:p>
        </w:tc>
        <w:tc>
          <w:tcPr>
            <w:tcW w:w="2957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Оповестить минимальное количество поставщиков, имеющих в наличии данный вид удобрений, используя при этом все возможные источники информации</w:t>
            </w:r>
          </w:p>
        </w:tc>
      </w:tr>
      <w:tr w:rsidR="00F9200B" w:rsidRPr="00D7737E" w:rsidTr="00D7737E">
        <w:tc>
          <w:tcPr>
            <w:tcW w:w="293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51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Рассмотрены не все возможные предложения потенциальных поставщиков удобрений</w:t>
            </w:r>
          </w:p>
        </w:tc>
        <w:tc>
          <w:tcPr>
            <w:tcW w:w="2957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После получения ответов от поставщиков по истечении определенного срока на заявленную потребность в удобрениях, СВК проводит сверку цен, качества удобрений, сроков поставки, способов доставки, возможность скидок. Проверка осуществляется на основании Журнала входящей корреспонденции и электронной почты Интернет.</w:t>
            </w:r>
          </w:p>
        </w:tc>
      </w:tr>
      <w:tr w:rsidR="00F9200B" w:rsidRPr="00D7737E" w:rsidTr="00D7737E">
        <w:tc>
          <w:tcPr>
            <w:tcW w:w="293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51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 оценке поставщиков использована не вся информация или есть искажения информации о потенциальных поставщиках</w:t>
            </w:r>
          </w:p>
        </w:tc>
        <w:tc>
          <w:tcPr>
            <w:tcW w:w="2957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Провести сверку данных о поставщике и условиях работы с ним, по данным других клиентов</w:t>
            </w:r>
          </w:p>
        </w:tc>
      </w:tr>
      <w:tr w:rsidR="00F9200B" w:rsidRPr="00D7737E" w:rsidTr="00D7737E">
        <w:tc>
          <w:tcPr>
            <w:tcW w:w="293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51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соблюдена оптимальная процедура выбора потенциального поставщика удобрений для заключения сделки</w:t>
            </w:r>
          </w:p>
        </w:tc>
        <w:tc>
          <w:tcPr>
            <w:tcW w:w="2957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Решение о выборе поставщика принимать коллегиально или по итогам тендера. При этом для признания сделки существенной критерии ее оценки должны быть формализованы</w:t>
            </w:r>
          </w:p>
        </w:tc>
      </w:tr>
      <w:tr w:rsidR="00F9200B" w:rsidRPr="00D7737E" w:rsidTr="00D7737E">
        <w:tc>
          <w:tcPr>
            <w:tcW w:w="293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51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Умышленно выбран неоптимальный поставщик удобрений</w:t>
            </w:r>
          </w:p>
        </w:tc>
        <w:tc>
          <w:tcPr>
            <w:tcW w:w="2957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Договор купли-продажи заключать после проверки наличия  коллегиального решения и положительной оценки условий поставки удобрений</w:t>
            </w:r>
          </w:p>
        </w:tc>
      </w:tr>
      <w:tr w:rsidR="00F9200B" w:rsidRPr="00D7737E" w:rsidTr="00D7737E">
        <w:tc>
          <w:tcPr>
            <w:tcW w:w="293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51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Выбранный поставщик неблагонадежен</w:t>
            </w:r>
          </w:p>
        </w:tc>
        <w:tc>
          <w:tcPr>
            <w:tcW w:w="2957" w:type="pct"/>
          </w:tcPr>
          <w:p w:rsidR="00F9200B" w:rsidRPr="00D7737E" w:rsidRDefault="00F9200B" w:rsidP="00D7737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Установить наличие мошенничества или криминала, сомнительные поставщики исключаются из списка альтернативных клиентов</w:t>
            </w:r>
          </w:p>
        </w:tc>
      </w:tr>
    </w:tbl>
    <w:p w:rsidR="00F9200B" w:rsidRDefault="00F9200B" w:rsidP="0067148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200B" w:rsidRDefault="00F9200B" w:rsidP="00385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Другое направление совместной работы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службы внутреннего контроля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управленческим персоналом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связано с оказанием консалтинговой поддержки.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Важно не только выявить риски и упущения в работе, а, скорее всего, предоставить проект мероприятий по их устранению и недопущению. О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тветственным за формирование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эффективной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службы внутреннего контроля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поддержание надлежащего ее функционирования, согласно как российским, так и зарубежным принципам корпоративного управления, является высшее руководство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экономического агента рынка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Тем не менее, как показывает практика,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управленческому персоналу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обычно требуются дополнительные специальные знания и помощь в таких областях управления, как внутренний контроль и управление рисками. В связи с этим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специалисты внутреннего и внешнего аудита могут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прив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лекаться в качестве консультантов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вопросам тестирования вводимых процедур внутреннего контроля, оценки дизайна контроля, проверки исполнения процедур внутреннего контроля, а также обеспечить методологическую поддержку при организации процессов внутреннего контроля и управления рисками.</w:t>
      </w:r>
    </w:p>
    <w:p w:rsidR="00F9200B" w:rsidRDefault="00F9200B" w:rsidP="00385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Результаты данных аудиторской оценки эффективности работы службы внутреннего контроля, полученные с использованием разработанной методики, представлены в табл. 2.</w:t>
      </w:r>
    </w:p>
    <w:p w:rsidR="00F9200B" w:rsidRDefault="00F9200B" w:rsidP="0030086A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Таблица 2 – Отчет работы службы внутреннего контроля</w:t>
      </w:r>
    </w:p>
    <w:p w:rsidR="00F9200B" w:rsidRDefault="00F9200B" w:rsidP="00CC7652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ПАО «Агрообъединение «Кубань» Усть-Лабинского района, 2015 г.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60"/>
        <w:gridCol w:w="5898"/>
        <w:gridCol w:w="2828"/>
      </w:tblGrid>
      <w:tr w:rsidR="00F9200B" w:rsidRPr="00D7737E" w:rsidTr="00D7737E">
        <w:tc>
          <w:tcPr>
            <w:tcW w:w="300" w:type="pct"/>
            <w:vAlign w:val="center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7" w:type="pct"/>
            <w:vAlign w:val="center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Наименование аудируемого объекта</w:t>
            </w:r>
          </w:p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(бизнес-процесса)</w:t>
            </w:r>
          </w:p>
        </w:tc>
        <w:tc>
          <w:tcPr>
            <w:tcW w:w="1523" w:type="pct"/>
            <w:vAlign w:val="center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Сумма предотвращенного</w:t>
            </w:r>
          </w:p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ущерба, тыс. руб.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семян и посадочного материала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2124,7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минеральных удобрений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средств защиты растений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7214,8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запасных частей и ремонтных материалов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18661,7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строительных материалов</w:t>
            </w:r>
          </w:p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 конструкций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823,4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горюче-смазочных материалов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1042,5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кормов, комбикормов и кормовых добавок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27,3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Приобретение средств защиты животных от болезней</w:t>
            </w:r>
          </w:p>
        </w:tc>
        <w:tc>
          <w:tcPr>
            <w:tcW w:w="1523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5,1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Нарушение технологии производства продукции растениеводства, животноводства и переработки аграрного сырья</w:t>
            </w:r>
          </w:p>
        </w:tc>
        <w:tc>
          <w:tcPr>
            <w:tcW w:w="1523" w:type="pct"/>
            <w:vAlign w:val="bottom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5014,1</w:t>
            </w:r>
          </w:p>
        </w:tc>
      </w:tr>
      <w:tr w:rsidR="00F9200B" w:rsidRPr="00D7737E" w:rsidTr="00D7737E">
        <w:tc>
          <w:tcPr>
            <w:tcW w:w="300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177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23" w:type="pct"/>
          </w:tcPr>
          <w:p w:rsidR="00F9200B" w:rsidRPr="00D7737E" w:rsidRDefault="00F9200B" w:rsidP="00D7737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7737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34913,6</w:t>
            </w:r>
          </w:p>
        </w:tc>
      </w:tr>
    </w:tbl>
    <w:p w:rsidR="00F9200B" w:rsidRDefault="00F9200B" w:rsidP="000A0DF0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Общая сумма предотвращенного ущерба службой внутреннего контроля ПАО «Агрообъединение «Кубань» Усть-Лабинского района за 2015 г. составила 34,9 млн. руб. Конечно, сравнивая данную сумму с итоговой суммой выручки от продажи готовой продукции, работ и услуг, мы получим всего 1,03 %. Но, если на 2015 г. операционный бюджет расходов на содержание службы внутреннего контроля и аудита в обществе составлял 1,23 млн. руб., то результаты работы службы можно с полной уверенностью считать эффективными, и расходы на их содержание полностью оправданными.</w:t>
      </w:r>
    </w:p>
    <w:p w:rsidR="00F9200B" w:rsidRPr="0018094F" w:rsidRDefault="00F9200B" w:rsidP="00F31D2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Информация, полученная в ходе проведения аудиторской проверки и последующего контроля исполнения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плана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мероприятий по результатам аудита, является основой для решения задач, поставленных непосредственно перед самой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службой внутреннего аудита. Примерный перечень корректирующих мероприятий таков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:</w:t>
      </w:r>
    </w:p>
    <w:p w:rsidR="00F9200B" w:rsidRDefault="00F9200B" w:rsidP="003052C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своевременное формирование и предоставление отчетности о результатах аудиторской деятельности, существенных рисках, проблемах контроля и корпоративного управления 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организации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лицу (лицам), которому подотчетна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служба внутреннего аудита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F9200B" w:rsidRPr="0018094F" w:rsidRDefault="00F9200B" w:rsidP="003052CD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- совершенствование методики и методологии осуществления аудиторских проверок и разработки проектов корректирующих мероприятий по устранению и недопущению выявленных недостатков;</w:t>
      </w:r>
    </w:p>
    <w:p w:rsidR="00F9200B" w:rsidRPr="0018094F" w:rsidRDefault="00F9200B" w:rsidP="00C74508">
      <w:pPr>
        <w:shd w:val="clear" w:color="auto" w:fill="FFFFFF"/>
        <w:spacing w:after="0" w:line="36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- 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планирование дальнейшей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внутренних аудиторов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9200B" w:rsidRDefault="00F9200B" w:rsidP="00385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Таким образом, организация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службы внутреннего контроля, содействующая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повышению эффективности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функционирования экономического агента рынка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защите интересов акционеров, является зоной ответственности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управленческого персонала и собственников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Но даже хорошо выстроенная и организованная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служба внутреннего контроля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нуждается в оценке своей эффективности как с точки зрения достижения поставленных целей, так и с точки зрения экономичности. Наиболее независимо и профессионально оценить надежность и эффективность существующей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работы внутренних контролеров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а так же предложить рекомендации по ее усовершенствованию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могут внутренние и внешние аудиторы</w:t>
      </w:r>
      <w:r w:rsidRPr="0018094F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F9200B" w:rsidRPr="0018094F" w:rsidRDefault="00F9200B" w:rsidP="00385915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F9200B" w:rsidRPr="00B26767" w:rsidRDefault="00F9200B" w:rsidP="00B2676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26767">
        <w:rPr>
          <w:rFonts w:ascii="Times New Roman" w:hAnsi="Times New Roman"/>
          <w:b/>
          <w:sz w:val="24"/>
          <w:szCs w:val="24"/>
        </w:rPr>
        <w:t>Список литературы:</w:t>
      </w:r>
    </w:p>
    <w:p w:rsidR="00F9200B" w:rsidRPr="00B26767" w:rsidRDefault="00F9200B" w:rsidP="00B26767">
      <w:pPr>
        <w:pStyle w:val="ListParagraph"/>
        <w:numPr>
          <w:ilvl w:val="0"/>
          <w:numId w:val="8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B26767">
        <w:rPr>
          <w:rFonts w:ascii="Times New Roman" w:hAnsi="Times New Roman"/>
          <w:sz w:val="24"/>
          <w:szCs w:val="24"/>
        </w:rPr>
        <w:t xml:space="preserve">Говдя, В. В. </w:t>
      </w:r>
      <w:hyperlink r:id="rId7" w:history="1">
        <w:r w:rsidRPr="00B26767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5F5F5"/>
          </w:rPr>
          <w:t>Инновационные методы управления затратами в учетно-аналитическом кластере аграрных формирований</w:t>
        </w:r>
      </w:hyperlink>
      <w:r w:rsidRPr="00B26767">
        <w:rPr>
          <w:rFonts w:ascii="Times New Roman" w:hAnsi="Times New Roman"/>
          <w:sz w:val="24"/>
          <w:szCs w:val="24"/>
        </w:rPr>
        <w:t xml:space="preserve"> / </w:t>
      </w:r>
      <w:r w:rsidRPr="00B26767">
        <w:rPr>
          <w:rFonts w:ascii="Times New Roman" w:hAnsi="Times New Roman"/>
          <w:iCs/>
          <w:sz w:val="24"/>
          <w:szCs w:val="24"/>
          <w:shd w:val="clear" w:color="auto" w:fill="F5F5F5"/>
        </w:rPr>
        <w:t xml:space="preserve">Говдя В.В., Дегальцева Ж.В. - </w:t>
      </w:r>
      <w:hyperlink r:id="rId8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Известия Нижневолжского агроуниверситетского комплекса: Наука и высшее профессиональное образование</w:t>
        </w:r>
      </w:hyperlink>
      <w:r w:rsidRPr="00B26767">
        <w:rPr>
          <w:rFonts w:ascii="Times New Roman" w:hAnsi="Times New Roman"/>
          <w:sz w:val="24"/>
          <w:szCs w:val="24"/>
          <w:shd w:val="clear" w:color="auto" w:fill="F5F5F5"/>
        </w:rPr>
        <w:t>. 2015.</w:t>
      </w:r>
      <w:r w:rsidRPr="00B26767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hyperlink r:id="rId9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№ 1 (37)</w:t>
        </w:r>
      </w:hyperlink>
      <w:r w:rsidRPr="00B26767">
        <w:rPr>
          <w:rFonts w:ascii="Times New Roman" w:hAnsi="Times New Roman"/>
          <w:sz w:val="24"/>
          <w:szCs w:val="24"/>
          <w:shd w:val="clear" w:color="auto" w:fill="F5F5F5"/>
        </w:rPr>
        <w:t>. С. 234-239.</w:t>
      </w:r>
    </w:p>
    <w:p w:rsidR="00F9200B" w:rsidRPr="00B26767" w:rsidRDefault="00F9200B" w:rsidP="00B26767">
      <w:pPr>
        <w:pStyle w:val="ListParagraph"/>
        <w:numPr>
          <w:ilvl w:val="0"/>
          <w:numId w:val="8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B26767">
        <w:rPr>
          <w:rFonts w:ascii="Times New Roman" w:hAnsi="Times New Roman"/>
          <w:sz w:val="24"/>
          <w:szCs w:val="24"/>
        </w:rPr>
        <w:t xml:space="preserve">Дегальцева, Ж. В. </w:t>
      </w:r>
      <w:hyperlink r:id="rId10" w:history="1">
        <w:r w:rsidRPr="00B26767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5F5F5"/>
          </w:rPr>
          <w:t>Кластерная стратегия развития региональной системы управления АПК</w:t>
        </w:r>
      </w:hyperlink>
      <w:r w:rsidRPr="00B26767">
        <w:rPr>
          <w:rFonts w:ascii="Times New Roman" w:hAnsi="Times New Roman"/>
          <w:sz w:val="24"/>
          <w:szCs w:val="24"/>
        </w:rPr>
        <w:t xml:space="preserve"> / </w:t>
      </w:r>
      <w:r w:rsidRPr="00B26767">
        <w:rPr>
          <w:rFonts w:ascii="Times New Roman" w:hAnsi="Times New Roman"/>
          <w:iCs/>
          <w:sz w:val="24"/>
          <w:szCs w:val="24"/>
          <w:shd w:val="clear" w:color="auto" w:fill="F5F5F5"/>
        </w:rPr>
        <w:t xml:space="preserve">Дегальцева Ж.В. - </w:t>
      </w:r>
      <w:r w:rsidRPr="00B26767">
        <w:rPr>
          <w:rFonts w:ascii="Times New Roman" w:hAnsi="Times New Roman"/>
          <w:sz w:val="24"/>
          <w:szCs w:val="24"/>
          <w:shd w:val="clear" w:color="auto" w:fill="F5F5F5"/>
        </w:rPr>
        <w:t>В сборнике:</w:t>
      </w:r>
      <w:r w:rsidRPr="00B26767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hyperlink r:id="rId11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МАТЕРИАЛЫ III ВСЕРОССИЙСКОГО СИМПОЗИУМА ПО РЕГИОНАЛЬНОЙ ЭКОНОМИКЕ</w:t>
        </w:r>
      </w:hyperlink>
      <w:r w:rsidRPr="00B26767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r w:rsidRPr="00B26767">
        <w:rPr>
          <w:rFonts w:ascii="Times New Roman" w:hAnsi="Times New Roman"/>
          <w:sz w:val="24"/>
          <w:szCs w:val="24"/>
          <w:shd w:val="clear" w:color="auto" w:fill="F5F5F5"/>
        </w:rPr>
        <w:t>сборник докладов. Ответственный редактор А.И. Татаркин. Екатеринбург, 2015. С. 48-51.</w:t>
      </w:r>
    </w:p>
    <w:p w:rsidR="00F9200B" w:rsidRPr="00B26767" w:rsidRDefault="00F9200B" w:rsidP="00B26767">
      <w:pPr>
        <w:pStyle w:val="ListParagraph"/>
        <w:numPr>
          <w:ilvl w:val="0"/>
          <w:numId w:val="8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B26767">
        <w:rPr>
          <w:rFonts w:ascii="Times New Roman" w:hAnsi="Times New Roman"/>
          <w:sz w:val="24"/>
          <w:szCs w:val="24"/>
        </w:rPr>
        <w:t xml:space="preserve">Дегальцева, Ж. В. </w:t>
      </w:r>
      <w:hyperlink r:id="rId12" w:history="1">
        <w:r w:rsidRPr="00B26767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5F5F5"/>
          </w:rPr>
          <w:t>Организация системы внутреннего контроля материально-производственных запасов в условиях турбулентной экономики</w:t>
        </w:r>
      </w:hyperlink>
      <w:r w:rsidRPr="00B26767">
        <w:rPr>
          <w:rFonts w:ascii="Times New Roman" w:hAnsi="Times New Roman"/>
          <w:sz w:val="24"/>
          <w:szCs w:val="24"/>
        </w:rPr>
        <w:t xml:space="preserve"> / </w:t>
      </w:r>
      <w:r w:rsidRPr="00B26767">
        <w:rPr>
          <w:rFonts w:ascii="Times New Roman" w:hAnsi="Times New Roman"/>
          <w:iCs/>
          <w:sz w:val="24"/>
          <w:szCs w:val="24"/>
          <w:shd w:val="clear" w:color="auto" w:fill="F5F5F5"/>
        </w:rPr>
        <w:t xml:space="preserve">Дегальцева Ж.В., Галчанская К.Н. - </w:t>
      </w:r>
      <w:hyperlink r:id="rId13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Экономика, социология и право</w:t>
        </w:r>
      </w:hyperlink>
      <w:r w:rsidRPr="00B26767">
        <w:rPr>
          <w:rFonts w:ascii="Times New Roman" w:hAnsi="Times New Roman"/>
          <w:sz w:val="24"/>
          <w:szCs w:val="24"/>
          <w:shd w:val="clear" w:color="auto" w:fill="F5F5F5"/>
        </w:rPr>
        <w:t>. 2015.</w:t>
      </w:r>
      <w:r w:rsidRPr="00B26767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hyperlink r:id="rId14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№ 3</w:t>
        </w:r>
      </w:hyperlink>
      <w:r w:rsidRPr="00B26767">
        <w:rPr>
          <w:rFonts w:ascii="Times New Roman" w:hAnsi="Times New Roman"/>
          <w:sz w:val="24"/>
          <w:szCs w:val="24"/>
          <w:shd w:val="clear" w:color="auto" w:fill="F5F5F5"/>
        </w:rPr>
        <w:t>. С. 23-27.</w:t>
      </w:r>
    </w:p>
    <w:p w:rsidR="00F9200B" w:rsidRPr="00B26767" w:rsidRDefault="00F9200B" w:rsidP="00B26767">
      <w:pPr>
        <w:pStyle w:val="ListParagraph"/>
        <w:numPr>
          <w:ilvl w:val="0"/>
          <w:numId w:val="8"/>
        </w:numPr>
        <w:tabs>
          <w:tab w:val="left" w:pos="993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  <w:shd w:val="clear" w:color="auto" w:fill="F5F5F5"/>
        </w:rPr>
      </w:pPr>
      <w:r w:rsidRPr="00B26767">
        <w:rPr>
          <w:rFonts w:ascii="Times New Roman" w:hAnsi="Times New Roman"/>
          <w:sz w:val="24"/>
          <w:szCs w:val="24"/>
        </w:rPr>
        <w:t xml:space="preserve">Дегальцева, Ж. В. </w:t>
      </w:r>
      <w:hyperlink r:id="rId15" w:history="1">
        <w:r w:rsidRPr="00B26767">
          <w:rPr>
            <w:rStyle w:val="Hyperlink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5F5F5"/>
          </w:rPr>
          <w:t>Методы признания и оценки фактов хозяйственной жизни в современных концепциях управленческого учета</w:t>
        </w:r>
      </w:hyperlink>
      <w:r w:rsidRPr="00B26767">
        <w:rPr>
          <w:rFonts w:ascii="Times New Roman" w:hAnsi="Times New Roman"/>
          <w:sz w:val="24"/>
          <w:szCs w:val="24"/>
        </w:rPr>
        <w:t xml:space="preserve">  / </w:t>
      </w:r>
      <w:r w:rsidRPr="00B26767">
        <w:rPr>
          <w:rFonts w:ascii="Times New Roman" w:hAnsi="Times New Roman"/>
          <w:iCs/>
          <w:sz w:val="24"/>
          <w:szCs w:val="24"/>
          <w:shd w:val="clear" w:color="auto" w:fill="F5F5F5"/>
        </w:rPr>
        <w:t>Дегальцева Ж.В., Халтурина А.В. -</w:t>
      </w:r>
      <w:hyperlink r:id="rId16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Путь науки</w:t>
        </w:r>
      </w:hyperlink>
      <w:r w:rsidRPr="00B26767">
        <w:rPr>
          <w:rFonts w:ascii="Times New Roman" w:hAnsi="Times New Roman"/>
          <w:sz w:val="24"/>
          <w:szCs w:val="24"/>
          <w:shd w:val="clear" w:color="auto" w:fill="F5F5F5"/>
        </w:rPr>
        <w:t>. 2015.</w:t>
      </w:r>
      <w:r w:rsidRPr="00B26767">
        <w:rPr>
          <w:rStyle w:val="apple-converted-space"/>
          <w:rFonts w:ascii="Times New Roman" w:hAnsi="Times New Roman"/>
          <w:sz w:val="24"/>
          <w:szCs w:val="24"/>
          <w:shd w:val="clear" w:color="auto" w:fill="F5F5F5"/>
        </w:rPr>
        <w:t> </w:t>
      </w:r>
      <w:hyperlink r:id="rId17" w:history="1">
        <w:r w:rsidRPr="00B26767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shd w:val="clear" w:color="auto" w:fill="F5F5F5"/>
          </w:rPr>
          <w:t>№ 10 (20)</w:t>
        </w:r>
      </w:hyperlink>
      <w:r w:rsidRPr="00B26767">
        <w:rPr>
          <w:rFonts w:ascii="Times New Roman" w:hAnsi="Times New Roman"/>
          <w:sz w:val="24"/>
          <w:szCs w:val="24"/>
          <w:shd w:val="clear" w:color="auto" w:fill="F5F5F5"/>
        </w:rPr>
        <w:t>. С. 52-55.</w:t>
      </w:r>
    </w:p>
    <w:p w:rsidR="00F9200B" w:rsidRPr="00965205" w:rsidRDefault="00F9200B" w:rsidP="00B26767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F9200B" w:rsidRPr="00B26767" w:rsidRDefault="00F9200B" w:rsidP="00B2676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767">
        <w:rPr>
          <w:rFonts w:ascii="Times New Roman" w:hAnsi="Times New Roman"/>
          <w:sz w:val="24"/>
          <w:szCs w:val="24"/>
        </w:rPr>
        <w:t>1.</w:t>
      </w:r>
      <w:r w:rsidRPr="00B26767">
        <w:rPr>
          <w:rFonts w:ascii="Times New Roman" w:hAnsi="Times New Roman"/>
          <w:sz w:val="24"/>
          <w:szCs w:val="24"/>
        </w:rPr>
        <w:tab/>
        <w:t>Govdja, V. V. Innovacionnye metody upravlenija zatratami v uchetno-analiticheskom klastere agrarnyh formirovanij / Govdja V.V., Degal'ceva Zh.V. - Izvestija Nizhnevolzhskogo agrouniversitetskogo kompleksa: Nauka i vysshee professional'noe obrazovanie. 2015. № 1 (37). S. 234-239.</w:t>
      </w:r>
    </w:p>
    <w:p w:rsidR="00F9200B" w:rsidRPr="00B26767" w:rsidRDefault="00F9200B" w:rsidP="00B2676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767">
        <w:rPr>
          <w:rFonts w:ascii="Times New Roman" w:hAnsi="Times New Roman"/>
          <w:sz w:val="24"/>
          <w:szCs w:val="24"/>
        </w:rPr>
        <w:t>2.</w:t>
      </w:r>
      <w:r w:rsidRPr="00B26767">
        <w:rPr>
          <w:rFonts w:ascii="Times New Roman" w:hAnsi="Times New Roman"/>
          <w:sz w:val="24"/>
          <w:szCs w:val="24"/>
        </w:rPr>
        <w:tab/>
        <w:t>Degal'ceva, Zh. V. Klasternaja strategija razvitija regional'noj sistemy upravlenija APK / Degal'ceva Zh.V. - V sbornike: MATERIALY III VSEROSSIJSKOGO SIMPOZIUMA PO REGIONAL''NOJ JeKONOMIKE sbornik dokladov. Otvetstvennyj redaktor A.I. Tatarkin. Ekaterinburg, 2015. S. 48-51.</w:t>
      </w:r>
    </w:p>
    <w:p w:rsidR="00F9200B" w:rsidRPr="00B26767" w:rsidRDefault="00F9200B" w:rsidP="00B2676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767">
        <w:rPr>
          <w:rFonts w:ascii="Times New Roman" w:hAnsi="Times New Roman"/>
          <w:sz w:val="24"/>
          <w:szCs w:val="24"/>
        </w:rPr>
        <w:t>3.</w:t>
      </w:r>
      <w:r w:rsidRPr="00B26767">
        <w:rPr>
          <w:rFonts w:ascii="Times New Roman" w:hAnsi="Times New Roman"/>
          <w:sz w:val="24"/>
          <w:szCs w:val="24"/>
        </w:rPr>
        <w:tab/>
        <w:t>Degal'ceva, Zh. V. Organizacija sistemy vnutrennego kontrolja material'no-proizvodstvennyh zapasov v uslovijah turbulentnoj jekonomiki / Degal'ceva Zh.V., Galchanskaja K.N. - Jekonomika, sociologija i pravo. 2015. № 3. S. 23-27.</w:t>
      </w:r>
    </w:p>
    <w:p w:rsidR="00F9200B" w:rsidRPr="00B26767" w:rsidRDefault="00F9200B" w:rsidP="00B26767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26767">
        <w:rPr>
          <w:rFonts w:ascii="Times New Roman" w:hAnsi="Times New Roman"/>
          <w:sz w:val="24"/>
          <w:szCs w:val="24"/>
        </w:rPr>
        <w:t>4.</w:t>
      </w:r>
      <w:r w:rsidRPr="00B26767">
        <w:rPr>
          <w:rFonts w:ascii="Times New Roman" w:hAnsi="Times New Roman"/>
          <w:sz w:val="24"/>
          <w:szCs w:val="24"/>
        </w:rPr>
        <w:tab/>
        <w:t>Degal'ceva, Zh. V. Metody priznanija i ocenki faktov hozjajstvennoj zhizni v sovremennyh koncepcijah upravlencheskogo ucheta  / Degal'ceva Zh.V., Halturina A.V. -Put' nauki. 2015. № 10 (20). S. 52-55.</w:t>
      </w:r>
    </w:p>
    <w:sectPr w:rsidR="00F9200B" w:rsidRPr="00B26767" w:rsidSect="00387A7A">
      <w:headerReference w:type="even" r:id="rId18"/>
      <w:headerReference w:type="default" r:id="rId19"/>
      <w:footerReference w:type="default" r:id="rId2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00B" w:rsidRDefault="00F9200B" w:rsidP="00B26767">
      <w:pPr>
        <w:spacing w:after="0" w:line="240" w:lineRule="auto"/>
      </w:pPr>
      <w:r>
        <w:separator/>
      </w:r>
    </w:p>
  </w:endnote>
  <w:endnote w:type="continuationSeparator" w:id="0">
    <w:p w:rsidR="00F9200B" w:rsidRDefault="00F9200B" w:rsidP="00B267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0B" w:rsidRDefault="00F9200B">
    <w:pPr>
      <w:pStyle w:val="Footer"/>
    </w:pPr>
    <w:r w:rsidRPr="008F116B">
      <w:rPr>
        <w:rFonts w:ascii="Times New Roman" w:hAnsi="Times New Roman"/>
        <w:sz w:val="24"/>
        <w:szCs w:val="24"/>
      </w:rPr>
      <w:t>http://ej.kubagro.ru/2016/01/pdf/</w:t>
    </w:r>
    <w:r>
      <w:rPr>
        <w:rFonts w:ascii="Times New Roman" w:hAnsi="Times New Roman"/>
        <w:sz w:val="24"/>
        <w:szCs w:val="24"/>
        <w:lang w:val="en-US"/>
      </w:rPr>
      <w:t>5</w:t>
    </w:r>
    <w:r>
      <w:rPr>
        <w:rFonts w:ascii="Times New Roman" w:hAnsi="Times New Roman"/>
        <w:sz w:val="24"/>
        <w:szCs w:val="24"/>
      </w:rPr>
      <w:t>5</w:t>
    </w:r>
    <w:r w:rsidRPr="008F116B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00B" w:rsidRDefault="00F9200B" w:rsidP="00B26767">
      <w:pPr>
        <w:spacing w:after="0" w:line="240" w:lineRule="auto"/>
      </w:pPr>
      <w:r>
        <w:separator/>
      </w:r>
    </w:p>
  </w:footnote>
  <w:footnote w:type="continuationSeparator" w:id="0">
    <w:p w:rsidR="00F9200B" w:rsidRDefault="00F9200B" w:rsidP="00B267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0B" w:rsidRDefault="00F9200B" w:rsidP="002156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200B" w:rsidRDefault="00F9200B" w:rsidP="00387A7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0B" w:rsidRPr="00387A7A" w:rsidRDefault="00F9200B" w:rsidP="00215627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387A7A">
      <w:rPr>
        <w:rStyle w:val="PageNumber"/>
        <w:rFonts w:ascii="Times New Roman" w:hAnsi="Times New Roman"/>
        <w:sz w:val="28"/>
        <w:szCs w:val="28"/>
      </w:rPr>
      <w:fldChar w:fldCharType="begin"/>
    </w:r>
    <w:r w:rsidRPr="00387A7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387A7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10</w:t>
    </w:r>
    <w:r w:rsidRPr="00387A7A">
      <w:rPr>
        <w:rStyle w:val="PageNumber"/>
        <w:rFonts w:ascii="Times New Roman" w:hAnsi="Times New Roman"/>
        <w:sz w:val="28"/>
        <w:szCs w:val="28"/>
      </w:rPr>
      <w:fldChar w:fldCharType="end"/>
    </w:r>
  </w:p>
  <w:p w:rsidR="00F9200B" w:rsidRDefault="00F9200B" w:rsidP="00387A7A">
    <w:pPr>
      <w:pStyle w:val="Header"/>
      <w:ind w:right="360"/>
    </w:pPr>
    <w:r w:rsidRPr="00173496">
      <w:rPr>
        <w:rFonts w:ascii="Times New Roman" w:hAnsi="Times New Roman"/>
        <w:sz w:val="24"/>
        <w:szCs w:val="24"/>
      </w:rPr>
      <w:t>Научный журнал КубГАУ, №115</w:t>
    </w:r>
    <w:r w:rsidRPr="00173496">
      <w:rPr>
        <w:rFonts w:ascii="Times New Roman" w:hAnsi="Times New Roman"/>
        <w:sz w:val="24"/>
        <w:szCs w:val="24"/>
        <w:lang w:val="en-US"/>
      </w:rPr>
      <w:t>(</w:t>
    </w:r>
    <w:r w:rsidRPr="00173496">
      <w:rPr>
        <w:rFonts w:ascii="Times New Roman" w:hAnsi="Times New Roman"/>
        <w:sz w:val="24"/>
        <w:szCs w:val="24"/>
      </w:rPr>
      <w:t>01), 2016 года</w:t>
    </w:r>
  </w:p>
  <w:p w:rsidR="00F9200B" w:rsidRDefault="00F9200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71D18"/>
    <w:multiLevelType w:val="multilevel"/>
    <w:tmpl w:val="CDB07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225E14"/>
    <w:multiLevelType w:val="multilevel"/>
    <w:tmpl w:val="F0FEC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405265"/>
    <w:multiLevelType w:val="multilevel"/>
    <w:tmpl w:val="82487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DD1524"/>
    <w:multiLevelType w:val="hybridMultilevel"/>
    <w:tmpl w:val="5510DE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482EAF"/>
    <w:multiLevelType w:val="multilevel"/>
    <w:tmpl w:val="78CE0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DE01B9"/>
    <w:multiLevelType w:val="multilevel"/>
    <w:tmpl w:val="89E8E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3F58F1"/>
    <w:multiLevelType w:val="multilevel"/>
    <w:tmpl w:val="C7C2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7AC4CE9"/>
    <w:multiLevelType w:val="multilevel"/>
    <w:tmpl w:val="A8149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376"/>
    <w:rsid w:val="00016572"/>
    <w:rsid w:val="00024C02"/>
    <w:rsid w:val="00047F74"/>
    <w:rsid w:val="00062A77"/>
    <w:rsid w:val="00076E57"/>
    <w:rsid w:val="000A0DF0"/>
    <w:rsid w:val="00114ECD"/>
    <w:rsid w:val="00146394"/>
    <w:rsid w:val="00173496"/>
    <w:rsid w:val="00176CA4"/>
    <w:rsid w:val="0018094F"/>
    <w:rsid w:val="001A0602"/>
    <w:rsid w:val="00215627"/>
    <w:rsid w:val="002936FC"/>
    <w:rsid w:val="002B0740"/>
    <w:rsid w:val="002B6180"/>
    <w:rsid w:val="0030086A"/>
    <w:rsid w:val="00301EE1"/>
    <w:rsid w:val="003052CD"/>
    <w:rsid w:val="00310CE6"/>
    <w:rsid w:val="00331FBF"/>
    <w:rsid w:val="00345A1F"/>
    <w:rsid w:val="003765E6"/>
    <w:rsid w:val="00385915"/>
    <w:rsid w:val="00387A7A"/>
    <w:rsid w:val="003B0E2D"/>
    <w:rsid w:val="003C02DA"/>
    <w:rsid w:val="003D53B4"/>
    <w:rsid w:val="004022B1"/>
    <w:rsid w:val="00472FEF"/>
    <w:rsid w:val="004977B2"/>
    <w:rsid w:val="004A4012"/>
    <w:rsid w:val="004B0B08"/>
    <w:rsid w:val="004D377F"/>
    <w:rsid w:val="004F20D1"/>
    <w:rsid w:val="004F2603"/>
    <w:rsid w:val="00522038"/>
    <w:rsid w:val="00524BD0"/>
    <w:rsid w:val="00537D9D"/>
    <w:rsid w:val="00586752"/>
    <w:rsid w:val="005968AC"/>
    <w:rsid w:val="005A1D1A"/>
    <w:rsid w:val="006452DA"/>
    <w:rsid w:val="0067148F"/>
    <w:rsid w:val="0067218F"/>
    <w:rsid w:val="006E29C9"/>
    <w:rsid w:val="006F60A5"/>
    <w:rsid w:val="0070160F"/>
    <w:rsid w:val="00720C60"/>
    <w:rsid w:val="00736278"/>
    <w:rsid w:val="00763D5E"/>
    <w:rsid w:val="00787657"/>
    <w:rsid w:val="007B184A"/>
    <w:rsid w:val="007D14B2"/>
    <w:rsid w:val="007E3ACB"/>
    <w:rsid w:val="0083079E"/>
    <w:rsid w:val="00845D43"/>
    <w:rsid w:val="008B48EE"/>
    <w:rsid w:val="008D0A65"/>
    <w:rsid w:val="008F116B"/>
    <w:rsid w:val="008F1A01"/>
    <w:rsid w:val="00907F1B"/>
    <w:rsid w:val="00947C64"/>
    <w:rsid w:val="00965205"/>
    <w:rsid w:val="00965695"/>
    <w:rsid w:val="00981EA5"/>
    <w:rsid w:val="009D13C9"/>
    <w:rsid w:val="00A04016"/>
    <w:rsid w:val="00A31457"/>
    <w:rsid w:val="00A44376"/>
    <w:rsid w:val="00A91946"/>
    <w:rsid w:val="00AB0BF0"/>
    <w:rsid w:val="00AD217E"/>
    <w:rsid w:val="00AE6E98"/>
    <w:rsid w:val="00B12A5E"/>
    <w:rsid w:val="00B26767"/>
    <w:rsid w:val="00B405DD"/>
    <w:rsid w:val="00B44765"/>
    <w:rsid w:val="00B46880"/>
    <w:rsid w:val="00B957EB"/>
    <w:rsid w:val="00BA4867"/>
    <w:rsid w:val="00BD59F3"/>
    <w:rsid w:val="00C65916"/>
    <w:rsid w:val="00C74508"/>
    <w:rsid w:val="00CC7652"/>
    <w:rsid w:val="00CD4A85"/>
    <w:rsid w:val="00CF124D"/>
    <w:rsid w:val="00CF14D0"/>
    <w:rsid w:val="00D40362"/>
    <w:rsid w:val="00D7737E"/>
    <w:rsid w:val="00DD47A2"/>
    <w:rsid w:val="00DF5CFE"/>
    <w:rsid w:val="00E2787F"/>
    <w:rsid w:val="00E36A25"/>
    <w:rsid w:val="00E47260"/>
    <w:rsid w:val="00E47831"/>
    <w:rsid w:val="00E61B04"/>
    <w:rsid w:val="00E6473B"/>
    <w:rsid w:val="00E73DA5"/>
    <w:rsid w:val="00E77EED"/>
    <w:rsid w:val="00E85014"/>
    <w:rsid w:val="00E924DF"/>
    <w:rsid w:val="00EA2CC8"/>
    <w:rsid w:val="00EC4A68"/>
    <w:rsid w:val="00ED7DB2"/>
    <w:rsid w:val="00F31D27"/>
    <w:rsid w:val="00F66E9B"/>
    <w:rsid w:val="00F9200B"/>
    <w:rsid w:val="00FC0529"/>
    <w:rsid w:val="00FE5BC8"/>
    <w:rsid w:val="00FF7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695"/>
    <w:pPr>
      <w:spacing w:after="200" w:line="276" w:lineRule="auto"/>
    </w:pPr>
    <w:rPr>
      <w:lang w:eastAsia="en-US"/>
    </w:rPr>
  </w:style>
  <w:style w:type="paragraph" w:styleId="Heading5">
    <w:name w:val="heading 5"/>
    <w:basedOn w:val="Normal"/>
    <w:link w:val="Heading5Char"/>
    <w:uiPriority w:val="99"/>
    <w:qFormat/>
    <w:rsid w:val="0018094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9"/>
    <w:locked/>
    <w:rsid w:val="0018094F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146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146394"/>
    <w:rPr>
      <w:rFonts w:cs="Times New Roman"/>
    </w:rPr>
  </w:style>
  <w:style w:type="character" w:styleId="Strong">
    <w:name w:val="Strong"/>
    <w:basedOn w:val="DefaultParagraphFont"/>
    <w:uiPriority w:val="99"/>
    <w:qFormat/>
    <w:rsid w:val="0014639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18094F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6714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016572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01657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26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26767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267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26767"/>
    <w:rPr>
      <w:rFonts w:cs="Times New Roman"/>
    </w:rPr>
  </w:style>
  <w:style w:type="character" w:styleId="PageNumber">
    <w:name w:val="page number"/>
    <w:basedOn w:val="DefaultParagraphFont"/>
    <w:uiPriority w:val="99"/>
    <w:rsid w:val="00387A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86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contents.asp?issueid=1381939" TargetMode="External"/><Relationship Id="rId13" Type="http://schemas.openxmlformats.org/officeDocument/2006/relationships/hyperlink" Target="http://elibrary.ru/contents.asp?issueid=1442678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elibrary.ru/item.asp?id=23236640" TargetMode="External"/><Relationship Id="rId12" Type="http://schemas.openxmlformats.org/officeDocument/2006/relationships/hyperlink" Target="http://elibrary.ru/item.asp?id=24316154" TargetMode="External"/><Relationship Id="rId17" Type="http://schemas.openxmlformats.org/officeDocument/2006/relationships/hyperlink" Target="http://elibrary.ru/contents.asp?issueid=1443205&amp;selid=24332081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443205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item.asp?id=2420283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tem.asp?id=24332081" TargetMode="External"/><Relationship Id="rId10" Type="http://schemas.openxmlformats.org/officeDocument/2006/relationships/hyperlink" Target="http://elibrary.ru/item.asp?id=24213731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elibrary.ru/contents.asp?issueid=1381939&amp;selid=23236640" TargetMode="External"/><Relationship Id="rId14" Type="http://schemas.openxmlformats.org/officeDocument/2006/relationships/hyperlink" Target="http://elibrary.ru/contents.asp?issueid=1442678&amp;selid=24316154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338</TotalTime>
  <Pages>10</Pages>
  <Words>2726</Words>
  <Characters>15539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Sergey</cp:lastModifiedBy>
  <cp:revision>63</cp:revision>
  <dcterms:created xsi:type="dcterms:W3CDTF">2015-12-21T10:51:00Z</dcterms:created>
  <dcterms:modified xsi:type="dcterms:W3CDTF">2016-01-16T06:40:00Z</dcterms:modified>
</cp:coreProperties>
</file>