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61"/>
        <w:gridCol w:w="4625"/>
      </w:tblGrid>
      <w:tr w:rsidR="00D16A99" w:rsidRPr="009B3230" w:rsidTr="009B3230">
        <w:trPr>
          <w:trHeight w:hRule="exact" w:val="306"/>
        </w:trPr>
        <w:tc>
          <w:tcPr>
            <w:tcW w:w="4661" w:type="dxa"/>
          </w:tcPr>
          <w:p w:rsidR="00D16A99" w:rsidRDefault="00D16A99" w:rsidP="008F70E0">
            <w:pPr>
              <w:tabs>
                <w:tab w:val="left" w:pos="9360"/>
              </w:tabs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УДК 634.8:</w:t>
            </w:r>
            <w:r w:rsidRPr="009B323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D16A99" w:rsidRDefault="00D16A99" w:rsidP="008F70E0">
            <w:pPr>
              <w:tabs>
                <w:tab w:val="left" w:pos="9360"/>
              </w:tabs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16A99" w:rsidRPr="008F70E0" w:rsidRDefault="00D16A99" w:rsidP="008F70E0">
            <w:pPr>
              <w:tabs>
                <w:tab w:val="left" w:pos="9360"/>
              </w:tabs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16A99" w:rsidRPr="009B3230" w:rsidRDefault="00D16A99" w:rsidP="008F70E0">
            <w:pPr>
              <w:tabs>
                <w:tab w:val="left" w:pos="9360"/>
              </w:tabs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</w:t>
            </w: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9B3230">
              <w:rPr>
                <w:rFonts w:ascii="Times New Roman" w:hAnsi="Times New Roman"/>
                <w:sz w:val="20"/>
                <w:szCs w:val="20"/>
              </w:rPr>
              <w:t xml:space="preserve">634.8: </w:t>
            </w:r>
          </w:p>
        </w:tc>
      </w:tr>
      <w:tr w:rsidR="00D16A99" w:rsidRPr="009B3230" w:rsidTr="009B3230">
        <w:trPr>
          <w:trHeight w:hRule="exact" w:val="269"/>
        </w:trPr>
        <w:tc>
          <w:tcPr>
            <w:tcW w:w="4661" w:type="dxa"/>
          </w:tcPr>
          <w:p w:rsidR="00D16A99" w:rsidRPr="009B3230" w:rsidRDefault="00D16A99" w:rsidP="008F70E0">
            <w:pPr>
              <w:tabs>
                <w:tab w:val="left" w:pos="9360"/>
              </w:tabs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16A99" w:rsidRPr="009B3230" w:rsidTr="009B3230">
        <w:trPr>
          <w:trHeight w:hRule="exact" w:val="269"/>
        </w:trPr>
        <w:tc>
          <w:tcPr>
            <w:tcW w:w="4661" w:type="dxa"/>
          </w:tcPr>
          <w:p w:rsidR="00D16A99" w:rsidRPr="009B3230" w:rsidRDefault="00D16A99" w:rsidP="008F70E0">
            <w:pPr>
              <w:tabs>
                <w:tab w:val="left" w:pos="9360"/>
              </w:tabs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03.00.00 </w:t>
            </w:r>
            <w:r w:rsidRPr="009B3230">
              <w:rPr>
                <w:rFonts w:ascii="Times New Roman" w:hAnsi="Times New Roman"/>
                <w:sz w:val="20"/>
                <w:szCs w:val="20"/>
              </w:rPr>
              <w:t>Биологические науки</w:t>
            </w: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>Biological sciences</w:t>
            </w:r>
          </w:p>
        </w:tc>
      </w:tr>
      <w:tr w:rsidR="00D16A99" w:rsidRPr="009B3230" w:rsidTr="009B3230">
        <w:tc>
          <w:tcPr>
            <w:tcW w:w="4661" w:type="dxa"/>
          </w:tcPr>
          <w:p w:rsidR="00D16A99" w:rsidRPr="009B3230" w:rsidRDefault="00D16A99" w:rsidP="008F70E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D16A99" w:rsidRPr="009B3230" w:rsidTr="009B3230">
        <w:tc>
          <w:tcPr>
            <w:tcW w:w="4661" w:type="dxa"/>
          </w:tcPr>
          <w:p w:rsidR="00D16A99" w:rsidRDefault="00D16A99" w:rsidP="008F70E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b/>
                <w:sz w:val="20"/>
                <w:szCs w:val="20"/>
              </w:rPr>
              <w:t>ВЛИЯНИЕ ОБРАБОТКИ ЧЕРЕНКОВ ВИНОГРАДА ЭЛЕКТРОМАГНИТНЫМ ПОЛЕМ НА ИХ РЕГЕНЕРАЦИОННЫЕ СВОЙСТВА</w:t>
            </w:r>
          </w:p>
          <w:p w:rsidR="00D16A99" w:rsidRPr="008F70E0" w:rsidRDefault="00D16A99" w:rsidP="008F70E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EFFECT OF TREATMENT OF GRAPE CUTTINGS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WITH</w:t>
            </w:r>
            <w:r w:rsidRPr="009B32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ELECTROMAGNETIC FIELD ON THEIR REGENERATIVE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SKILLS</w:t>
            </w:r>
          </w:p>
        </w:tc>
      </w:tr>
      <w:tr w:rsidR="00D16A99" w:rsidRPr="009B3230" w:rsidTr="009B3230">
        <w:trPr>
          <w:trHeight w:hRule="exact" w:val="454"/>
        </w:trPr>
        <w:tc>
          <w:tcPr>
            <w:tcW w:w="4661" w:type="dxa"/>
          </w:tcPr>
          <w:p w:rsidR="00D16A99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sz w:val="20"/>
                <w:szCs w:val="20"/>
              </w:rPr>
              <w:t>Радчевский Петр Пантелеевич</w:t>
            </w:r>
          </w:p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3230">
              <w:rPr>
                <w:rFonts w:ascii="Times New Roman" w:hAnsi="Times New Roman"/>
                <w:sz w:val="20"/>
                <w:szCs w:val="20"/>
              </w:rPr>
              <w:t>канд. с.-х. наук, доцент</w:t>
            </w:r>
          </w:p>
        </w:tc>
        <w:tc>
          <w:tcPr>
            <w:tcW w:w="4625" w:type="dxa"/>
          </w:tcPr>
          <w:p w:rsidR="00D16A99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Radchevsky Peter Panteleevich</w:t>
            </w:r>
          </w:p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</w:tc>
      </w:tr>
      <w:tr w:rsidR="00D16A99" w:rsidRPr="00F8246F" w:rsidTr="009B3230">
        <w:trPr>
          <w:trHeight w:hRule="exact" w:val="236"/>
        </w:trPr>
        <w:tc>
          <w:tcPr>
            <w:tcW w:w="4661" w:type="dxa"/>
          </w:tcPr>
          <w:p w:rsidR="00D16A99" w:rsidRPr="00F8246F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246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SPIN-</w:t>
            </w:r>
            <w:r w:rsidRPr="009B3230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F8246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F8246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1807-2710</w:t>
            </w: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RSCI </w:t>
            </w:r>
            <w:r w:rsidRPr="00F8246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SPIN-</w:t>
            </w:r>
            <w:r w:rsidRPr="009B323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code</w:t>
            </w:r>
            <w:r w:rsidRPr="00F8246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1807-2710</w:t>
            </w:r>
          </w:p>
        </w:tc>
      </w:tr>
      <w:tr w:rsidR="00D16A99" w:rsidRPr="009B3230" w:rsidTr="009B3230">
        <w:tc>
          <w:tcPr>
            <w:tcW w:w="4661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  </w:t>
            </w:r>
            <w:hyperlink r:id="rId7" w:history="1">
              <w:r w:rsidRPr="009B323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radchevskii@rambler.ru</w:t>
              </w:r>
            </w:hyperlink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>e-mail</w:t>
            </w:r>
            <w:hyperlink r:id="rId8" w:history="1">
              <w:r w:rsidRPr="009B323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radchevskii@rambler.ru</w:t>
              </w:r>
            </w:hyperlink>
          </w:p>
        </w:tc>
      </w:tr>
      <w:tr w:rsidR="00D16A99" w:rsidRPr="009B3230" w:rsidTr="009B3230">
        <w:tc>
          <w:tcPr>
            <w:tcW w:w="4661" w:type="dxa"/>
          </w:tcPr>
          <w:p w:rsidR="00D16A99" w:rsidRDefault="00D16A99" w:rsidP="008F70E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16A99" w:rsidRPr="009B3230" w:rsidRDefault="00D16A99" w:rsidP="008F70E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3230">
              <w:rPr>
                <w:rFonts w:ascii="Times New Roman" w:hAnsi="Times New Roman"/>
                <w:sz w:val="20"/>
                <w:szCs w:val="20"/>
              </w:rPr>
              <w:t>Майстер Даниэль Эдуардович</w:t>
            </w:r>
          </w:p>
        </w:tc>
        <w:tc>
          <w:tcPr>
            <w:tcW w:w="4625" w:type="dxa"/>
          </w:tcPr>
          <w:p w:rsidR="00D16A99" w:rsidRDefault="00D16A99" w:rsidP="008F70E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212121"/>
                <w:sz w:val="20"/>
                <w:szCs w:val="20"/>
                <w:lang w:val="en-US" w:eastAsia="ru-RU"/>
              </w:rPr>
            </w:pPr>
          </w:p>
          <w:p w:rsidR="00D16A99" w:rsidRPr="00F8246F" w:rsidRDefault="00D16A99" w:rsidP="008F70E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color w:val="212121"/>
                <w:sz w:val="20"/>
                <w:szCs w:val="20"/>
                <w:lang w:eastAsia="ru-RU"/>
              </w:rPr>
              <w:t>Meister Daniel Е</w:t>
            </w:r>
            <w:r>
              <w:rPr>
                <w:rFonts w:ascii="Times New Roman" w:hAnsi="Times New Roman"/>
                <w:color w:val="212121"/>
                <w:sz w:val="20"/>
                <w:szCs w:val="20"/>
                <w:lang w:val="en-US" w:eastAsia="ru-RU"/>
              </w:rPr>
              <w:t>duardovich</w:t>
            </w:r>
          </w:p>
        </w:tc>
      </w:tr>
      <w:tr w:rsidR="00D16A99" w:rsidRPr="009B3230" w:rsidTr="009B3230">
        <w:tc>
          <w:tcPr>
            <w:tcW w:w="4661" w:type="dxa"/>
          </w:tcPr>
          <w:p w:rsidR="00D16A99" w:rsidRPr="009B3230" w:rsidRDefault="00D16A99" w:rsidP="008F70E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20"/>
                <w:sz w:val="20"/>
                <w:szCs w:val="20"/>
                <w:lang w:eastAsia="ar-SA"/>
              </w:rPr>
            </w:pPr>
            <w:r w:rsidRPr="009B3230">
              <w:rPr>
                <w:rFonts w:ascii="Times New Roman" w:hAnsi="Times New Roman"/>
                <w:sz w:val="20"/>
                <w:szCs w:val="20"/>
              </w:rPr>
              <w:t>Студент факультета плодоовощеводства и виноградарства</w:t>
            </w: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Student of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>aculty of fruit, vegetable and grape growing</w:t>
            </w:r>
          </w:p>
        </w:tc>
      </w:tr>
      <w:tr w:rsidR="00D16A99" w:rsidRPr="009B3230" w:rsidTr="009B3230">
        <w:tc>
          <w:tcPr>
            <w:tcW w:w="4661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B3230">
              <w:rPr>
                <w:rFonts w:ascii="Times New Roman" w:hAnsi="Times New Roman"/>
                <w:i/>
                <w:sz w:val="20"/>
                <w:szCs w:val="20"/>
              </w:rPr>
              <w:t>Кубанский  государственный  аграрный университет, Краснодар, Россия</w:t>
            </w:r>
          </w:p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323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B323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9B323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B323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9B323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B323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9B323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B323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9B323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B323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9B323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B323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9B323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</w:p>
        </w:tc>
      </w:tr>
      <w:tr w:rsidR="00D16A99" w:rsidRPr="00562009" w:rsidTr="009B3230">
        <w:tc>
          <w:tcPr>
            <w:tcW w:w="4661" w:type="dxa"/>
          </w:tcPr>
          <w:p w:rsidR="00D16A99" w:rsidRPr="009B3230" w:rsidRDefault="00D16A99" w:rsidP="008F70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OLE_LINK51"/>
            <w:r w:rsidRPr="009B32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работе излагаются результаты исследований по изучению влияния обработки виноградных черенков сорта Первенец Магарача переменным электромагнитным полем на их регенерационные свойства. Обработку черенков переменным электромагнитным полем проводили с помощью индукционной катушки в течение 5,10,15 и 20 мин. В качестве контроля использовали вариант, где черенки замачивали в воде, в качестве варианта – стандарта - замачивание черенков в течение 24 часов в 0,01%-ном растворе гетероауксина. Укоренение проводили в сосудах с водой при  оптимальных температурных условиях. </w:t>
            </w:r>
          </w:p>
          <w:p w:rsidR="00D16A99" w:rsidRPr="008F70E0" w:rsidRDefault="00D16A99" w:rsidP="008F70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B32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Установлено, что применение гетероауксина в первое время привело к ингибированию распускания глазков. Обработка черенков ЭМП при всех экспозициях оказала стимулирующее влияние на этот показатель. Применение ЭМП при экспозициях от 5 до 15 мин привело к достоверному увеличению длины побегов, по сравнению с контрольным вариантом и вариантом с гетероауксином. Обработка черенков ЭМП при экспозициях 5,15 и 20 мин привела к достоверному увеличению укореняемости по сравнению с контролем. Максимальная укореняемость, получена при экспозиции 15 мин. Она оказалась такой же, как в варианте со стандартным стимулятором корнеобразования - гетероауксином. Однако наибольший выход черенков с 3-мя корнями и более оказался в варианте с экспозицией 20 мин. Максимальное число пяточных корней отмечено на черенках варианта с гетероауксином. </w:t>
            </w:r>
            <w:bookmarkStart w:id="1" w:name="OLE_LINK52"/>
            <w:r w:rsidRPr="009B32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Обработка черенков ЭМП с экспозицией 5, 10 и 20 мин также привела к достоверному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увеличению </w:t>
            </w:r>
            <w:r w:rsidRPr="009B32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этого показателя, соответственно на 45,5; 22,7 и 79,5 %. </w:t>
            </w:r>
            <w:bookmarkEnd w:id="1"/>
            <w:r w:rsidRPr="009B323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Максимальное увеличение числа корней получено в варианте с  экспозицией 20 мин. Таким образом, данный 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риант следует считать наилучшим</w:t>
            </w:r>
            <w:bookmarkEnd w:id="0"/>
          </w:p>
          <w:p w:rsidR="00D16A99" w:rsidRPr="009B3230" w:rsidRDefault="00D16A99" w:rsidP="008F70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presents the results of studies on the effect of processing varieties of grape cuttings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Pervenets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Magaracha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using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alternating electromagnetic field on their regenerative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>. Processing the cuttings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with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>alternating electromagnetic field was carried out using an induction coil for 5,10,15 and 20 min. As a control option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cuttings were soaked in water, as 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standard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option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–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cuttings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were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>soak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ed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>for 24 hours in a 0.01% solution of IAA. Rooting was performed in vessels with water at optimum temperature conditions. It was found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that the use of IAA for the first time led to the inhibition of blooming buds. EMF treatment of cuttings with each exposure has a stimulating effect on this indicator. Application of EMF exposures in the 5 to 15 minutes resulted in a significant increase in the length of shoots, compared to the control variant and the option to IAA. Processing cuttings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with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EMF exposures at 5,15 and 20 minutes resulted in a significant increase in rooting compared with the control. Maximum rooting was obtained at an exposure of 15 minutes.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was the same as in the version with a standard rooting stimulant - IAA. However, the highest yield of cuttings with 3 roots and ended up in a version with a 20-minute exposure. Maximum number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was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noted on the heel of the roots cuttings option with IAA. Treatment of cuttings with EMF exposure 5, 10 and 20 minutes, has also led to a significant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increasing of this </w:t>
            </w:r>
            <w:r w:rsidRPr="009B3230">
              <w:rPr>
                <w:rFonts w:ascii="Times New Roman" w:hAnsi="Times New Roman"/>
                <w:sz w:val="20"/>
                <w:szCs w:val="20"/>
                <w:lang w:val="en-US"/>
              </w:rPr>
              <w:t>indicator, respectively, 45.5; 22.7 and 79.5%. The maximum increase in the number of roots was obtained in the variant with exposure 20 minutes. Thus, this opti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on should be considered as the best one</w:t>
            </w:r>
          </w:p>
        </w:tc>
      </w:tr>
      <w:tr w:rsidR="00D16A99" w:rsidRPr="009B3230" w:rsidTr="009B3230">
        <w:tc>
          <w:tcPr>
            <w:tcW w:w="4661" w:type="dxa"/>
          </w:tcPr>
          <w:p w:rsidR="00D16A99" w:rsidRPr="008F70E0" w:rsidRDefault="00D16A99" w:rsidP="008F70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3230">
              <w:rPr>
                <w:rFonts w:ascii="Times New Roman" w:hAnsi="Times New Roman"/>
                <w:sz w:val="20"/>
                <w:szCs w:val="20"/>
              </w:rPr>
              <w:t xml:space="preserve">Ключевые слова: ВИНОГРАД, ЧЕРЕНКИ, </w:t>
            </w:r>
            <w:r w:rsidRPr="009B3230">
              <w:rPr>
                <w:rFonts w:ascii="Times New Roman" w:hAnsi="Times New Roman"/>
                <w:sz w:val="20"/>
                <w:szCs w:val="20"/>
                <w:lang w:eastAsia="ru-RU"/>
              </w:rPr>
              <w:t>ЭЛЕКТРОМАГНИТНОЕ ПОЛЕ, ИНТЕНСИВНОСТЬ РАСПУСКАНИЯ ГЛАЗКОВ, ДЛИТЕЛЬНОСТЬ РАСПУСКАНИЯ ГЛАЗКОВ, ДЛИНА ПОБЕГОВ, УКОРЕНЯЕМОСТЬ, ДЛИНА ПРЕДКОРНЕВОГО ПЕРИОДА, ЧИСЛО КОРНЕЙ</w:t>
            </w:r>
          </w:p>
        </w:tc>
        <w:tc>
          <w:tcPr>
            <w:tcW w:w="4625" w:type="dxa"/>
          </w:tcPr>
          <w:p w:rsidR="00D16A99" w:rsidRPr="009B3230" w:rsidRDefault="00D16A99" w:rsidP="008F70E0">
            <w:pPr>
              <w:tabs>
                <w:tab w:val="left" w:pos="540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9B323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Keywords: GRAPE, CUTTINGS, ELECTROMAGNETIC FIELD, INTENSITY OF BLOOMING OF BUDS, LENGTH OF TIME OF BLOOMING OF BUDS, LENGTH OF SHOOTS, ROOT-GROWING, LENGTH OF PRE-ROOTING PERIOD, NUMBERS OF ROOTS</w:t>
            </w:r>
          </w:p>
        </w:tc>
      </w:tr>
    </w:tbl>
    <w:p w:rsidR="00D16A99" w:rsidRPr="00EC52C7" w:rsidRDefault="00D16A99" w:rsidP="00EC52C7">
      <w:pPr>
        <w:rPr>
          <w:lang w:val="en-US"/>
        </w:rPr>
      </w:pPr>
    </w:p>
    <w:p w:rsidR="00D16A99" w:rsidRPr="00A57F66" w:rsidRDefault="00D16A99" w:rsidP="00A57F6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57F66">
        <w:rPr>
          <w:rFonts w:ascii="Times New Roman" w:hAnsi="Times New Roman"/>
          <w:b/>
          <w:sz w:val="28"/>
          <w:szCs w:val="28"/>
          <w:lang w:eastAsia="ru-RU"/>
        </w:rPr>
        <w:t>В</w:t>
      </w:r>
      <w:r>
        <w:rPr>
          <w:rFonts w:ascii="Times New Roman" w:hAnsi="Times New Roman"/>
          <w:b/>
          <w:sz w:val="28"/>
          <w:szCs w:val="28"/>
          <w:lang w:eastAsia="ru-RU"/>
        </w:rPr>
        <w:t>ведение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Виноградарство в Краснодарском крае является стабильно развивающейся отраслью. Постоянно происходит закладка новых площадей виноградников и перезакладка существующих. Все это вызывает постоянную потребность в привитых и корнесобственных саженцах.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Для увеличения их выхода и качества применяются различные регуляторы роста. Однако в производственных условиях они не всегда обеспечивают ожидаемый эффект. К тому же в настоящее время  препараты довольно дорогостоящие и не всегда удовлетворяют экологическим, медицинским требованиям и требованиям производства.</w:t>
      </w:r>
    </w:p>
    <w:p w:rsidR="00D16A99" w:rsidRPr="00E05967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Из научной литературы известно о положительном влиянии на растительны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методов электрофизического воздействия (электрический ток, электрическое, магнитное и электромагнитное поле) </w:t>
      </w:r>
      <w:r w:rsidRPr="00E05967">
        <w:rPr>
          <w:rFonts w:ascii="Times New Roman" w:hAnsi="Times New Roman"/>
          <w:sz w:val="28"/>
        </w:rPr>
        <w:t>[3,4,5,6,7,8,9,16,21,22,24,34,].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Однако большинство проведенных в этом направлении исследований посвящено результатам электрофизического воздействия на семена различных сельскохозяйственных растений. 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A57F66">
        <w:rPr>
          <w:rFonts w:ascii="Times New Roman" w:hAnsi="Times New Roman"/>
          <w:sz w:val="28"/>
          <w:szCs w:val="28"/>
          <w:lang w:eastAsia="ru-RU"/>
        </w:rPr>
        <w:t>аже имеющиеся в специальной литературе немногочисленные сведения по обработке черенков цветочных, плодовых растений и винограда электрическим и электромагнитными полями указывают на перспективность данного направления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5967">
        <w:rPr>
          <w:rFonts w:ascii="Times New Roman" w:hAnsi="Times New Roman"/>
          <w:sz w:val="28"/>
        </w:rPr>
        <w:t>[1,2,13,14,15,17,18,23,25,32,33].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По мнению многих исследователей, наиболее техно</w:t>
      </w:r>
      <w:bookmarkStart w:id="2" w:name="_GoBack"/>
      <w:bookmarkEnd w:id="2"/>
      <w:r w:rsidRPr="00A57F66">
        <w:rPr>
          <w:rFonts w:ascii="Times New Roman" w:hAnsi="Times New Roman"/>
          <w:sz w:val="28"/>
          <w:szCs w:val="28"/>
          <w:lang w:eastAsia="ru-RU"/>
        </w:rPr>
        <w:t xml:space="preserve">логичным, из перечисленных выше методов электрофизического воздействия для обработки черенков </w:t>
      </w:r>
      <w:r>
        <w:rPr>
          <w:rFonts w:ascii="Times New Roman" w:hAnsi="Times New Roman"/>
          <w:sz w:val="28"/>
          <w:szCs w:val="28"/>
          <w:lang w:eastAsia="ru-RU"/>
        </w:rPr>
        <w:t xml:space="preserve">и прививок </w:t>
      </w:r>
      <w:r w:rsidRPr="00A57F66">
        <w:rPr>
          <w:rFonts w:ascii="Times New Roman" w:hAnsi="Times New Roman"/>
          <w:sz w:val="28"/>
          <w:szCs w:val="28"/>
          <w:lang w:eastAsia="ru-RU"/>
        </w:rPr>
        <w:t>является электромагнитное поле (ЭМП)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5967">
        <w:rPr>
          <w:rFonts w:ascii="Times New Roman" w:hAnsi="Times New Roman"/>
          <w:sz w:val="28"/>
        </w:rPr>
        <w:t>[2,6,33,36]</w:t>
      </w:r>
      <w:r w:rsidRPr="00E0596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Ранее на кафедре виноградарства уже были проведены исследования по изучению влияния обработки черенков винограда переменным </w:t>
      </w:r>
      <w:r>
        <w:rPr>
          <w:rFonts w:ascii="Times New Roman" w:hAnsi="Times New Roman"/>
          <w:sz w:val="28"/>
          <w:szCs w:val="28"/>
          <w:lang w:eastAsia="ru-RU"/>
        </w:rPr>
        <w:t xml:space="preserve">и импульсным </w:t>
      </w:r>
      <w:r w:rsidRPr="00A57F66">
        <w:rPr>
          <w:rFonts w:ascii="Times New Roman" w:hAnsi="Times New Roman"/>
          <w:sz w:val="28"/>
          <w:szCs w:val="28"/>
          <w:lang w:eastAsia="ru-RU"/>
        </w:rPr>
        <w:t>электромагнитным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пол</w:t>
      </w:r>
      <w:r>
        <w:rPr>
          <w:rFonts w:ascii="Times New Roman" w:hAnsi="Times New Roman"/>
          <w:sz w:val="28"/>
          <w:szCs w:val="28"/>
          <w:lang w:eastAsia="ru-RU"/>
        </w:rPr>
        <w:t>ями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(ЭМП) на их регенерационные свойства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, которые показали весьма обнадеживающие результаты </w:t>
      </w:r>
      <w:r w:rsidRPr="0084100C">
        <w:rPr>
          <w:rFonts w:ascii="Times New Roman" w:hAnsi="Times New Roman"/>
          <w:sz w:val="28"/>
        </w:rPr>
        <w:t>[26,32]</w:t>
      </w:r>
      <w:r w:rsidRPr="0084100C">
        <w:rPr>
          <w:rFonts w:ascii="Times New Roman" w:hAnsi="Times New Roman"/>
          <w:sz w:val="28"/>
          <w:szCs w:val="28"/>
          <w:lang w:eastAsia="ru-RU"/>
        </w:rPr>
        <w:t>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Недостатком ранних исследований является то, что в опыт по обработке черенков переменным электромагнитным полем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не был включен </w:t>
      </w:r>
      <w:r>
        <w:rPr>
          <w:rFonts w:ascii="Times New Roman" w:hAnsi="Times New Roman"/>
          <w:sz w:val="28"/>
          <w:szCs w:val="28"/>
          <w:lang w:eastAsia="ru-RU"/>
        </w:rPr>
        <w:t xml:space="preserve">какой-либо </w:t>
      </w:r>
      <w:r w:rsidRPr="00A57F66">
        <w:rPr>
          <w:rFonts w:ascii="Times New Roman" w:hAnsi="Times New Roman"/>
          <w:sz w:val="28"/>
          <w:szCs w:val="28"/>
          <w:lang w:eastAsia="ru-RU"/>
        </w:rPr>
        <w:t>стандартный стимулятор корнеобразования. Была просто проведена сравнительная оценка влияния обработки черенков винограда ЭМП при разных режимах напряженности и при разных экспозициях на их регенерационные свойства. В результате проведенных исследований были выявлены оптимальные режимы напряженности и экспозиции. Однако оценка эффективности действия ЭМП по сравнению с наиболее распространенным в виноградном питомниководстве стимулятором корнеобразования – гетероауксином</w:t>
      </w:r>
      <w:r>
        <w:rPr>
          <w:rFonts w:ascii="Times New Roman" w:hAnsi="Times New Roman"/>
          <w:sz w:val="28"/>
          <w:szCs w:val="28"/>
          <w:lang w:eastAsia="ru-RU"/>
        </w:rPr>
        <w:t xml:space="preserve">, как раз и представляет </w:t>
      </w:r>
      <w:r w:rsidRPr="00A57F66">
        <w:rPr>
          <w:rFonts w:ascii="Times New Roman" w:hAnsi="Times New Roman"/>
          <w:sz w:val="28"/>
          <w:szCs w:val="28"/>
          <w:lang w:eastAsia="ru-RU"/>
        </w:rPr>
        <w:t>большой практический интерес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В связи с вышесказанным целью наших исследований явилось изучение влияния обработки виноградных черенков электромагнитным полем на их регенерационные свойства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в сравнении со стандартным стимулятором корнеобразования – гетероауксином и установление оптимальной экспозиции обработки.</w:t>
      </w:r>
    </w:p>
    <w:p w:rsidR="00D16A99" w:rsidRDefault="00D16A99" w:rsidP="008606C6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16A99" w:rsidRPr="00EE1719" w:rsidRDefault="00D16A99" w:rsidP="008606C6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E1719">
        <w:rPr>
          <w:rFonts w:ascii="Times New Roman" w:hAnsi="Times New Roman"/>
          <w:b/>
          <w:sz w:val="28"/>
          <w:szCs w:val="28"/>
        </w:rPr>
        <w:t>Материалы и объекты исследований</w:t>
      </w:r>
    </w:p>
    <w:p w:rsidR="00D16A99" w:rsidRPr="00A57F66" w:rsidRDefault="00D16A99" w:rsidP="00A57F6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В качестве объектов исследований были использованы </w:t>
      </w:r>
      <w:r>
        <w:rPr>
          <w:rFonts w:ascii="Times New Roman" w:hAnsi="Times New Roman"/>
          <w:sz w:val="28"/>
          <w:szCs w:val="28"/>
          <w:lang w:eastAsia="ru-RU"/>
        </w:rPr>
        <w:t xml:space="preserve">двуглазковые </w:t>
      </w:r>
      <w:r w:rsidRPr="00A57F66">
        <w:rPr>
          <w:rFonts w:ascii="Times New Roman" w:hAnsi="Times New Roman"/>
          <w:sz w:val="28"/>
          <w:szCs w:val="28"/>
          <w:lang w:eastAsia="ru-RU"/>
        </w:rPr>
        <w:t>черенки белого устойчивого технического сорта винограда Первенец Магарача.</w:t>
      </w:r>
    </w:p>
    <w:p w:rsidR="00D16A99" w:rsidRPr="00A57F66" w:rsidRDefault="00D16A99" w:rsidP="00A57F66">
      <w:pPr>
        <w:spacing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Первенец Магарача - винный сорт винограда, средне-позднего срока созревания, селекции института винограда и вина «Магарач»</w:t>
      </w:r>
      <w:r>
        <w:rPr>
          <w:rFonts w:ascii="Times New Roman" w:hAnsi="Times New Roman"/>
          <w:sz w:val="28"/>
          <w:szCs w:val="28"/>
          <w:lang w:eastAsia="ru-RU"/>
        </w:rPr>
        <w:t xml:space="preserve"> (Рис. 1)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Отличается высокой и стабильной урожайностью.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Устойчивость к </w:t>
      </w:r>
      <w:hyperlink r:id="rId9" w:history="1">
        <w:r w:rsidRPr="00A57F66">
          <w:rPr>
            <w:rFonts w:ascii="Times New Roman" w:hAnsi="Times New Roman"/>
            <w:sz w:val="28"/>
            <w:szCs w:val="28"/>
            <w:lang w:eastAsia="ru-RU"/>
          </w:rPr>
          <w:t>милдью</w:t>
        </w:r>
      </w:hyperlink>
      <w:r w:rsidRPr="00A57F66">
        <w:rPr>
          <w:rFonts w:ascii="Times New Roman" w:hAnsi="Times New Roman"/>
          <w:sz w:val="28"/>
          <w:szCs w:val="28"/>
          <w:lang w:eastAsia="ru-RU"/>
        </w:rPr>
        <w:t xml:space="preserve"> высокая </w:t>
      </w:r>
      <w:r>
        <w:rPr>
          <w:rFonts w:ascii="Times New Roman" w:hAnsi="Times New Roman"/>
          <w:sz w:val="28"/>
          <w:szCs w:val="28"/>
          <w:lang w:eastAsia="ru-RU"/>
        </w:rPr>
        <w:t>(2</w:t>
      </w:r>
      <w:r w:rsidRPr="00A57F66">
        <w:rPr>
          <w:rFonts w:ascii="Times New Roman" w:hAnsi="Times New Roman"/>
          <w:sz w:val="28"/>
          <w:szCs w:val="28"/>
          <w:lang w:eastAsia="ru-RU"/>
        </w:rPr>
        <w:t>,5-3,0 балла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, к </w:t>
      </w:r>
      <w:hyperlink r:id="rId10" w:history="1">
        <w:r w:rsidRPr="00A57F66">
          <w:rPr>
            <w:rFonts w:ascii="Times New Roman" w:hAnsi="Times New Roman"/>
            <w:sz w:val="28"/>
            <w:szCs w:val="28"/>
            <w:lang w:eastAsia="ru-RU"/>
          </w:rPr>
          <w:t>серой гнили</w:t>
        </w:r>
      </w:hyperlink>
      <w:r w:rsidRPr="00A57F66">
        <w:rPr>
          <w:rFonts w:ascii="Times New Roman" w:hAnsi="Times New Roman"/>
          <w:sz w:val="28"/>
          <w:szCs w:val="28"/>
          <w:lang w:eastAsia="ru-RU"/>
        </w:rPr>
        <w:t xml:space="preserve"> - 2,0-3,0 балла, толерантен к </w:t>
      </w:r>
      <w:hyperlink r:id="rId11" w:history="1">
        <w:r w:rsidRPr="00A57F66">
          <w:rPr>
            <w:rFonts w:ascii="Times New Roman" w:hAnsi="Times New Roman"/>
            <w:sz w:val="28"/>
            <w:szCs w:val="28"/>
            <w:lang w:eastAsia="ru-RU"/>
          </w:rPr>
          <w:t>филлоксере</w:t>
        </w:r>
      </w:hyperlink>
      <w:r w:rsidRPr="00A57F66">
        <w:rPr>
          <w:rFonts w:ascii="Times New Roman" w:hAnsi="Times New Roman"/>
          <w:sz w:val="28"/>
          <w:szCs w:val="28"/>
          <w:lang w:eastAsia="ru-RU"/>
        </w:rPr>
        <w:t>. Виноград используется, в основном, для приготовления белых столовых вин. Столовое вино имеет янтарную окраску, хорошо развитый чистый букет, мягкий гармоничный вкус с пикантной свежестью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37FD7">
        <w:rPr>
          <w:rFonts w:ascii="Times New Roman" w:hAnsi="Times New Roman"/>
          <w:sz w:val="28"/>
        </w:rPr>
        <w:t>[37]</w:t>
      </w:r>
      <w:r w:rsidRPr="00437FD7">
        <w:rPr>
          <w:rFonts w:ascii="Times New Roman" w:hAnsi="Times New Roman"/>
          <w:sz w:val="28"/>
          <w:szCs w:val="28"/>
          <w:lang w:eastAsia="ru-RU"/>
        </w:rPr>
        <w:t>.</w:t>
      </w:r>
    </w:p>
    <w:p w:rsidR="00D16A99" w:rsidRPr="00A57F66" w:rsidRDefault="00D16A99" w:rsidP="00A57F66">
      <w:pPr>
        <w:spacing w:after="120" w:line="36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63BAA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5pt;height:278.4pt;visibility:visible">
            <v:imagedata r:id="rId12" o:title=""/>
          </v:shape>
        </w:pict>
      </w:r>
    </w:p>
    <w:p w:rsidR="00D16A99" w:rsidRPr="00A57F66" w:rsidRDefault="00D16A99" w:rsidP="00A57F66">
      <w:pPr>
        <w:spacing w:after="120" w:line="36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Рисунок 1- Грозди винограда сорта Первенец Магарача</w:t>
      </w:r>
    </w:p>
    <w:p w:rsidR="00D16A99" w:rsidRPr="00A57F66" w:rsidRDefault="00D16A99" w:rsidP="006519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Черенки для опыт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заготавливали осенью, до наступления заморозков в АФ «Фанагория-Агро». Их нарезали из нижней зоны однолетних вызревших побегов и хранили до весны в холодильнике.</w:t>
      </w:r>
    </w:p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Весной черенки нарезали на </w:t>
      </w:r>
      <w:r>
        <w:rPr>
          <w:rFonts w:ascii="Times New Roman" w:hAnsi="Times New Roman"/>
          <w:sz w:val="28"/>
          <w:szCs w:val="28"/>
          <w:lang w:eastAsia="ru-RU"/>
        </w:rPr>
        <w:t>двуглазковые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, связывали в пучки по 40 штук и после 24-часовой замочки в воде обрабатывали переменным ЭМП на специальной установке сконструированной профессором </w:t>
      </w:r>
      <w:r>
        <w:rPr>
          <w:rFonts w:ascii="Times New Roman" w:hAnsi="Times New Roman"/>
          <w:sz w:val="28"/>
          <w:szCs w:val="28"/>
          <w:lang w:eastAsia="ru-RU"/>
        </w:rPr>
        <w:t xml:space="preserve">кафедры применения электрической энергии КубГАУ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И.А. Потапенко. Установка представляет собой большую горизонтальную катушку при прохождении по которой электрического тока образуется регулируемое </w:t>
      </w:r>
      <w:r>
        <w:rPr>
          <w:rFonts w:ascii="Times New Roman" w:hAnsi="Times New Roman"/>
          <w:sz w:val="28"/>
          <w:szCs w:val="28"/>
          <w:lang w:eastAsia="ru-RU"/>
        </w:rPr>
        <w:t xml:space="preserve">переменное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электромагнитное поле. </w:t>
      </w:r>
    </w:p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6A99" w:rsidRPr="00EE1719" w:rsidRDefault="00D16A99" w:rsidP="00EE1719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E1719">
        <w:rPr>
          <w:rFonts w:ascii="Times New Roman" w:hAnsi="Times New Roman"/>
          <w:b/>
          <w:sz w:val="28"/>
          <w:szCs w:val="28"/>
        </w:rPr>
        <w:t>Методы исследований</w:t>
      </w:r>
    </w:p>
    <w:p w:rsidR="00D16A99" w:rsidRPr="00A57F66" w:rsidRDefault="00D16A99" w:rsidP="0003610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Изучение регенерационных свойств черенков проводили по </w:t>
      </w:r>
      <w:r>
        <w:rPr>
          <w:rFonts w:ascii="Times New Roman" w:hAnsi="Times New Roman"/>
          <w:sz w:val="28"/>
          <w:szCs w:val="28"/>
          <w:lang w:eastAsia="ru-RU"/>
        </w:rPr>
        <w:t xml:space="preserve">разработанной нами раннее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методике </w:t>
      </w:r>
      <w:r w:rsidRPr="00437FD7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19,27,28,29,30,31</w:t>
      </w:r>
      <w:r w:rsidRPr="00437FD7">
        <w:rPr>
          <w:rFonts w:ascii="Times New Roman" w:hAnsi="Times New Roman"/>
          <w:sz w:val="28"/>
        </w:rPr>
        <w:t>]</w:t>
      </w:r>
      <w:r w:rsidRPr="00437FD7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Черенки, связанные в пучки, помещали горизонтально внутрь катушки и обрабатывали их в течение 5,10,15 и 20 мин </w:t>
      </w:r>
      <w:r>
        <w:rPr>
          <w:rFonts w:ascii="Times New Roman" w:hAnsi="Times New Roman"/>
          <w:sz w:val="28"/>
          <w:szCs w:val="28"/>
          <w:lang w:eastAsia="ru-RU"/>
        </w:rPr>
        <w:t xml:space="preserve">электромагнитным полем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напряженности 3 кА. Данная напряженность оказалась оптимальной в </w:t>
      </w:r>
      <w:r>
        <w:rPr>
          <w:rFonts w:ascii="Times New Roman" w:hAnsi="Times New Roman"/>
          <w:sz w:val="28"/>
          <w:szCs w:val="28"/>
          <w:lang w:eastAsia="ru-RU"/>
        </w:rPr>
        <w:t xml:space="preserve">наших </w:t>
      </w:r>
      <w:r w:rsidRPr="00437FD7">
        <w:rPr>
          <w:rFonts w:ascii="Times New Roman" w:hAnsi="Times New Roman"/>
          <w:sz w:val="28"/>
          <w:szCs w:val="28"/>
          <w:lang w:eastAsia="ru-RU"/>
        </w:rPr>
        <w:t>предварительных исследованиях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37FD7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26</w:t>
      </w:r>
      <w:r w:rsidRPr="00437FD7">
        <w:rPr>
          <w:rFonts w:ascii="Times New Roman" w:hAnsi="Times New Roman"/>
          <w:sz w:val="28"/>
        </w:rPr>
        <w:t>]</w:t>
      </w:r>
      <w:r w:rsidRPr="00437FD7">
        <w:rPr>
          <w:rFonts w:ascii="Times New Roman" w:hAnsi="Times New Roman"/>
          <w:sz w:val="28"/>
          <w:szCs w:val="28"/>
          <w:lang w:eastAsia="ru-RU"/>
        </w:rPr>
        <w:t>.</w:t>
      </w:r>
    </w:p>
    <w:p w:rsidR="00D16A99" w:rsidRPr="00A57F66" w:rsidRDefault="00D16A99" w:rsidP="00EE17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Схема опыта состояла из 6 вариантов:</w:t>
      </w:r>
    </w:p>
    <w:p w:rsidR="00D16A99" w:rsidRPr="00A57F66" w:rsidRDefault="00D16A99" w:rsidP="00EE1719">
      <w:pPr>
        <w:spacing w:after="120" w:line="360" w:lineRule="auto"/>
        <w:ind w:left="127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Без обработки (</w:t>
      </w:r>
      <w:r w:rsidRPr="00A57F66">
        <w:rPr>
          <w:rFonts w:ascii="Times New Roman" w:hAnsi="Times New Roman"/>
          <w:sz w:val="28"/>
          <w:szCs w:val="28"/>
          <w:lang w:eastAsia="ru-RU"/>
        </w:rPr>
        <w:t>контроль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A57F66">
        <w:rPr>
          <w:rFonts w:ascii="Times New Roman" w:hAnsi="Times New Roman"/>
          <w:sz w:val="28"/>
          <w:szCs w:val="28"/>
          <w:lang w:eastAsia="ru-RU"/>
        </w:rPr>
        <w:t>;</w:t>
      </w:r>
    </w:p>
    <w:p w:rsidR="00D16A99" w:rsidRPr="00A57F66" w:rsidRDefault="00D16A99" w:rsidP="00EE1719">
      <w:pPr>
        <w:spacing w:after="120" w:line="360" w:lineRule="auto"/>
        <w:ind w:left="127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Г</w:t>
      </w:r>
      <w:r w:rsidRPr="00A57F66">
        <w:rPr>
          <w:rFonts w:ascii="Times New Roman" w:hAnsi="Times New Roman"/>
          <w:sz w:val="28"/>
          <w:szCs w:val="28"/>
          <w:lang w:eastAsia="ru-RU"/>
        </w:rPr>
        <w:t>етероауксин</w:t>
      </w:r>
      <w:r>
        <w:rPr>
          <w:rFonts w:ascii="Times New Roman" w:hAnsi="Times New Roman"/>
          <w:sz w:val="28"/>
          <w:szCs w:val="28"/>
          <w:lang w:eastAsia="ru-RU"/>
        </w:rPr>
        <w:t xml:space="preserve"> – 0,01%</w:t>
      </w:r>
      <w:r w:rsidRPr="00A57F66">
        <w:rPr>
          <w:rFonts w:ascii="Times New Roman" w:hAnsi="Times New Roman"/>
          <w:sz w:val="28"/>
          <w:szCs w:val="28"/>
          <w:lang w:eastAsia="ru-RU"/>
        </w:rPr>
        <w:t>;</w:t>
      </w:r>
    </w:p>
    <w:p w:rsidR="00D16A99" w:rsidRPr="00A57F66" w:rsidRDefault="00D16A99" w:rsidP="00EE1719">
      <w:pPr>
        <w:spacing w:after="120" w:line="360" w:lineRule="auto"/>
        <w:ind w:left="127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A57F66">
        <w:rPr>
          <w:rFonts w:ascii="Times New Roman" w:hAnsi="Times New Roman"/>
          <w:sz w:val="28"/>
          <w:szCs w:val="28"/>
          <w:lang w:eastAsia="ru-RU"/>
        </w:rPr>
        <w:t>ЭМП-5мин;</w:t>
      </w:r>
    </w:p>
    <w:p w:rsidR="00D16A99" w:rsidRPr="00A57F66" w:rsidRDefault="00D16A99" w:rsidP="00EE1719">
      <w:pPr>
        <w:spacing w:after="120" w:line="360" w:lineRule="auto"/>
        <w:ind w:left="127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A57F66">
        <w:rPr>
          <w:rFonts w:ascii="Times New Roman" w:hAnsi="Times New Roman"/>
          <w:sz w:val="28"/>
          <w:szCs w:val="28"/>
          <w:lang w:eastAsia="ru-RU"/>
        </w:rPr>
        <w:t>ЭМП-10мин;</w:t>
      </w:r>
    </w:p>
    <w:p w:rsidR="00D16A99" w:rsidRPr="00A57F66" w:rsidRDefault="00D16A99" w:rsidP="00EE1719">
      <w:pPr>
        <w:spacing w:after="120" w:line="360" w:lineRule="auto"/>
        <w:ind w:left="127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A57F66">
        <w:rPr>
          <w:rFonts w:ascii="Times New Roman" w:hAnsi="Times New Roman"/>
          <w:sz w:val="28"/>
          <w:szCs w:val="28"/>
          <w:lang w:eastAsia="ru-RU"/>
        </w:rPr>
        <w:t>ЭМП-15мин;</w:t>
      </w:r>
    </w:p>
    <w:p w:rsidR="00D16A99" w:rsidRPr="00A57F66" w:rsidRDefault="00D16A99" w:rsidP="00EE1719">
      <w:pPr>
        <w:spacing w:after="120" w:line="360" w:lineRule="auto"/>
        <w:ind w:left="127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A57F66">
        <w:rPr>
          <w:rFonts w:ascii="Times New Roman" w:hAnsi="Times New Roman"/>
          <w:sz w:val="28"/>
          <w:szCs w:val="28"/>
          <w:lang w:eastAsia="ru-RU"/>
        </w:rPr>
        <w:t>ЭМП-20мин;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После обработки черенки  помещали на проращивание в 0,75 литровые стеклянные сосуды с водой. Проращивание проводилось в комнате на общем обогреве при естественном свете. Температура воздуха в помещении была в пределах 20 </w:t>
      </w:r>
      <w:r w:rsidRPr="00A57F66">
        <w:rPr>
          <w:rFonts w:ascii="Times New Roman" w:hAnsi="Times New Roman"/>
          <w:sz w:val="28"/>
          <w:szCs w:val="28"/>
          <w:lang w:eastAsia="ru-RU"/>
        </w:rPr>
        <w:sym w:font="Symbol" w:char="F0B0"/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С. Слой воды в сосудах поддерживали на уровне около 3 см. В каждом варианте было по 4 сосуда (повторности) с 10 черенками. Для удобства проведения учетов черенки </w:t>
      </w:r>
      <w:r>
        <w:rPr>
          <w:rFonts w:ascii="Times New Roman" w:hAnsi="Times New Roman"/>
          <w:sz w:val="28"/>
          <w:szCs w:val="28"/>
          <w:lang w:eastAsia="ru-RU"/>
        </w:rPr>
        <w:t xml:space="preserve">были </w:t>
      </w:r>
      <w:r w:rsidRPr="00A57F66">
        <w:rPr>
          <w:rFonts w:ascii="Times New Roman" w:hAnsi="Times New Roman"/>
          <w:sz w:val="28"/>
          <w:szCs w:val="28"/>
          <w:lang w:eastAsia="ru-RU"/>
        </w:rPr>
        <w:t>пронумерова</w:t>
      </w:r>
      <w:r>
        <w:rPr>
          <w:rFonts w:ascii="Times New Roman" w:hAnsi="Times New Roman"/>
          <w:sz w:val="28"/>
          <w:szCs w:val="28"/>
          <w:lang w:eastAsia="ru-RU"/>
        </w:rPr>
        <w:t>ны</w:t>
      </w:r>
      <w:r w:rsidRPr="00A57F66">
        <w:rPr>
          <w:rFonts w:ascii="Times New Roman" w:hAnsi="Times New Roman"/>
          <w:sz w:val="28"/>
          <w:szCs w:val="28"/>
          <w:lang w:eastAsia="ru-RU"/>
        </w:rPr>
        <w:t>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Учеты и наблюдения в вегетационном опыте: 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1) Учет распускания глазков на черенках в динамике; 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2) Измерение длины зеленых побегов в динамике; 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3) Учет укореняемости черенков в динамике; 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4) Учет числа корешков образовавшихся на нижних концах черенков в конце опыта.</w:t>
      </w:r>
    </w:p>
    <w:p w:rsidR="00D16A99" w:rsidRPr="00A57F66" w:rsidRDefault="00D16A99" w:rsidP="00A57F6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На основании полученных данных рассчитывали продолжительность распускания глазков на черенках в днях и длину предкорневого периода по формуле А.И. Комарова </w:t>
      </w:r>
      <w:r w:rsidRPr="00437FD7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12</w:t>
      </w:r>
      <w:r w:rsidRPr="00437FD7">
        <w:rPr>
          <w:rFonts w:ascii="Times New Roman" w:hAnsi="Times New Roman"/>
          <w:sz w:val="28"/>
        </w:rPr>
        <w:t>]</w:t>
      </w:r>
      <w:r w:rsidRPr="00437FD7">
        <w:rPr>
          <w:rFonts w:ascii="Times New Roman" w:hAnsi="Times New Roman"/>
          <w:sz w:val="28"/>
          <w:szCs w:val="28"/>
          <w:lang w:eastAsia="ru-RU"/>
        </w:rPr>
        <w:t>.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16A99" w:rsidRPr="00A57F66" w:rsidRDefault="00D16A99" w:rsidP="00A57F6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Учеты проводили через каждые 1-3 дня.</w:t>
      </w:r>
    </w:p>
    <w:p w:rsidR="00D16A99" w:rsidRDefault="00D16A99" w:rsidP="00A57F6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Математическую обработку опытных данных проводили методом дисперсионного анализа по Б.А. Доспехову </w:t>
      </w:r>
      <w:r w:rsidRPr="00437FD7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11</w:t>
      </w:r>
      <w:r w:rsidRPr="00437FD7">
        <w:rPr>
          <w:rFonts w:ascii="Times New Roman" w:hAnsi="Times New Roman"/>
          <w:sz w:val="28"/>
        </w:rPr>
        <w:t>]</w:t>
      </w:r>
      <w:r w:rsidRPr="00437FD7">
        <w:rPr>
          <w:rFonts w:ascii="Times New Roman" w:hAnsi="Times New Roman"/>
          <w:sz w:val="28"/>
          <w:szCs w:val="28"/>
          <w:lang w:eastAsia="ru-RU"/>
        </w:rPr>
        <w:t>.</w:t>
      </w:r>
    </w:p>
    <w:p w:rsidR="00D16A99" w:rsidRPr="00A57F66" w:rsidRDefault="00D16A99" w:rsidP="00A57F6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6A99" w:rsidRPr="00A57F66" w:rsidRDefault="00D16A99" w:rsidP="004219FC">
      <w:pPr>
        <w:spacing w:after="0" w:line="360" w:lineRule="auto"/>
        <w:ind w:left="1416"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57F66">
        <w:rPr>
          <w:rFonts w:ascii="Times New Roman" w:hAnsi="Times New Roman"/>
          <w:b/>
          <w:sz w:val="28"/>
          <w:szCs w:val="28"/>
          <w:lang w:eastAsia="ru-RU"/>
        </w:rPr>
        <w:t>Р</w:t>
      </w:r>
      <w:r>
        <w:rPr>
          <w:rFonts w:ascii="Times New Roman" w:hAnsi="Times New Roman"/>
          <w:b/>
          <w:sz w:val="28"/>
          <w:szCs w:val="28"/>
          <w:lang w:eastAsia="ru-RU"/>
        </w:rPr>
        <w:t>езультаты исследований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При изучении регенерационных процессов происходящих в виноградных черенках при их укоренении следует обращать особое внимание на такие показатели как степень и интенсивность распускания зимующих глазков в динамике. Это обусловлено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во-первых тем, что из почек зимующих глазков образуются побеги, а во вторых, в набухших почках синтезируются ауксины, которые перемещаясь в нижней части черенков индуцируют в них образование корней </w:t>
      </w:r>
      <w:r w:rsidRPr="00437FD7">
        <w:rPr>
          <w:rFonts w:ascii="Times New Roman" w:hAnsi="Times New Roman"/>
          <w:sz w:val="28"/>
        </w:rPr>
        <w:t>[</w:t>
      </w:r>
      <w:r w:rsidRPr="008F2B62">
        <w:rPr>
          <w:rFonts w:ascii="Times New Roman" w:hAnsi="Times New Roman"/>
          <w:sz w:val="28"/>
        </w:rPr>
        <w:t>20,38]</w:t>
      </w:r>
      <w:r w:rsidRPr="008F2B62">
        <w:rPr>
          <w:rFonts w:ascii="Times New Roman" w:hAnsi="Times New Roman"/>
          <w:sz w:val="28"/>
          <w:szCs w:val="28"/>
          <w:lang w:eastAsia="ru-RU"/>
        </w:rPr>
        <w:t>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В нашем опыте распускание глазков на черенках наблюдалось уже на 6-й день после установки 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на проращивание (Рис</w:t>
      </w:r>
      <w:r>
        <w:rPr>
          <w:rFonts w:ascii="Times New Roman" w:hAnsi="Times New Roman"/>
          <w:sz w:val="28"/>
          <w:szCs w:val="28"/>
          <w:lang w:eastAsia="ru-RU"/>
        </w:rPr>
        <w:t>. 2</w:t>
      </w:r>
      <w:r w:rsidRPr="00A57F66">
        <w:rPr>
          <w:rFonts w:ascii="Times New Roman" w:hAnsi="Times New Roman"/>
          <w:sz w:val="28"/>
          <w:szCs w:val="28"/>
          <w:lang w:eastAsia="ru-RU"/>
        </w:rPr>
        <w:t>). Количество черенков с распустившимся глазком колебалось от 7,5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 в контроле, до 22,5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 в вариантах с экспозицией 5 и 20 мин. Большая часть глазков на черенках распустилась уже к 13-му – 15-му дням опыта.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3BAA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6" type="#_x0000_t75" style="width:330.6pt;height:266.4pt;visibility:visible">
            <v:imagedata r:id="rId13" o:title=""/>
          </v:shape>
        </w:pict>
      </w:r>
    </w:p>
    <w:p w:rsidR="00D16A99" w:rsidRPr="00A57F66" w:rsidRDefault="00D16A99" w:rsidP="006519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57F66">
        <w:rPr>
          <w:rFonts w:ascii="Times New Roman" w:hAnsi="Times New Roman"/>
          <w:sz w:val="24"/>
          <w:szCs w:val="24"/>
          <w:lang w:eastAsia="ru-RU"/>
        </w:rPr>
        <w:t>Рисунок 2 - Динамика распускания глазков на виноградных черенках под влиянием обработки их ЭМП (</w:t>
      </w:r>
      <w:r>
        <w:rPr>
          <w:rFonts w:ascii="Times New Roman" w:hAnsi="Times New Roman"/>
          <w:sz w:val="24"/>
          <w:szCs w:val="24"/>
          <w:lang w:eastAsia="ru-RU"/>
        </w:rPr>
        <w:t xml:space="preserve">31 день - </w:t>
      </w:r>
      <w:r w:rsidRPr="00A57F66">
        <w:rPr>
          <w:rFonts w:ascii="Times New Roman" w:hAnsi="Times New Roman"/>
          <w:sz w:val="24"/>
          <w:szCs w:val="24"/>
          <w:lang w:eastAsia="ru-RU"/>
        </w:rPr>
        <w:t>НСР</w:t>
      </w:r>
      <w:r w:rsidRPr="00A57F66">
        <w:rPr>
          <w:rFonts w:ascii="Times New Roman" w:hAnsi="Times New Roman"/>
          <w:sz w:val="24"/>
          <w:szCs w:val="24"/>
          <w:vertAlign w:val="subscript"/>
          <w:lang w:eastAsia="ru-RU"/>
        </w:rPr>
        <w:t>05</w:t>
      </w:r>
      <w:r w:rsidRPr="00A57F66">
        <w:rPr>
          <w:rFonts w:ascii="Times New Roman" w:hAnsi="Times New Roman"/>
          <w:sz w:val="24"/>
          <w:szCs w:val="24"/>
          <w:lang w:eastAsia="ru-RU"/>
        </w:rPr>
        <w:t>=8,8 %)</w:t>
      </w:r>
    </w:p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Применение гетероауксина в первое время привело к ингибированию распускания глазков. Однако к 13-му дню опыта этот показатель в контрольном варианте и в варианте с гетероауксином выровнялся, а с 15-го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дня и до конца опыта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A57F66">
        <w:rPr>
          <w:rFonts w:ascii="Times New Roman" w:hAnsi="Times New Roman"/>
          <w:sz w:val="28"/>
          <w:szCs w:val="28"/>
          <w:lang w:eastAsia="ru-RU"/>
        </w:rPr>
        <w:t>вариант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с гетероауксином </w:t>
      </w:r>
      <w:r>
        <w:rPr>
          <w:rFonts w:ascii="Times New Roman" w:hAnsi="Times New Roman"/>
          <w:sz w:val="28"/>
          <w:szCs w:val="28"/>
          <w:lang w:eastAsia="ru-RU"/>
        </w:rPr>
        <w:t xml:space="preserve">он </w:t>
      </w:r>
      <w:r w:rsidRPr="00A57F66">
        <w:rPr>
          <w:rFonts w:ascii="Times New Roman" w:hAnsi="Times New Roman"/>
          <w:sz w:val="28"/>
          <w:szCs w:val="28"/>
          <w:lang w:eastAsia="ru-RU"/>
        </w:rPr>
        <w:t>на 5,0-12,5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% превышал </w:t>
      </w:r>
      <w:r>
        <w:rPr>
          <w:rFonts w:ascii="Times New Roman" w:hAnsi="Times New Roman"/>
          <w:sz w:val="28"/>
          <w:szCs w:val="28"/>
          <w:lang w:eastAsia="ru-RU"/>
        </w:rPr>
        <w:t xml:space="preserve">показатель </w:t>
      </w:r>
      <w:r w:rsidRPr="00A57F66">
        <w:rPr>
          <w:rFonts w:ascii="Times New Roman" w:hAnsi="Times New Roman"/>
          <w:sz w:val="28"/>
          <w:szCs w:val="28"/>
          <w:lang w:eastAsia="ru-RU"/>
        </w:rPr>
        <w:t>контроль</w:t>
      </w:r>
      <w:r>
        <w:rPr>
          <w:rFonts w:ascii="Times New Roman" w:hAnsi="Times New Roman"/>
          <w:sz w:val="28"/>
          <w:szCs w:val="28"/>
          <w:lang w:eastAsia="ru-RU"/>
        </w:rPr>
        <w:t>ного варианта</w:t>
      </w:r>
      <w:r w:rsidRPr="00A57F66">
        <w:rPr>
          <w:rFonts w:ascii="Times New Roman" w:hAnsi="Times New Roman"/>
          <w:sz w:val="28"/>
          <w:szCs w:val="28"/>
          <w:lang w:eastAsia="ru-RU"/>
        </w:rPr>
        <w:t>.</w:t>
      </w:r>
    </w:p>
    <w:p w:rsidR="00D16A99" w:rsidRPr="00A57F66" w:rsidRDefault="00D16A99" w:rsidP="003927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Если применение гетероауксина в первое время привело к ингибированию распускания глазков, а затем к стимулированию, то обработка их ЭМП только стимулировала распускание. Максимальное воздействие на изучаемый показатель оказали экспозиции обработки 5 и 20 мин.</w:t>
      </w:r>
    </w:p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концу опыта в пяти вариантах количество черенков с распустившимся глазком оказалось примерно одинаковым и находилось в пределах 90,0 – 95,0% (Табл. 1). Лишь в варианте с экспозицией ЭМП 10 мин этот показатель составил 85,0 %, что было на 5,0-10,0 % меньше, чем в других вариантах. Достоверная разница оказалась только между этим вариантом и вариантом с гетероауксином. </w:t>
      </w:r>
    </w:p>
    <w:p w:rsidR="00D16A99" w:rsidRPr="007244B5" w:rsidRDefault="00D16A99" w:rsidP="007244B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44B5">
        <w:rPr>
          <w:rFonts w:ascii="Times New Roman" w:hAnsi="Times New Roman"/>
          <w:sz w:val="24"/>
          <w:szCs w:val="24"/>
          <w:lang w:eastAsia="ru-RU"/>
        </w:rPr>
        <w:t>Таблица 1 - Побегообразовательная способность виноградных черенков сорта Первенец Магарача под влиянием обработки ЭМП, 2012 г.</w:t>
      </w:r>
    </w:p>
    <w:p w:rsidR="00D16A99" w:rsidRPr="00651909" w:rsidRDefault="00D16A99" w:rsidP="007244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4"/>
        <w:gridCol w:w="2219"/>
        <w:gridCol w:w="1875"/>
        <w:gridCol w:w="1230"/>
      </w:tblGrid>
      <w:tr w:rsidR="00D16A99" w:rsidRPr="00063BAA" w:rsidTr="007244B5">
        <w:trPr>
          <w:jc w:val="center"/>
        </w:trPr>
        <w:tc>
          <w:tcPr>
            <w:tcW w:w="1854" w:type="dxa"/>
            <w:vAlign w:val="center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Экспозиция обработки 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ЭМП,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219" w:type="dxa"/>
            <w:vAlign w:val="center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Черенков с распустившимся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глазком,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Длительность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распускания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глазков,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1230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Длина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побегов,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см</w:t>
            </w:r>
          </w:p>
        </w:tc>
      </w:tr>
      <w:tr w:rsidR="00D16A99" w:rsidRPr="00063BAA" w:rsidTr="007244B5">
        <w:trPr>
          <w:jc w:val="center"/>
        </w:trPr>
        <w:tc>
          <w:tcPr>
            <w:tcW w:w="1854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Замачивание</w:t>
            </w:r>
          </w:p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в воде (контроль)</w:t>
            </w:r>
          </w:p>
        </w:tc>
        <w:tc>
          <w:tcPr>
            <w:tcW w:w="2219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75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30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D16A99" w:rsidRPr="00063BAA" w:rsidTr="007244B5">
        <w:trPr>
          <w:jc w:val="center"/>
        </w:trPr>
        <w:tc>
          <w:tcPr>
            <w:tcW w:w="1854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Гетероауксин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0,01 %</w:t>
            </w:r>
          </w:p>
        </w:tc>
        <w:tc>
          <w:tcPr>
            <w:tcW w:w="2219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75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230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8,2</w:t>
            </w:r>
          </w:p>
        </w:tc>
      </w:tr>
      <w:tr w:rsidR="00D16A99" w:rsidRPr="00063BAA" w:rsidTr="007244B5">
        <w:trPr>
          <w:jc w:val="center"/>
        </w:trPr>
        <w:tc>
          <w:tcPr>
            <w:tcW w:w="1854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9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92</w:t>
            </w: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244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875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30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244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D16A99" w:rsidRPr="00063BAA" w:rsidTr="007244B5">
        <w:trPr>
          <w:jc w:val="center"/>
        </w:trPr>
        <w:tc>
          <w:tcPr>
            <w:tcW w:w="1854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9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75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230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8,6</w:t>
            </w:r>
          </w:p>
        </w:tc>
      </w:tr>
      <w:tr w:rsidR="00D16A99" w:rsidRPr="00063BAA" w:rsidTr="007244B5">
        <w:trPr>
          <w:jc w:val="center"/>
        </w:trPr>
        <w:tc>
          <w:tcPr>
            <w:tcW w:w="1854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9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875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30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9,8</w:t>
            </w:r>
          </w:p>
        </w:tc>
      </w:tr>
      <w:tr w:rsidR="00D16A99" w:rsidRPr="00063BAA" w:rsidTr="007244B5">
        <w:trPr>
          <w:jc w:val="center"/>
        </w:trPr>
        <w:tc>
          <w:tcPr>
            <w:tcW w:w="1854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9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875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230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8,1</w:t>
            </w:r>
          </w:p>
        </w:tc>
      </w:tr>
      <w:tr w:rsidR="00D16A99" w:rsidRPr="00063BAA" w:rsidTr="007244B5">
        <w:trPr>
          <w:jc w:val="center"/>
        </w:trPr>
        <w:tc>
          <w:tcPr>
            <w:tcW w:w="1854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7244B5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2219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875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D16A99" w:rsidRPr="007244B5" w:rsidRDefault="00D16A99" w:rsidP="00392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4B5">
              <w:rPr>
                <w:rFonts w:ascii="Times New Roman" w:hAnsi="Times New Roman"/>
                <w:sz w:val="24"/>
                <w:szCs w:val="24"/>
                <w:lang w:eastAsia="ru-RU"/>
              </w:rPr>
              <w:t>0,67</w:t>
            </w:r>
          </w:p>
        </w:tc>
      </w:tr>
    </w:tbl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6A99" w:rsidRPr="00A57F66" w:rsidRDefault="00D16A99" w:rsidP="004F06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Об интенсивно</w:t>
      </w:r>
      <w:r>
        <w:rPr>
          <w:rFonts w:ascii="Times New Roman" w:hAnsi="Times New Roman"/>
          <w:sz w:val="28"/>
          <w:szCs w:val="28"/>
          <w:lang w:eastAsia="ru-RU"/>
        </w:rPr>
        <w:t>сти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распускани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глазков на черенках можно судить не только по изучению динамики этого процесса, но и по величине такого показателя как длительность распускания глазков.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данных таблицы видно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, что дольше всего – 11,6 дней распускались глазки в варианте с гетероауксином. 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В контрольном варианте распускание глазков закончилось на 0,4 дня раньше. Обработка черенков ЭМП способствовали значительному сокращению длительности распускания глазков. В опытных вариантах с ЭМП этот показатель колебался в пределах от 9,0-9,5 дней, что было на 1,7-2,2 </w:t>
      </w:r>
      <w:r>
        <w:rPr>
          <w:rFonts w:ascii="Times New Roman" w:hAnsi="Times New Roman"/>
          <w:sz w:val="28"/>
          <w:szCs w:val="28"/>
          <w:lang w:eastAsia="ru-RU"/>
        </w:rPr>
        <w:t xml:space="preserve">дней </w:t>
      </w:r>
      <w:r w:rsidRPr="00A57F66">
        <w:rPr>
          <w:rFonts w:ascii="Times New Roman" w:hAnsi="Times New Roman"/>
          <w:sz w:val="28"/>
          <w:szCs w:val="28"/>
          <w:lang w:eastAsia="ru-RU"/>
        </w:rPr>
        <w:t>меньше, чем в контрольном. Раньше всего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соответственно за  9,0 - 9,1 дней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распустились глазки в вариантах с экспозицией 10 и 15 мин.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ЭМП оказало определенное воздействие не только на интенсивность распускания глазков, но и на интенсивность роста побегов. Обработка черенков гетероауксином до 21-го дня опыта привела к ингибированию роста побегов (Рис</w:t>
      </w:r>
      <w:r>
        <w:rPr>
          <w:rFonts w:ascii="Times New Roman" w:hAnsi="Times New Roman"/>
          <w:sz w:val="28"/>
          <w:szCs w:val="28"/>
          <w:lang w:eastAsia="ru-RU"/>
        </w:rPr>
        <w:t>. 3</w:t>
      </w:r>
      <w:r w:rsidRPr="00A57F66">
        <w:rPr>
          <w:rFonts w:ascii="Times New Roman" w:hAnsi="Times New Roman"/>
          <w:sz w:val="28"/>
          <w:szCs w:val="28"/>
          <w:lang w:eastAsia="ru-RU"/>
        </w:rPr>
        <w:t>). Однако начиная с 21-го дня и до конца опыта длина побегов в варианте с гетероауксином была такой же, как в контрольном.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В вариантах с обработкой черенков ЭМП при экспозициях 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15 мин длина побегов с 13-го дня и до конца опыта превосходила контрольный вариант и вариант с гетероауксином.</w:t>
      </w:r>
    </w:p>
    <w:p w:rsidR="00D16A99" w:rsidRPr="00A57F66" w:rsidRDefault="00D16A99" w:rsidP="0038412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63BAA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" o:spid="_x0000_i1027" type="#_x0000_t75" style="width:279pt;height:226.8pt;visibility:visible">
            <v:imagedata r:id="rId14" o:title=""/>
          </v:shape>
        </w:pict>
      </w:r>
    </w:p>
    <w:p w:rsidR="00D16A99" w:rsidRPr="00A57F66" w:rsidRDefault="00D16A99" w:rsidP="00A57F6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57F66">
        <w:rPr>
          <w:rFonts w:ascii="Times New Roman" w:hAnsi="Times New Roman"/>
          <w:sz w:val="24"/>
          <w:szCs w:val="24"/>
          <w:lang w:eastAsia="ru-RU"/>
        </w:rPr>
        <w:t xml:space="preserve">Рисунок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A57F66">
        <w:rPr>
          <w:rFonts w:ascii="Times New Roman" w:hAnsi="Times New Roman"/>
          <w:sz w:val="24"/>
          <w:szCs w:val="24"/>
          <w:lang w:eastAsia="ru-RU"/>
        </w:rPr>
        <w:t xml:space="preserve"> - Динамика роста побегов на виноградных черенках под влиянием обработки их ЭМП (</w:t>
      </w:r>
      <w:r>
        <w:rPr>
          <w:rFonts w:ascii="Times New Roman" w:hAnsi="Times New Roman"/>
          <w:sz w:val="24"/>
          <w:szCs w:val="24"/>
          <w:lang w:eastAsia="ru-RU"/>
        </w:rPr>
        <w:t xml:space="preserve">31 день - </w:t>
      </w:r>
      <w:r w:rsidRPr="00A57F66">
        <w:rPr>
          <w:rFonts w:ascii="Times New Roman" w:hAnsi="Times New Roman"/>
          <w:sz w:val="24"/>
          <w:szCs w:val="24"/>
          <w:lang w:eastAsia="ru-RU"/>
        </w:rPr>
        <w:t>НСР</w:t>
      </w:r>
      <w:r w:rsidRPr="00A57F66">
        <w:rPr>
          <w:rFonts w:ascii="Times New Roman" w:hAnsi="Times New Roman"/>
          <w:sz w:val="24"/>
          <w:szCs w:val="24"/>
          <w:vertAlign w:val="subscript"/>
          <w:lang w:eastAsia="ru-RU"/>
        </w:rPr>
        <w:t>05</w:t>
      </w:r>
      <w:r w:rsidRPr="00A57F66">
        <w:rPr>
          <w:rFonts w:ascii="Times New Roman" w:hAnsi="Times New Roman"/>
          <w:sz w:val="24"/>
          <w:szCs w:val="24"/>
          <w:lang w:eastAsia="ru-RU"/>
        </w:rPr>
        <w:t>=0,67 см)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Появление первых корней на черенках в вариантах с применением ЭМП при экспозициях 5-15 мин наблюдалось на 17-й день опыта (Рис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A57F66">
        <w:rPr>
          <w:rFonts w:ascii="Times New Roman" w:hAnsi="Times New Roman"/>
          <w:sz w:val="28"/>
          <w:szCs w:val="28"/>
          <w:lang w:eastAsia="ru-RU"/>
        </w:rPr>
        <w:t>).</w:t>
      </w:r>
    </w:p>
    <w:p w:rsidR="00D16A99" w:rsidRPr="00A57F66" w:rsidRDefault="00D16A99" w:rsidP="00FF249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63BAA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28" type="#_x0000_t75" style="width:296.4pt;height:250.8pt;visibility:visible">
            <v:imagedata r:id="rId15" o:title=""/>
          </v:shape>
        </w:pict>
      </w:r>
    </w:p>
    <w:p w:rsidR="00D16A99" w:rsidRPr="00A57F66" w:rsidRDefault="00D16A99" w:rsidP="00A57F6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57F66">
        <w:rPr>
          <w:rFonts w:ascii="Times New Roman" w:hAnsi="Times New Roman"/>
          <w:sz w:val="24"/>
          <w:szCs w:val="24"/>
          <w:lang w:eastAsia="ru-RU"/>
        </w:rPr>
        <w:t xml:space="preserve">Рисунок 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A57F66">
        <w:rPr>
          <w:rFonts w:ascii="Times New Roman" w:hAnsi="Times New Roman"/>
          <w:sz w:val="24"/>
          <w:szCs w:val="24"/>
          <w:lang w:eastAsia="ru-RU"/>
        </w:rPr>
        <w:t xml:space="preserve"> - Динамика укореняемости виноградных черенков под влиянием обработки их ЭМП (</w:t>
      </w:r>
      <w:r>
        <w:rPr>
          <w:rFonts w:ascii="Times New Roman" w:hAnsi="Times New Roman"/>
          <w:sz w:val="24"/>
          <w:szCs w:val="24"/>
          <w:lang w:eastAsia="ru-RU"/>
        </w:rPr>
        <w:t xml:space="preserve">31-й день - </w:t>
      </w:r>
      <w:r w:rsidRPr="00A57F66">
        <w:rPr>
          <w:rFonts w:ascii="Times New Roman" w:hAnsi="Times New Roman"/>
          <w:sz w:val="24"/>
          <w:szCs w:val="24"/>
          <w:lang w:eastAsia="ru-RU"/>
        </w:rPr>
        <w:t>НСР</w:t>
      </w:r>
      <w:r w:rsidRPr="00A57F66">
        <w:rPr>
          <w:rFonts w:ascii="Times New Roman" w:hAnsi="Times New Roman"/>
          <w:sz w:val="24"/>
          <w:szCs w:val="24"/>
          <w:vertAlign w:val="subscript"/>
          <w:lang w:eastAsia="ru-RU"/>
        </w:rPr>
        <w:t>05</w:t>
      </w:r>
      <w:r w:rsidRPr="00A57F66">
        <w:rPr>
          <w:rFonts w:ascii="Times New Roman" w:hAnsi="Times New Roman"/>
          <w:sz w:val="24"/>
          <w:szCs w:val="24"/>
          <w:lang w:eastAsia="ru-RU"/>
        </w:rPr>
        <w:t>=6,8 %)</w:t>
      </w:r>
    </w:p>
    <w:p w:rsidR="00D16A99" w:rsidRPr="00A57F66" w:rsidRDefault="00D16A99" w:rsidP="00A57F6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Однако массовое корнеобразование отмечено на 21-ый день, </w:t>
      </w:r>
      <w:r>
        <w:rPr>
          <w:rFonts w:ascii="Times New Roman" w:hAnsi="Times New Roman"/>
          <w:sz w:val="28"/>
          <w:szCs w:val="28"/>
          <w:lang w:eastAsia="ru-RU"/>
        </w:rPr>
        <w:t>когда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укореняемость </w:t>
      </w:r>
      <w:r>
        <w:rPr>
          <w:rFonts w:ascii="Times New Roman" w:hAnsi="Times New Roman"/>
          <w:sz w:val="28"/>
          <w:szCs w:val="28"/>
          <w:lang w:eastAsia="ru-RU"/>
        </w:rPr>
        <w:t>по вариантам опыта находилась в пределах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sz w:val="28"/>
          <w:szCs w:val="28"/>
          <w:lang w:eastAsia="ru-RU"/>
        </w:rPr>
        <w:t xml:space="preserve">,0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42,5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%. Наименьшая укореняемость – 20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 в этот день оказалась в контрольном варианте. Применение гетероауксина позволило увеличить этот показатель на 15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%, а ЭМП – на 7,5 – 22,5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%. Наименьшая укореняемость – 27,5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% в вариантах с ЭМП получена в варианте с максимальной экспозицией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20 мин. В остальных трех опытных вариантах укореняемость </w:t>
      </w:r>
      <w:r>
        <w:rPr>
          <w:rFonts w:ascii="Times New Roman" w:hAnsi="Times New Roman"/>
          <w:sz w:val="28"/>
          <w:szCs w:val="28"/>
          <w:lang w:eastAsia="ru-RU"/>
        </w:rPr>
        <w:t>находилась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в пределах 42,5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% (экспозиция 15 мин) 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37,5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% (экспозиция 5 мин). </w:t>
      </w:r>
    </w:p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конце опыта укореняемость колебалась от 67,5 % в контроле до 85 % в вариантах с гетероауксином и обработкой ЭМП при экспозиции 15 мин (Табл. 2). П</w:t>
      </w:r>
      <w:r w:rsidRPr="00A57F66">
        <w:rPr>
          <w:rFonts w:ascii="Times New Roman" w:hAnsi="Times New Roman"/>
          <w:sz w:val="28"/>
          <w:szCs w:val="28"/>
          <w:lang w:eastAsia="ru-RU"/>
        </w:rPr>
        <w:t>ревышение укореняемости в варианте с гетероауксином по сравнению с контролем составило 17,5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%, а в вариантах с ЭМП – 7,5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17,5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%. </w:t>
      </w:r>
    </w:p>
    <w:p w:rsidR="00D16A99" w:rsidRPr="00A57F66" w:rsidRDefault="00D16A99" w:rsidP="004103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При НСР</w:t>
      </w:r>
      <w:r w:rsidRPr="00A57F66">
        <w:rPr>
          <w:rFonts w:ascii="Times New Roman" w:hAnsi="Times New Roman"/>
          <w:sz w:val="28"/>
          <w:szCs w:val="28"/>
          <w:vertAlign w:val="subscript"/>
          <w:lang w:eastAsia="ru-RU"/>
        </w:rPr>
        <w:t>05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=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6,8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% это </w:t>
      </w:r>
      <w:r>
        <w:rPr>
          <w:rFonts w:ascii="Times New Roman" w:hAnsi="Times New Roman"/>
          <w:sz w:val="28"/>
          <w:szCs w:val="28"/>
          <w:lang w:eastAsia="ru-RU"/>
        </w:rPr>
        <w:t>свидетельствует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о достоверности полученной разницы. Наименьшая разница получена при экспозиции 5 мин, а наибольшая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15 мин. При максимальной экспозиции разница составила 12,5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%. Лишь в варианте с экспозици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10 мин укореняемость в конце опыта получилась примерно такой же, как в контрольном.</w:t>
      </w:r>
    </w:p>
    <w:p w:rsidR="00D16A99" w:rsidRPr="0041037E" w:rsidRDefault="00D16A99" w:rsidP="004103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037E">
        <w:rPr>
          <w:rFonts w:ascii="Times New Roman" w:hAnsi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1037E">
        <w:rPr>
          <w:rFonts w:ascii="Times New Roman" w:hAnsi="Times New Roman"/>
          <w:sz w:val="24"/>
          <w:szCs w:val="24"/>
          <w:lang w:eastAsia="ru-RU"/>
        </w:rPr>
        <w:t xml:space="preserve"> – Корнеобразовательная способность виноградных черенков сорта Первенец Магарача под влиянием обработки ЭМП (напряженность ЭМП - 3 кА)</w:t>
      </w:r>
    </w:p>
    <w:p w:rsidR="00D16A99" w:rsidRPr="0041037E" w:rsidRDefault="00D16A99" w:rsidP="004103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1933"/>
        <w:gridCol w:w="1737"/>
        <w:gridCol w:w="1848"/>
        <w:gridCol w:w="1737"/>
      </w:tblGrid>
      <w:tr w:rsidR="00D16A99" w:rsidRPr="00063BAA" w:rsidTr="00FF1371">
        <w:trPr>
          <w:jc w:val="center"/>
        </w:trPr>
        <w:tc>
          <w:tcPr>
            <w:tcW w:w="1534" w:type="dxa"/>
            <w:vAlign w:val="center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Экспозиция обработки 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ЭМП,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1933" w:type="dxa"/>
            <w:vAlign w:val="center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Укореняемость,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37" w:type="dxa"/>
            <w:vAlign w:val="center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Длина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предкорневого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периода,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1848" w:type="dxa"/>
            <w:vAlign w:val="center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Черенков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с 3-мя корнями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и более,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37" w:type="dxa"/>
            <w:vAlign w:val="center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Корней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черенок,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D16A99" w:rsidRPr="00063BAA" w:rsidTr="00FF1371">
        <w:trPr>
          <w:jc w:val="center"/>
        </w:trPr>
        <w:tc>
          <w:tcPr>
            <w:tcW w:w="1534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Замачивание</w:t>
            </w:r>
          </w:p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в воде (контроль)</w:t>
            </w:r>
          </w:p>
        </w:tc>
        <w:tc>
          <w:tcPr>
            <w:tcW w:w="1933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848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4,4</w:t>
            </w:r>
          </w:p>
        </w:tc>
      </w:tr>
      <w:tr w:rsidR="00D16A99" w:rsidRPr="00063BAA" w:rsidTr="00FF1371">
        <w:trPr>
          <w:jc w:val="center"/>
        </w:trPr>
        <w:tc>
          <w:tcPr>
            <w:tcW w:w="1534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Гетероауксин – 0,01 %</w:t>
            </w:r>
          </w:p>
        </w:tc>
        <w:tc>
          <w:tcPr>
            <w:tcW w:w="1933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848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8,2</w:t>
            </w:r>
          </w:p>
        </w:tc>
      </w:tr>
      <w:tr w:rsidR="00D16A99" w:rsidRPr="00063BAA" w:rsidTr="00FF1371">
        <w:trPr>
          <w:jc w:val="center"/>
        </w:trPr>
        <w:tc>
          <w:tcPr>
            <w:tcW w:w="1534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3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val="en-US" w:eastAsia="ru-RU"/>
              </w:rPr>
              <w:t>75</w:t>
            </w: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848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val="en-US" w:eastAsia="ru-RU"/>
              </w:rPr>
              <w:t>75</w:t>
            </w: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D16A99" w:rsidRPr="00063BAA" w:rsidTr="00FF1371">
        <w:trPr>
          <w:jc w:val="center"/>
        </w:trPr>
        <w:tc>
          <w:tcPr>
            <w:tcW w:w="1534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3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848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D16A99" w:rsidRPr="00063BAA" w:rsidTr="00FF1371">
        <w:trPr>
          <w:jc w:val="center"/>
        </w:trPr>
        <w:tc>
          <w:tcPr>
            <w:tcW w:w="1534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3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848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16A99" w:rsidRPr="00063BAA" w:rsidTr="00FF1371">
        <w:trPr>
          <w:jc w:val="center"/>
        </w:trPr>
        <w:tc>
          <w:tcPr>
            <w:tcW w:w="1534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3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848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8,2</w:t>
            </w:r>
          </w:p>
        </w:tc>
      </w:tr>
      <w:tr w:rsidR="00D16A99" w:rsidRPr="00063BAA" w:rsidTr="00FF1371">
        <w:trPr>
          <w:jc w:val="center"/>
        </w:trPr>
        <w:tc>
          <w:tcPr>
            <w:tcW w:w="1534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НСР</w:t>
            </w:r>
            <w:r w:rsidRPr="0041037E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1933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13,33</w:t>
            </w:r>
          </w:p>
        </w:tc>
        <w:tc>
          <w:tcPr>
            <w:tcW w:w="1737" w:type="dxa"/>
          </w:tcPr>
          <w:p w:rsidR="00D16A99" w:rsidRPr="0041037E" w:rsidRDefault="00D16A99" w:rsidP="004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37E">
              <w:rPr>
                <w:rFonts w:ascii="Times New Roman" w:hAnsi="Times New Roman"/>
                <w:sz w:val="24"/>
                <w:szCs w:val="24"/>
                <w:lang w:eastAsia="ru-RU"/>
              </w:rPr>
              <w:t>0,69</w:t>
            </w:r>
          </w:p>
        </w:tc>
      </w:tr>
    </w:tbl>
    <w:p w:rsidR="00D16A99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Таким образом, обработка черенков ЭМП при экспозициях 5,15 и 20 мин привела к достоверному увеличению укореняемости по сравнению с контролем. Максимальная укореняемость, получена при экспозиции 15 мин. Она оказалась такой же, как в варианте со стандартным стимулятором корнеобразования - гетероауксином.</w:t>
      </w:r>
    </w:p>
    <w:p w:rsidR="00D16A99" w:rsidRDefault="00D16A99" w:rsidP="00342C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Сделанные расчеты показали, что максимальная длина предкорневого периода – 29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дней, оказалась в контрольном варианте.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Обработка черенков гетероауксином и ЭМП позволило значительно уменьшить этот показатель и довести его до 23,6-26,3 дней. Минимальное значение длины предкорневого периода наблюдалось в вариантах с ЭМП при экспозициях 5 и 10 мин, где он равнялся соответственно 23,6 и 24 дня, что было на 5,4 и 5 дней меньше, чем в контроле.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В варианте с гетероауксином и ЭМП при экспозиции 15 мин анализируемый показатель получился примерно одинаковым и был меньше контроля на 4,4 и 4,3 дня. Наибольшая длина предкорневого периода среди опытных вариантов оказалась в варианте с ЭМП при экспозиции 20 мин, где она составила 26,3 дня, что было, однако же, на 2,7 дня меньше, чем в контрольном. </w:t>
      </w:r>
    </w:p>
    <w:p w:rsidR="00D16A99" w:rsidRPr="00A57F66" w:rsidRDefault="00D16A99" w:rsidP="00A57F66">
      <w:pPr>
        <w:spacing w:before="120"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Из исследуемых показателей корнеобразовательной способности черенков </w:t>
      </w:r>
      <w:r>
        <w:rPr>
          <w:rFonts w:ascii="Times New Roman" w:hAnsi="Times New Roman"/>
          <w:sz w:val="28"/>
          <w:szCs w:val="28"/>
          <w:lang w:eastAsia="ru-RU"/>
        </w:rPr>
        <w:t>наи</w:t>
      </w:r>
      <w:r w:rsidRPr="00A57F66">
        <w:rPr>
          <w:rFonts w:ascii="Times New Roman" w:hAnsi="Times New Roman"/>
          <w:sz w:val="28"/>
          <w:szCs w:val="28"/>
          <w:lang w:eastAsia="ru-RU"/>
        </w:rPr>
        <w:t>большее практическое значение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выход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черенков с 3-мя корнями и более. Ведь, согласно требованиям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</w:rPr>
        <w:t>ГОСТа Р 53025-2008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FD7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26</w:t>
      </w:r>
      <w:r w:rsidRPr="00437FD7">
        <w:rPr>
          <w:rFonts w:ascii="Times New Roman" w:hAnsi="Times New Roman"/>
          <w:sz w:val="28"/>
        </w:rPr>
        <w:t>]</w:t>
      </w:r>
      <w:r w:rsidRPr="00A57F66">
        <w:rPr>
          <w:rFonts w:ascii="Times New Roman" w:hAnsi="Times New Roman"/>
          <w:sz w:val="28"/>
          <w:szCs w:val="28"/>
          <w:lang w:eastAsia="ru-RU"/>
        </w:rPr>
        <w:t>, как на вегетирующих, так и на однолетних виноградных саженцах должно быть не менее 3-х корней.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В наших исследованиях выход черенков не менее чем с 3-мя корнями во всех вариантах оказался очень высоким и колебался от 50,0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 в контрольном варианте до 80</w:t>
      </w:r>
      <w:r>
        <w:rPr>
          <w:rFonts w:ascii="Times New Roman" w:hAnsi="Times New Roman"/>
          <w:sz w:val="28"/>
          <w:szCs w:val="28"/>
          <w:lang w:eastAsia="ru-RU"/>
        </w:rPr>
        <w:t xml:space="preserve">,0 </w:t>
      </w:r>
      <w:r w:rsidRPr="00A57F66">
        <w:rPr>
          <w:rFonts w:ascii="Times New Roman" w:hAnsi="Times New Roman"/>
          <w:sz w:val="28"/>
          <w:szCs w:val="28"/>
          <w:lang w:eastAsia="ru-RU"/>
        </w:rPr>
        <w:t>% в вариантах с гетероауксином и с экспозицией обработки ЭМП – 20 мин (</w:t>
      </w:r>
      <w:r>
        <w:rPr>
          <w:rFonts w:ascii="Times New Roman" w:hAnsi="Times New Roman"/>
          <w:sz w:val="28"/>
          <w:szCs w:val="28"/>
          <w:lang w:eastAsia="ru-RU"/>
        </w:rPr>
        <w:t>см. табл. 1)</w:t>
      </w:r>
      <w:r w:rsidRPr="00A57F66">
        <w:rPr>
          <w:rFonts w:ascii="Times New Roman" w:hAnsi="Times New Roman"/>
          <w:sz w:val="28"/>
          <w:szCs w:val="28"/>
          <w:lang w:eastAsia="ru-RU"/>
        </w:rPr>
        <w:t>. Таким образом, разница в лучших вариантах составляла по сравнению с контролем 30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%, при НСР</w:t>
      </w:r>
      <w:r w:rsidRPr="00A57F66">
        <w:rPr>
          <w:rFonts w:ascii="Times New Roman" w:hAnsi="Times New Roman"/>
          <w:sz w:val="28"/>
          <w:szCs w:val="28"/>
          <w:vertAlign w:val="subscript"/>
          <w:lang w:eastAsia="ru-RU"/>
        </w:rPr>
        <w:t>05</w:t>
      </w:r>
      <w:r w:rsidRPr="00A57F66">
        <w:rPr>
          <w:rFonts w:ascii="Times New Roman" w:hAnsi="Times New Roman"/>
          <w:sz w:val="28"/>
          <w:szCs w:val="28"/>
          <w:lang w:eastAsia="ru-RU"/>
        </w:rPr>
        <w:t>=13,33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В варианте с экспозицией 10 мин анализируемый показатель был на уровне контроля, а с экспозицией 15 мин - превышал контроль на 12,5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%, </w:t>
      </w:r>
      <w:r>
        <w:rPr>
          <w:rFonts w:ascii="Times New Roman" w:hAnsi="Times New Roman"/>
          <w:sz w:val="28"/>
          <w:szCs w:val="28"/>
          <w:lang w:eastAsia="ru-RU"/>
        </w:rPr>
        <w:t xml:space="preserve">что свидетельствует о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недостоверно</w:t>
      </w:r>
      <w:r>
        <w:rPr>
          <w:rFonts w:ascii="Times New Roman" w:hAnsi="Times New Roman"/>
          <w:sz w:val="28"/>
          <w:szCs w:val="28"/>
          <w:lang w:eastAsia="ru-RU"/>
        </w:rPr>
        <w:t>сти разницы</w:t>
      </w:r>
      <w:r w:rsidRPr="00A57F66">
        <w:rPr>
          <w:rFonts w:ascii="Times New Roman" w:hAnsi="Times New Roman"/>
          <w:sz w:val="28"/>
          <w:szCs w:val="28"/>
          <w:lang w:eastAsia="ru-RU"/>
        </w:rPr>
        <w:t>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Кроме варианта с экспозицией 20 мин достоверная разница с контролем, составившая 25</w:t>
      </w:r>
      <w:r>
        <w:rPr>
          <w:rFonts w:ascii="Times New Roman" w:hAnsi="Times New Roman"/>
          <w:sz w:val="28"/>
          <w:szCs w:val="28"/>
          <w:lang w:eastAsia="ru-RU"/>
        </w:rPr>
        <w:t>,0 %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получена также при экспозиции 5 мин. 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Таким образом, по выходу черенков не менее чем с 3-мя корнями лучшими вариантами, кроме варианта с гетероауксином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являются варианты с обработкой черенков ЭМП при экспозиции 20 и 5 мин.</w:t>
      </w:r>
    </w:p>
    <w:p w:rsidR="00D16A99" w:rsidRPr="00A57F66" w:rsidRDefault="00D16A99" w:rsidP="00A57F6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>Максимальное число пяточных корней отмечено на черенках варианта с гетероауксином Здесь оно составило 8,2 шт. при  4,4 шт. в контроле, то есть увеличилось на 3,8 шт. или на 86,4%. Обработка черенков ЭМП с экспозицией 5, 10 и 20 мин привело к достоверному увеличению числа пяточных корней соответственно на 2</w:t>
      </w:r>
      <w:r>
        <w:rPr>
          <w:rFonts w:ascii="Times New Roman" w:hAnsi="Times New Roman"/>
          <w:sz w:val="28"/>
          <w:szCs w:val="28"/>
          <w:lang w:eastAsia="ru-RU"/>
        </w:rPr>
        <w:t>,0;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и 3,5 шт.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</w:t>
      </w:r>
      <w:r w:rsidRPr="00A57F66">
        <w:rPr>
          <w:rFonts w:ascii="Times New Roman" w:hAnsi="Times New Roman"/>
          <w:sz w:val="28"/>
          <w:szCs w:val="28"/>
          <w:lang w:eastAsia="ru-RU"/>
        </w:rPr>
        <w:t>НСР</w:t>
      </w:r>
      <w:r w:rsidRPr="00A57F66">
        <w:rPr>
          <w:rFonts w:ascii="Times New Roman" w:hAnsi="Times New Roman"/>
          <w:sz w:val="28"/>
          <w:szCs w:val="28"/>
          <w:vertAlign w:val="subscript"/>
          <w:lang w:eastAsia="ru-RU"/>
        </w:rPr>
        <w:t>05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– 0,69 шт. Увеличение составило </w:t>
      </w:r>
      <w:r>
        <w:rPr>
          <w:rFonts w:ascii="Times New Roman" w:hAnsi="Times New Roman"/>
          <w:sz w:val="28"/>
          <w:szCs w:val="28"/>
          <w:lang w:eastAsia="ru-RU"/>
        </w:rPr>
        <w:t xml:space="preserve">соответственно </w:t>
      </w:r>
      <w:r w:rsidRPr="00A57F66">
        <w:rPr>
          <w:rFonts w:ascii="Times New Roman" w:hAnsi="Times New Roman"/>
          <w:sz w:val="28"/>
          <w:szCs w:val="28"/>
          <w:lang w:eastAsia="ru-RU"/>
        </w:rPr>
        <w:t>45,5; 22,7 и 79,5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7F66">
        <w:rPr>
          <w:rFonts w:ascii="Times New Roman" w:hAnsi="Times New Roman"/>
          <w:sz w:val="28"/>
          <w:szCs w:val="28"/>
          <w:lang w:eastAsia="ru-RU"/>
        </w:rPr>
        <w:t>%. Как видно из приведенных данных максимальное увеличение числа корней получено при экспозиции 20 мин.</w:t>
      </w:r>
    </w:p>
    <w:p w:rsidR="00D16A99" w:rsidRPr="00A57F66" w:rsidRDefault="00D16A99" w:rsidP="00A57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7F66">
        <w:rPr>
          <w:rFonts w:ascii="Times New Roman" w:hAnsi="Times New Roman"/>
          <w:sz w:val="28"/>
          <w:szCs w:val="28"/>
          <w:lang w:eastAsia="ru-RU"/>
        </w:rPr>
        <w:t xml:space="preserve">Таким образом, обработка </w:t>
      </w:r>
      <w:r>
        <w:rPr>
          <w:rFonts w:ascii="Times New Roman" w:hAnsi="Times New Roman"/>
          <w:sz w:val="28"/>
          <w:szCs w:val="28"/>
          <w:lang w:eastAsia="ru-RU"/>
        </w:rPr>
        <w:t>виноградных черенков переменным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ЭМП, также как и гетероауксином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активизирует в них регенерационные процессы, ускоряет образование корней и увеличивает их количество.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аксимальная укореняемость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A57F66">
        <w:rPr>
          <w:rFonts w:ascii="Times New Roman" w:hAnsi="Times New Roman"/>
          <w:sz w:val="28"/>
          <w:szCs w:val="28"/>
          <w:lang w:eastAsia="ru-RU"/>
        </w:rPr>
        <w:t>ри этом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получена при экспозиции 15 мин, а максимальн</w:t>
      </w:r>
      <w:r>
        <w:rPr>
          <w:rFonts w:ascii="Times New Roman" w:hAnsi="Times New Roman"/>
          <w:sz w:val="28"/>
          <w:szCs w:val="28"/>
          <w:lang w:eastAsia="ru-RU"/>
        </w:rPr>
        <w:t xml:space="preserve">ые выход черенков с 3-мя корнями и более и </w:t>
      </w:r>
      <w:r w:rsidRPr="00A57F66">
        <w:rPr>
          <w:rFonts w:ascii="Times New Roman" w:hAnsi="Times New Roman"/>
          <w:sz w:val="28"/>
          <w:szCs w:val="28"/>
          <w:lang w:eastAsia="ru-RU"/>
        </w:rPr>
        <w:t xml:space="preserve"> число корней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A57F66">
        <w:rPr>
          <w:rFonts w:ascii="Times New Roman" w:hAnsi="Times New Roman"/>
          <w:sz w:val="28"/>
          <w:szCs w:val="28"/>
          <w:lang w:eastAsia="ru-RU"/>
        </w:rPr>
        <w:t>при экспозиции 20 мин.</w:t>
      </w:r>
      <w:r>
        <w:rPr>
          <w:rFonts w:ascii="Times New Roman" w:hAnsi="Times New Roman"/>
          <w:sz w:val="28"/>
          <w:szCs w:val="28"/>
          <w:lang w:eastAsia="ru-RU"/>
        </w:rPr>
        <w:t xml:space="preserve"> Этот вариант и следует признать лучшим.</w:t>
      </w:r>
    </w:p>
    <w:p w:rsidR="00D16A99" w:rsidRDefault="00D16A99" w:rsidP="00EE6C7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16A99" w:rsidRPr="00EE6C7E" w:rsidRDefault="00D16A99" w:rsidP="00EE6C7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6C7E">
        <w:rPr>
          <w:rFonts w:ascii="Times New Roman" w:hAnsi="Times New Roman"/>
          <w:b/>
          <w:sz w:val="24"/>
          <w:szCs w:val="24"/>
        </w:rPr>
        <w:t>Библиографический список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OLE_LINK53"/>
      <w:bookmarkStart w:id="4" w:name="OLE_LINK54"/>
      <w:r w:rsidRPr="00EE6C7E">
        <w:rPr>
          <w:rFonts w:ascii="Times New Roman" w:hAnsi="Times New Roman"/>
          <w:sz w:val="24"/>
          <w:szCs w:val="24"/>
          <w:lang w:eastAsia="ru-RU"/>
        </w:rPr>
        <w:t>А.С. 1135457 (СССР). Устройство для стимулирования прививок электрическим током. С.Ю. Дженеев, А.А. Лучинкин, А.Н. Сербаев. Опубл. в Б. И., 1985, № 3.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Басов А.М. и др. Стимуляция прививок яблони электрическим полем. Труды ЧИМЭСХ, Челябинск,1963, вып. 15.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Басов А.М. и др. Электрозерноочистительные машины (теория, конструкция, расчёт). М.: Машиностроение, 1968.</w:t>
      </w:r>
    </w:p>
    <w:p w:rsidR="00D16A99" w:rsidRPr="00EE6C7E" w:rsidRDefault="00D16A99" w:rsidP="00EE6C7E">
      <w:pPr>
        <w:numPr>
          <w:ilvl w:val="0"/>
          <w:numId w:val="16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Батыгин Н.Ф. Перспективы использования факторов воздействия в растиниеводстве / Н.Ф. Батыгин, С.М. Потапова  и др. - М.: 1978. – 56 с.</w:t>
      </w:r>
    </w:p>
    <w:p w:rsidR="00D16A99" w:rsidRPr="00EE6C7E" w:rsidRDefault="00D16A99" w:rsidP="00EE6C7E">
      <w:pPr>
        <w:numPr>
          <w:ilvl w:val="0"/>
          <w:numId w:val="16"/>
        </w:numPr>
        <w:tabs>
          <w:tab w:val="num" w:pos="720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Блонская А.П. Предпосевная обработка семян сельскохозяйственных культур в электрическом поле постоянного тока в сравнении с другими физическими методами воздействия / А.П. Блонская, В.А. Окулова  // Э.О.М.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EE6C7E">
        <w:rPr>
          <w:rFonts w:ascii="Times New Roman" w:hAnsi="Times New Roman"/>
          <w:sz w:val="24"/>
          <w:szCs w:val="24"/>
        </w:rPr>
        <w:t>1982</w:t>
      </w:r>
      <w:r>
        <w:rPr>
          <w:rFonts w:ascii="Times New Roman" w:hAnsi="Times New Roman"/>
          <w:sz w:val="24"/>
          <w:szCs w:val="24"/>
        </w:rPr>
        <w:t xml:space="preserve">. - </w:t>
      </w:r>
      <w:r w:rsidRPr="00EE6C7E">
        <w:rPr>
          <w:rFonts w:ascii="Times New Roman" w:hAnsi="Times New Roman"/>
          <w:sz w:val="24"/>
          <w:szCs w:val="24"/>
        </w:rPr>
        <w:t>№ 3.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Бовин А.А  // Электрическое поле и его значение для живых организмов // А.А. Бовин // </w:t>
      </w:r>
      <w:hyperlink r:id="rId16" w:history="1">
        <w:r w:rsidRPr="00EE6C7E">
          <w:rPr>
            <w:rFonts w:ascii="Times New Roman" w:hAnsi="Times New Roman"/>
            <w:sz w:val="24"/>
            <w:szCs w:val="24"/>
            <w:u w:val="single"/>
            <w:lang w:eastAsia="ru-RU"/>
          </w:rPr>
          <w:t>http://msk.edu.ua/ivk/-OLD-/Fizika/2_Semestr/Zan-56-T/El_pole_i_jivie_organizmi.htm</w:t>
        </w:r>
      </w:hyperlink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 xml:space="preserve">Буколова Т.П. Изучение влияния магнитных полей на рост растений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EE6C7E">
        <w:rPr>
          <w:rFonts w:ascii="Times New Roman" w:hAnsi="Times New Roman"/>
          <w:sz w:val="24"/>
          <w:szCs w:val="24"/>
        </w:rPr>
        <w:t>Т.П. Буколова, Л.А. Муравская.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6C7E">
        <w:rPr>
          <w:rFonts w:ascii="Times New Roman" w:hAnsi="Times New Roman"/>
          <w:sz w:val="24"/>
          <w:szCs w:val="24"/>
        </w:rPr>
        <w:t xml:space="preserve">г. Тула // </w:t>
      </w:r>
      <w:hyperlink r:id="rId17" w:history="1">
        <w:r w:rsidRPr="00EE6C7E">
          <w:rPr>
            <w:rFonts w:ascii="Times New Roman" w:hAnsi="Times New Roman"/>
            <w:sz w:val="24"/>
            <w:szCs w:val="24"/>
            <w:u w:val="single"/>
            <w:lang w:val="en-US"/>
          </w:rPr>
          <w:t>http</w:t>
        </w:r>
        <w:r w:rsidRPr="00EE6C7E">
          <w:rPr>
            <w:rFonts w:ascii="Times New Roman" w:hAnsi="Times New Roman"/>
            <w:sz w:val="24"/>
            <w:szCs w:val="24"/>
            <w:u w:val="single"/>
          </w:rPr>
          <w:t>://</w:t>
        </w:r>
        <w:r w:rsidRPr="00EE6C7E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Pr="00EE6C7E">
          <w:rPr>
            <w:rFonts w:ascii="Times New Roman" w:hAnsi="Times New Roman"/>
            <w:sz w:val="24"/>
            <w:szCs w:val="24"/>
            <w:u w:val="single"/>
          </w:rPr>
          <w:t>.</w:t>
        </w:r>
        <w:r w:rsidRPr="00EE6C7E">
          <w:rPr>
            <w:rFonts w:ascii="Times New Roman" w:hAnsi="Times New Roman"/>
            <w:sz w:val="24"/>
            <w:szCs w:val="24"/>
            <w:u w:val="single"/>
            <w:lang w:val="en-US"/>
          </w:rPr>
          <w:t>u</w:t>
        </w:r>
        <w:r w:rsidRPr="00EE6C7E">
          <w:rPr>
            <w:rFonts w:ascii="Times New Roman" w:hAnsi="Times New Roman"/>
            <w:sz w:val="24"/>
            <w:szCs w:val="24"/>
            <w:u w:val="single"/>
          </w:rPr>
          <w:t>-</w:t>
        </w:r>
        <w:r w:rsidRPr="00EE6C7E">
          <w:rPr>
            <w:rFonts w:ascii="Times New Roman" w:hAnsi="Times New Roman"/>
            <w:sz w:val="24"/>
            <w:szCs w:val="24"/>
            <w:u w:val="single"/>
            <w:lang w:val="en-US"/>
          </w:rPr>
          <w:t>center</w:t>
        </w:r>
        <w:r w:rsidRPr="00EE6C7E">
          <w:rPr>
            <w:rFonts w:ascii="Times New Roman" w:hAnsi="Times New Roman"/>
            <w:sz w:val="24"/>
            <w:szCs w:val="24"/>
            <w:u w:val="single"/>
          </w:rPr>
          <w:t>.</w:t>
        </w:r>
        <w:r w:rsidRPr="00EE6C7E">
          <w:rPr>
            <w:rFonts w:ascii="Times New Roman" w:hAnsi="Times New Roman"/>
            <w:sz w:val="24"/>
            <w:szCs w:val="24"/>
            <w:u w:val="single"/>
            <w:lang w:val="en-US"/>
          </w:rPr>
          <w:t>info</w:t>
        </w:r>
        <w:r w:rsidRPr="00EE6C7E">
          <w:rPr>
            <w:rFonts w:ascii="Times New Roman" w:hAnsi="Times New Roman"/>
            <w:sz w:val="24"/>
            <w:szCs w:val="24"/>
            <w:u w:val="single"/>
          </w:rPr>
          <w:t>/</w:t>
        </w:r>
        <w:r w:rsidRPr="00EE6C7E">
          <w:rPr>
            <w:rFonts w:ascii="Times New Roman" w:hAnsi="Times New Roman"/>
            <w:sz w:val="24"/>
            <w:szCs w:val="24"/>
            <w:u w:val="single"/>
            <w:lang w:val="en-US"/>
          </w:rPr>
          <w:t>libraryschoolboy</w:t>
        </w:r>
        <w:r w:rsidRPr="00EE6C7E">
          <w:rPr>
            <w:rFonts w:ascii="Times New Roman" w:hAnsi="Times New Roman"/>
            <w:sz w:val="24"/>
            <w:szCs w:val="24"/>
            <w:u w:val="single"/>
          </w:rPr>
          <w:t>/</w:t>
        </w:r>
        <w:r w:rsidRPr="00EE6C7E">
          <w:rPr>
            <w:rFonts w:ascii="Times New Roman" w:hAnsi="Times New Roman"/>
            <w:sz w:val="24"/>
            <w:szCs w:val="24"/>
            <w:u w:val="single"/>
            <w:lang w:val="en-US"/>
          </w:rPr>
          <w:t>researchbio</w:t>
        </w:r>
        <w:r w:rsidRPr="00EE6C7E">
          <w:rPr>
            <w:rFonts w:ascii="Times New Roman" w:hAnsi="Times New Roman"/>
            <w:sz w:val="24"/>
            <w:szCs w:val="24"/>
            <w:u w:val="single"/>
          </w:rPr>
          <w:t>/</w:t>
        </w:r>
        <w:r w:rsidRPr="00EE6C7E">
          <w:rPr>
            <w:rFonts w:ascii="Times New Roman" w:hAnsi="Times New Roman"/>
            <w:sz w:val="24"/>
            <w:szCs w:val="24"/>
            <w:u w:val="single"/>
            <w:lang w:val="en-US"/>
          </w:rPr>
          <w:t>rabota</w:t>
        </w:r>
        <w:r w:rsidRPr="00EE6C7E">
          <w:rPr>
            <w:rFonts w:ascii="Times New Roman" w:hAnsi="Times New Roman"/>
            <w:sz w:val="24"/>
            <w:szCs w:val="24"/>
            <w:u w:val="single"/>
          </w:rPr>
          <w:t>-07-168</w:t>
        </w:r>
      </w:hyperlink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 xml:space="preserve">Васильев А.А. Влияние предпосадочной обработки семенных клубней электромагнитным полем на урожайность картофеля </w:t>
      </w:r>
      <w:r>
        <w:rPr>
          <w:rFonts w:ascii="Times New Roman" w:hAnsi="Times New Roman"/>
          <w:sz w:val="24"/>
          <w:szCs w:val="24"/>
        </w:rPr>
        <w:t>/</w:t>
      </w:r>
      <w:r w:rsidRPr="00EE6C7E">
        <w:rPr>
          <w:rFonts w:ascii="Times New Roman" w:hAnsi="Times New Roman"/>
          <w:sz w:val="24"/>
          <w:szCs w:val="24"/>
        </w:rPr>
        <w:t xml:space="preserve"> А.А. Васильев, Н.Д. Полевик // </w:t>
      </w:r>
      <w:hyperlink r:id="rId18" w:history="1">
        <w:r w:rsidRPr="00EE6C7E">
          <w:rPr>
            <w:rFonts w:ascii="Times New Roman" w:hAnsi="Times New Roman"/>
            <w:sz w:val="24"/>
            <w:szCs w:val="24"/>
            <w:u w:val="single"/>
          </w:rPr>
          <w:t>http://research-journal.org/featured/agriculture/vliyanie-predposadochnoj-obrabotki-semennyx-klubnej-elektromagnitnym-polem-na-urozhajnost-kartofelya/</w:t>
        </w:r>
      </w:hyperlink>
    </w:p>
    <w:p w:rsidR="00D16A99" w:rsidRPr="00EE6C7E" w:rsidRDefault="00D16A99" w:rsidP="00EE6C7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Влияние магнитного поля на растения / </w:t>
      </w:r>
      <w:hyperlink r:id="rId19" w:history="1">
        <w:r w:rsidRPr="00EE6C7E">
          <w:rPr>
            <w:rFonts w:ascii="Times New Roman" w:hAnsi="Times New Roman"/>
            <w:sz w:val="24"/>
            <w:szCs w:val="24"/>
            <w:u w:val="single"/>
            <w:lang w:eastAsia="ru-RU"/>
          </w:rPr>
          <w:t>http://mirtajn.com/earth/803-vliyanie-magnitnogo-polya-na-rasteniya.html</w:t>
        </w:r>
      </w:hyperlink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ГОСТ Р 53025-2008 Посадочный материал винограда (саженцы) / Технические условия. – М.: Стандартинформ, 2009.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EE6C7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6C7E">
        <w:rPr>
          <w:rFonts w:ascii="Times New Roman" w:hAnsi="Times New Roman"/>
          <w:sz w:val="24"/>
          <w:szCs w:val="24"/>
        </w:rPr>
        <w:t>с.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Доспехов Б.А. Методика полевого опыта. – М.: Колос, 1974. – 319с.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Комаров И.А. О новых качественных показателях процесса укоренения черенков древесных растений. – В кн.: Новое в размножении садовых растений. – С. 285 – 290.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Кудряков А.Г</w:t>
      </w:r>
      <w:r>
        <w:rPr>
          <w:rFonts w:ascii="Times New Roman" w:hAnsi="Times New Roman"/>
          <w:sz w:val="24"/>
          <w:szCs w:val="24"/>
        </w:rPr>
        <w:t>.</w:t>
      </w:r>
      <w:r w:rsidRPr="00EE6C7E">
        <w:rPr>
          <w:rFonts w:ascii="Times New Roman" w:hAnsi="Times New Roman"/>
          <w:sz w:val="24"/>
          <w:szCs w:val="24"/>
        </w:rPr>
        <w:t xml:space="preserve"> Электростимуляция корнеобразования виноградных черенков</w:t>
      </w:r>
      <w:r>
        <w:rPr>
          <w:rFonts w:ascii="Times New Roman" w:hAnsi="Times New Roman"/>
          <w:sz w:val="24"/>
          <w:szCs w:val="24"/>
        </w:rPr>
        <w:t xml:space="preserve"> / А.Г. </w:t>
      </w:r>
      <w:r w:rsidRPr="00EE6C7E">
        <w:rPr>
          <w:rFonts w:ascii="Times New Roman" w:hAnsi="Times New Roman"/>
          <w:sz w:val="24"/>
          <w:szCs w:val="24"/>
        </w:rPr>
        <w:t xml:space="preserve">Кудряков, </w:t>
      </w:r>
      <w:r>
        <w:rPr>
          <w:rFonts w:ascii="Times New Roman" w:hAnsi="Times New Roman"/>
          <w:sz w:val="24"/>
          <w:szCs w:val="24"/>
        </w:rPr>
        <w:t xml:space="preserve">Г.П. </w:t>
      </w:r>
      <w:r w:rsidRPr="00EE6C7E">
        <w:rPr>
          <w:rFonts w:ascii="Times New Roman" w:hAnsi="Times New Roman"/>
          <w:sz w:val="24"/>
          <w:szCs w:val="24"/>
        </w:rPr>
        <w:t>Перекотий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6C7E">
        <w:rPr>
          <w:rFonts w:ascii="Times New Roman" w:hAnsi="Times New Roman"/>
          <w:sz w:val="24"/>
          <w:szCs w:val="24"/>
        </w:rPr>
        <w:t>// Новое в электротехнологии и электрооборудовании сельскохозяйственного производства. – (Тр./Куб. ГАУ; Вып. 354 (382). – Краснодар, 1996. – с.18 – 24.</w:t>
      </w:r>
    </w:p>
    <w:p w:rsidR="00D16A99" w:rsidRPr="00EE6C7E" w:rsidRDefault="00D16A99" w:rsidP="00EE6C7E">
      <w:pPr>
        <w:numPr>
          <w:ilvl w:val="0"/>
          <w:numId w:val="16"/>
        </w:numPr>
        <w:tabs>
          <w:tab w:val="num" w:pos="643"/>
        </w:tabs>
        <w:spacing w:before="12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Кудряков А.Г. Стимуляция корнеобразования черенков винограда электрическим полем</w:t>
      </w:r>
      <w:r>
        <w:rPr>
          <w:rFonts w:ascii="Times New Roman" w:hAnsi="Times New Roman"/>
          <w:sz w:val="24"/>
          <w:szCs w:val="24"/>
        </w:rPr>
        <w:t xml:space="preserve"> / А.Г. Кудряков</w:t>
      </w:r>
      <w:r w:rsidRPr="00EE6C7E">
        <w:rPr>
          <w:rFonts w:ascii="Times New Roman" w:hAnsi="Times New Roman"/>
          <w:sz w:val="24"/>
          <w:szCs w:val="24"/>
        </w:rPr>
        <w:t>: Авт. дис … канд. техн. наук.-Краснодар, 1999.-23с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>Кудряков А.Г. Применение электрического тока для повышения корнеобразовательной способности виноградных черенков</w:t>
      </w:r>
      <w:r>
        <w:rPr>
          <w:rFonts w:ascii="Times New Roman" w:hAnsi="Times New Roman"/>
          <w:sz w:val="24"/>
          <w:szCs w:val="24"/>
          <w:lang w:eastAsia="ru-RU"/>
        </w:rPr>
        <w:t xml:space="preserve"> / А.Г. 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Кудряков, </w:t>
      </w:r>
      <w:r>
        <w:rPr>
          <w:rFonts w:ascii="Times New Roman" w:hAnsi="Times New Roman"/>
          <w:sz w:val="24"/>
          <w:szCs w:val="24"/>
          <w:lang w:eastAsia="ru-RU"/>
        </w:rPr>
        <w:t xml:space="preserve">Г.П. 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Перекотий, </w:t>
      </w:r>
      <w:r>
        <w:rPr>
          <w:rFonts w:ascii="Times New Roman" w:hAnsi="Times New Roman"/>
          <w:sz w:val="24"/>
          <w:szCs w:val="24"/>
          <w:lang w:eastAsia="ru-RU"/>
        </w:rPr>
        <w:t xml:space="preserve">П.П. </w:t>
      </w:r>
      <w:r w:rsidRPr="00EE6C7E">
        <w:rPr>
          <w:rFonts w:ascii="Times New Roman" w:hAnsi="Times New Roman"/>
          <w:sz w:val="24"/>
          <w:szCs w:val="24"/>
          <w:lang w:eastAsia="ru-RU"/>
        </w:rPr>
        <w:t>Радчевский // Научн. тр. /Кубан.ГАУ.- 2002.-</w:t>
      </w:r>
      <w:r w:rsidRPr="00EE6C7E">
        <w:rPr>
          <w:rFonts w:ascii="Times New Roman" w:hAnsi="Times New Roman"/>
          <w:caps/>
          <w:sz w:val="24"/>
          <w:szCs w:val="24"/>
          <w:lang w:eastAsia="ru-RU"/>
        </w:rPr>
        <w:t>в</w:t>
      </w:r>
      <w:r w:rsidRPr="00EE6C7E">
        <w:rPr>
          <w:rFonts w:ascii="Times New Roman" w:hAnsi="Times New Roman"/>
          <w:sz w:val="24"/>
          <w:szCs w:val="24"/>
          <w:lang w:eastAsia="ru-RU"/>
        </w:rPr>
        <w:t>ып. 394 (422).- с. 137-141.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Кутис С.Д. // Применение электромагнитных полей в растенениеводстве // С.Д. Кутис // </w:t>
      </w:r>
      <w:hyperlink r:id="rId20" w:history="1">
        <w:r w:rsidRPr="00EE6C7E">
          <w:rPr>
            <w:rFonts w:ascii="Times New Roman" w:hAnsi="Times New Roman"/>
            <w:sz w:val="24"/>
            <w:szCs w:val="24"/>
            <w:lang w:eastAsia="ru-RU"/>
          </w:rPr>
          <w:t>http://newstandard-expert.ru</w:t>
        </w:r>
      </w:hyperlink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>Лутков</w:t>
      </w:r>
      <w:r>
        <w:rPr>
          <w:rFonts w:ascii="Times New Roman" w:hAnsi="Times New Roman"/>
          <w:sz w:val="24"/>
          <w:szCs w:val="24"/>
          <w:lang w:eastAsia="ru-RU"/>
        </w:rPr>
        <w:t>а И.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Н. Влияние токов высокого напряжения на укоренение черенков винограда </w:t>
      </w:r>
      <w:r>
        <w:rPr>
          <w:rFonts w:ascii="Times New Roman" w:hAnsi="Times New Roman"/>
          <w:sz w:val="24"/>
          <w:szCs w:val="24"/>
          <w:lang w:eastAsia="ru-RU"/>
        </w:rPr>
        <w:t xml:space="preserve">/ И.Н. </w:t>
      </w:r>
      <w:r w:rsidRPr="00EE6C7E">
        <w:rPr>
          <w:rFonts w:ascii="Times New Roman" w:hAnsi="Times New Roman"/>
          <w:sz w:val="24"/>
          <w:szCs w:val="24"/>
          <w:lang w:eastAsia="ru-RU"/>
        </w:rPr>
        <w:t>Лутков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П.М. 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Олешко, </w:t>
      </w:r>
      <w:r>
        <w:rPr>
          <w:rFonts w:ascii="Times New Roman" w:hAnsi="Times New Roman"/>
          <w:sz w:val="24"/>
          <w:szCs w:val="24"/>
          <w:lang w:eastAsia="ru-RU"/>
        </w:rPr>
        <w:t xml:space="preserve">Л.П. </w:t>
      </w:r>
      <w:r w:rsidRPr="00EE6C7E">
        <w:rPr>
          <w:rFonts w:ascii="Times New Roman" w:hAnsi="Times New Roman"/>
          <w:sz w:val="24"/>
          <w:szCs w:val="24"/>
          <w:lang w:eastAsia="ru-RU"/>
        </w:rPr>
        <w:t>Высенко // Виноделие и виноградарство СССР. – 1962. - №3. – 52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E6C7E">
        <w:rPr>
          <w:rFonts w:ascii="Times New Roman" w:hAnsi="Times New Roman"/>
          <w:sz w:val="24"/>
          <w:szCs w:val="24"/>
          <w:lang w:eastAsia="ru-RU"/>
        </w:rPr>
        <w:t>с.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>Лучинкин А.А. Влияние обработки виноградных прививок электрическим током на выход и качество привитых саженцев</w:t>
      </w:r>
      <w:r>
        <w:rPr>
          <w:rFonts w:ascii="Times New Roman" w:hAnsi="Times New Roman"/>
          <w:sz w:val="24"/>
          <w:szCs w:val="24"/>
          <w:lang w:eastAsia="ru-RU"/>
        </w:rPr>
        <w:t xml:space="preserve"> / А.А. Лучинкин</w:t>
      </w:r>
      <w:r w:rsidRPr="00EE6C7E">
        <w:rPr>
          <w:rFonts w:ascii="Times New Roman" w:hAnsi="Times New Roman"/>
          <w:sz w:val="24"/>
          <w:szCs w:val="24"/>
          <w:lang w:eastAsia="ru-RU"/>
        </w:rPr>
        <w:t>: Автореф. дис…. канд.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E6C7E">
        <w:rPr>
          <w:rFonts w:ascii="Times New Roman" w:hAnsi="Times New Roman"/>
          <w:sz w:val="24"/>
          <w:szCs w:val="24"/>
          <w:lang w:eastAsia="ru-RU"/>
        </w:rPr>
        <w:t>с-х-наук Ялта,1984.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E6C7E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E6C7E">
        <w:rPr>
          <w:rFonts w:ascii="Times New Roman" w:hAnsi="Times New Roman"/>
          <w:sz w:val="24"/>
          <w:szCs w:val="24"/>
          <w:lang w:eastAsia="ru-RU"/>
        </w:rPr>
        <w:t>21с.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Малтабар Л.М. Ризогенная активность черенков новых сортов при окоренении их на воде и в брикетах из гравилена </w:t>
      </w:r>
      <w:r>
        <w:rPr>
          <w:rFonts w:ascii="Times New Roman" w:hAnsi="Times New Roman"/>
          <w:sz w:val="24"/>
          <w:szCs w:val="24"/>
          <w:lang w:eastAsia="ru-RU"/>
        </w:rPr>
        <w:t xml:space="preserve">/ Л.М. 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Малтабар, </w:t>
      </w:r>
      <w:r>
        <w:rPr>
          <w:rFonts w:ascii="Times New Roman" w:hAnsi="Times New Roman"/>
          <w:sz w:val="24"/>
          <w:szCs w:val="24"/>
          <w:lang w:eastAsia="ru-RU"/>
        </w:rPr>
        <w:t xml:space="preserve">П.П. 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Радчевский, </w:t>
      </w:r>
      <w:r>
        <w:rPr>
          <w:rFonts w:ascii="Times New Roman" w:hAnsi="Times New Roman"/>
          <w:sz w:val="24"/>
          <w:szCs w:val="24"/>
          <w:lang w:eastAsia="ru-RU"/>
        </w:rPr>
        <w:t xml:space="preserve">Н.Д. 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Магомедов // Виноград и вино России. – 1996. – №5. – С.  11-16. 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>Мержаниан А.С. Виноградарство / А.С. Мержаниан - М: Колос, 1967. – 464 с.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Микроволны на службе аграриев </w:t>
      </w:r>
      <w:hyperlink r:id="rId21">
        <w:r w:rsidRPr="00EE6C7E">
          <w:rPr>
            <w:rFonts w:ascii="Times New Roman" w:hAnsi="Times New Roman"/>
            <w:sz w:val="24"/>
            <w:szCs w:val="24"/>
            <w:lang w:eastAsia="ru-RU"/>
          </w:rPr>
          <w:t>http://usvch.ru/content/view/198/8</w:t>
        </w:r>
      </w:hyperlink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Новицкий Ю.И. Магнитобиология растений </w:t>
      </w:r>
      <w:r>
        <w:rPr>
          <w:rFonts w:ascii="Times New Roman" w:hAnsi="Times New Roman"/>
          <w:sz w:val="24"/>
          <w:szCs w:val="24"/>
          <w:lang w:eastAsia="ru-RU"/>
        </w:rPr>
        <w:t>/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 Ю.И Новицкий Добровольский М.В. // </w:t>
      </w:r>
      <w:hyperlink r:id="rId22" w:history="1">
        <w:r w:rsidRPr="00EE6C7E">
          <w:rPr>
            <w:rFonts w:ascii="Times New Roman" w:hAnsi="Times New Roman"/>
            <w:sz w:val="24"/>
            <w:szCs w:val="24"/>
            <w:lang w:eastAsia="ru-RU"/>
          </w:rPr>
          <w:t>http://www.ippras.ru/structure/gm/</w:t>
        </w:r>
      </w:hyperlink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>Патент 2211558 РФ, А 01 G 7/04,17/00. Способ стимулирования корнеобразования черенков древесных растений / Перекатий Г.П., Кудряков А.Г., Радчевский П.П. - Опубл. 10.09.2003, Бюл. № 25.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>Пилюгина В.В., Регуш А.В. Электромагнитная стимуляция в растениеводстве. М.: ВНИИТЭИСХ,1980.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Плаксина Т.В. Влияние ультразвукового облучения на корнеобразование земляники и вишни / Т.В. Плаксина, О.В. Мочалова, А.Л. Верещагин, В.Н. Хмелев // Ползуновский вестник, №4-1, 2011, - С. 250-254. </w:t>
      </w:r>
    </w:p>
    <w:p w:rsidR="00D16A99" w:rsidRPr="00EE6C7E" w:rsidRDefault="00D16A99" w:rsidP="00EE6C7E">
      <w:pPr>
        <w:pStyle w:val="BodyTextIndent"/>
        <w:numPr>
          <w:ilvl w:val="0"/>
          <w:numId w:val="16"/>
        </w:numPr>
        <w:spacing w:line="240" w:lineRule="auto"/>
        <w:ind w:right="0"/>
        <w:rPr>
          <w:sz w:val="24"/>
          <w:szCs w:val="24"/>
        </w:rPr>
      </w:pPr>
      <w:r w:rsidRPr="00EE6C7E">
        <w:rPr>
          <w:sz w:val="24"/>
          <w:szCs w:val="24"/>
        </w:rPr>
        <w:t>Радчевский П.П. Влияние обработки виноградных черенков электромагнитным полем на их регенерационные свойства / П.П. Радчевский, В.А. Черкунов, Р. Якусик, Д.Б. Мацко, М.Финько // Критерии и принципы формирования высокопродуктивного виноградарства: материалы Междунар. науч.-практ..конф., посвящ. памятной дате-85-летию со дня образования Анапской зональной опытной станции виноградарства и виноделия.- Анапа, 2007. - с. 121-128.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Радчевский П.П. Новации виноградарства России. 25. Применение биологически активного вещества «Радикс» при предпосадочной обработке черенков и настольных прививок на выход и качество корнесобственных, привитых и вегетирующих саженцев винограда / П.П. Радчевский, Н.Б. Мороз, Л.П. Трошин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2010. – №06(60). С. 379 – 394. – Шифр Информрегистра: 0421000012\0145. – Режим доступа: http://ej.kubagro.ru/2010/06/pdf/27.pdf, 1 у.п.л.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 xml:space="preserve"> Радчевский П.П. Корнеобразовательная способнось 5-ти глазковых черенков устойчивых сортов винограда при их укоренении на воде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№01(095). С. 310 – 326. – IDA [article ID]: 0951401016. – Режим доступа: http://ej.kubagro.ru/2014/01/pdf/16.pdf, 1,062 у.п.л.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Радчевский П.П. Особенности проявления корреляционных зависимостей между степенью вызревания черенков устойчивых сортов винограда и их корнеобразовательной способностью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№01(095). С. 327 – 346. – IDA [article ID]: 0951401017. – Режим доступа: http://ej.kubagro.ru/2014/01/pdf/17.pdf, 1,25 у.п.л., импакт-фактор РИНЦ=0,346.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Радчевский П.П. Регенерационные свойства виноградных черенков под влиянием обработки их гетероауксином в зависимости от сортовых особенностей /  П.П. Радчевский, Л.П. Трошин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№03(077). С. 1194 – 1223. – Шифр Информрегистра: 0421200012\0238, IDA [article ID]: 0771203099. – Режим доступа: http://ej.kubagro.ru/2012/03/pdf/99.pdf, 1,875 у.п.л., импакт-фактор РИНЦ=0,346.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 xml:space="preserve"> Радчевский П.П. Влияние сортовых особенностей на регенерационные свойства черенков подвойных сортов винограда при их укоренении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№07(091). С. 1588 – 1619. – IDA [article ID]: 0911307106. – Режим доступа: http://ej.kubagro.ru/2013/07/pdf/106.pdf, 2 у.п.л., импакт-фактор РИНЦ=0,346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>Радчевский П.П. Влияние импульсного электромагнитного поля на регенерационную активность черенков винограда сорта Молдова /  П.П. Радчевский, В.Ф. Васильченко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№01(095). С. 347 – 372. – IDA [article ID]: 0951401018. – Режим доступа: http://ej.kubagro.ru/2014/01/pdf/18.pdf, 1,625 у.п.л.</w:t>
      </w:r>
    </w:p>
    <w:p w:rsidR="00D16A99" w:rsidRPr="00EE6C7E" w:rsidRDefault="00D16A99" w:rsidP="00EE6C7E">
      <w:pPr>
        <w:numPr>
          <w:ilvl w:val="0"/>
          <w:numId w:val="16"/>
        </w:numPr>
        <w:tabs>
          <w:tab w:val="num" w:pos="64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Рыбников А.П. Новые энергосберегающие экологически чистые технологии возделывания сельскохозяйственных культур с применением электромагнитной обработки семян и растений, 2008 // </w:t>
      </w:r>
      <w:hyperlink r:id="rId23" w:history="1">
        <w:r w:rsidRPr="00EE6C7E">
          <w:rPr>
            <w:rFonts w:ascii="Times New Roman" w:hAnsi="Times New Roman"/>
            <w:sz w:val="24"/>
            <w:szCs w:val="24"/>
            <w:lang w:eastAsia="ru-RU"/>
          </w:rPr>
          <w:t>http://www.i-mash.ru/materials/production/344-tekhn_vozd_selsk_kultur_jelektromagn_obr.html</w:t>
        </w:r>
      </w:hyperlink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Сазыкин. В.Г Влияние 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лектрофизического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оздействия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ельскохозяйственные 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астительные 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бъекты </w:t>
      </w:r>
      <w:r>
        <w:rPr>
          <w:rFonts w:ascii="Times New Roman" w:hAnsi="Times New Roman"/>
          <w:sz w:val="24"/>
          <w:szCs w:val="24"/>
          <w:lang w:eastAsia="ru-RU"/>
        </w:rPr>
        <w:t xml:space="preserve">/ </w:t>
      </w:r>
      <w:r w:rsidRPr="00EE6C7E">
        <w:rPr>
          <w:rFonts w:ascii="Times New Roman" w:hAnsi="Times New Roman"/>
          <w:sz w:val="24"/>
          <w:szCs w:val="24"/>
          <w:lang w:eastAsia="ru-RU"/>
        </w:rPr>
        <w:t>В.Г.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E6C7E">
        <w:rPr>
          <w:rFonts w:ascii="Times New Roman" w:hAnsi="Times New Roman"/>
          <w:sz w:val="24"/>
          <w:szCs w:val="24"/>
          <w:lang w:eastAsia="ru-RU"/>
        </w:rPr>
        <w:t>Сазыкин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EE6C7E">
        <w:rPr>
          <w:rFonts w:ascii="Times New Roman" w:hAnsi="Times New Roman"/>
          <w:sz w:val="24"/>
          <w:szCs w:val="24"/>
          <w:lang w:eastAsia="ru-RU"/>
        </w:rPr>
        <w:t>А.Г.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E6C7E">
        <w:rPr>
          <w:rFonts w:ascii="Times New Roman" w:hAnsi="Times New Roman"/>
          <w:sz w:val="24"/>
          <w:szCs w:val="24"/>
          <w:lang w:eastAsia="ru-RU"/>
        </w:rPr>
        <w:t>Кудряков</w:t>
      </w:r>
      <w:r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24">
        <w:r w:rsidRPr="00EE6C7E">
          <w:rPr>
            <w:rFonts w:ascii="Times New Roman" w:hAnsi="Times New Roman"/>
            <w:sz w:val="24"/>
            <w:szCs w:val="24"/>
            <w:lang w:eastAsia="ru-RU"/>
          </w:rPr>
          <w:t>http:</w:t>
        </w:r>
        <w:r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EE6C7E">
          <w:rPr>
            <w:rFonts w:ascii="Times New Roman" w:hAnsi="Times New Roman"/>
            <w:sz w:val="24"/>
            <w:szCs w:val="24"/>
            <w:lang w:eastAsia="ru-RU"/>
          </w:rPr>
          <w:t>//www.rusnauka.com</w:t>
        </w:r>
        <w:r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EE6C7E">
          <w:rPr>
            <w:rFonts w:ascii="Times New Roman" w:hAnsi="Times New Roman"/>
            <w:sz w:val="24"/>
            <w:szCs w:val="24"/>
            <w:lang w:eastAsia="ru-RU"/>
          </w:rPr>
          <w:t>/</w:t>
        </w:r>
        <w:r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EE6C7E">
          <w:rPr>
            <w:rFonts w:ascii="Times New Roman" w:hAnsi="Times New Roman"/>
            <w:sz w:val="24"/>
            <w:szCs w:val="24"/>
            <w:lang w:eastAsia="ru-RU"/>
          </w:rPr>
          <w:t>7_PNI_2015/Agricole/5_188433.doc.htm</w:t>
        </w:r>
      </w:hyperlink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Свет и фотосинтез// </w:t>
      </w:r>
      <w:hyperlink r:id="rId25" w:history="1">
        <w:r w:rsidRPr="00EE6C7E">
          <w:rPr>
            <w:rFonts w:ascii="Times New Roman" w:hAnsi="Times New Roman"/>
            <w:sz w:val="24"/>
            <w:szCs w:val="24"/>
            <w:lang w:eastAsia="ru-RU"/>
          </w:rPr>
          <w:t>http://grow.kalarupa.com/tag/infra-red/</w:t>
        </w:r>
      </w:hyperlink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E6C7E">
        <w:rPr>
          <w:rFonts w:ascii="Times New Roman" w:hAnsi="Times New Roman"/>
          <w:sz w:val="24"/>
          <w:szCs w:val="24"/>
          <w:lang w:eastAsia="ru-RU"/>
        </w:rPr>
        <w:t xml:space="preserve">Тихвинский И.Н. Влияние электрического тока на процессы регенерации черенков винограда </w:t>
      </w:r>
      <w:r>
        <w:rPr>
          <w:rFonts w:ascii="Times New Roman" w:hAnsi="Times New Roman"/>
          <w:sz w:val="24"/>
          <w:szCs w:val="24"/>
          <w:lang w:eastAsia="ru-RU"/>
        </w:rPr>
        <w:t xml:space="preserve">/ И.Н. </w:t>
      </w:r>
      <w:r w:rsidRPr="00EE6C7E">
        <w:rPr>
          <w:rFonts w:ascii="Times New Roman" w:hAnsi="Times New Roman"/>
          <w:sz w:val="24"/>
          <w:szCs w:val="24"/>
          <w:lang w:eastAsia="ru-RU"/>
        </w:rPr>
        <w:t>Тихвинский</w:t>
      </w:r>
      <w:r>
        <w:rPr>
          <w:rFonts w:ascii="Times New Roman" w:hAnsi="Times New Roman"/>
          <w:sz w:val="24"/>
          <w:szCs w:val="24"/>
          <w:lang w:eastAsia="ru-RU"/>
        </w:rPr>
        <w:t xml:space="preserve">, Ф.В. 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Кайсын, </w:t>
      </w:r>
      <w:r>
        <w:rPr>
          <w:rFonts w:ascii="Times New Roman" w:hAnsi="Times New Roman"/>
          <w:sz w:val="24"/>
          <w:szCs w:val="24"/>
          <w:lang w:eastAsia="ru-RU"/>
        </w:rPr>
        <w:t xml:space="preserve">Л.С. </w:t>
      </w:r>
      <w:r w:rsidRPr="00EE6C7E">
        <w:rPr>
          <w:rFonts w:ascii="Times New Roman" w:hAnsi="Times New Roman"/>
          <w:sz w:val="24"/>
          <w:szCs w:val="24"/>
          <w:lang w:eastAsia="ru-RU"/>
        </w:rPr>
        <w:t>Ланда // Садоводство, виноградарство  и виноделие Молдавии</w:t>
      </w:r>
      <w:r>
        <w:rPr>
          <w:rFonts w:ascii="Times New Roman" w:hAnsi="Times New Roman"/>
          <w:sz w:val="24"/>
          <w:szCs w:val="24"/>
          <w:lang w:eastAsia="ru-RU"/>
        </w:rPr>
        <w:t>. –</w:t>
      </w:r>
      <w:r w:rsidRPr="00EE6C7E">
        <w:rPr>
          <w:rFonts w:ascii="Times New Roman" w:hAnsi="Times New Roman"/>
          <w:sz w:val="24"/>
          <w:szCs w:val="24"/>
          <w:lang w:eastAsia="ru-RU"/>
        </w:rPr>
        <w:t xml:space="preserve"> 1975</w:t>
      </w:r>
      <w:r>
        <w:rPr>
          <w:rFonts w:ascii="Times New Roman" w:hAnsi="Times New Roman"/>
          <w:sz w:val="24"/>
          <w:szCs w:val="24"/>
          <w:lang w:eastAsia="ru-RU"/>
        </w:rPr>
        <w:t xml:space="preserve">. - </w:t>
      </w:r>
      <w:r w:rsidRPr="00EE6C7E">
        <w:rPr>
          <w:rFonts w:ascii="Times New Roman" w:hAnsi="Times New Roman"/>
          <w:sz w:val="24"/>
          <w:szCs w:val="24"/>
          <w:lang w:eastAsia="ru-RU"/>
        </w:rPr>
        <w:t>№ 3</w:t>
      </w:r>
      <w:r>
        <w:rPr>
          <w:rFonts w:ascii="Times New Roman" w:hAnsi="Times New Roman"/>
          <w:sz w:val="24"/>
          <w:szCs w:val="24"/>
          <w:lang w:eastAsia="ru-RU"/>
        </w:rPr>
        <w:t>. – С. 39-40.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Трошин Л.П. Виноград: иллюстрированный каталог. Районированные, перспективные, тиражные сорта / Л.П. Трошин, П.П. Радчевский. – Ростов н/Д: Феникс, 2010. – 271 с.: ил. – (Мир садовода).</w:t>
      </w:r>
    </w:p>
    <w:p w:rsidR="00D16A99" w:rsidRPr="00EE6C7E" w:rsidRDefault="00D16A99" w:rsidP="00EE6C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7E">
        <w:rPr>
          <w:rFonts w:ascii="Times New Roman" w:hAnsi="Times New Roman"/>
          <w:sz w:val="24"/>
          <w:szCs w:val="24"/>
        </w:rPr>
        <w:t>Чайлахян М.Х. Регуляторы роста у виноградной лозы и плодовых культур</w:t>
      </w:r>
      <w:r>
        <w:rPr>
          <w:rFonts w:ascii="Times New Roman" w:hAnsi="Times New Roman"/>
          <w:sz w:val="24"/>
          <w:szCs w:val="24"/>
        </w:rPr>
        <w:t xml:space="preserve"> / М.Х. </w:t>
      </w:r>
      <w:r w:rsidRPr="00EE6C7E">
        <w:rPr>
          <w:rFonts w:ascii="Times New Roman" w:hAnsi="Times New Roman"/>
          <w:sz w:val="24"/>
          <w:szCs w:val="24"/>
        </w:rPr>
        <w:t xml:space="preserve">Чайлахян, </w:t>
      </w:r>
      <w:r>
        <w:rPr>
          <w:rFonts w:ascii="Times New Roman" w:hAnsi="Times New Roman"/>
          <w:sz w:val="24"/>
          <w:szCs w:val="24"/>
        </w:rPr>
        <w:t xml:space="preserve">М.М. </w:t>
      </w:r>
      <w:r w:rsidRPr="00EE6C7E">
        <w:rPr>
          <w:rFonts w:ascii="Times New Roman" w:hAnsi="Times New Roman"/>
          <w:sz w:val="24"/>
          <w:szCs w:val="24"/>
        </w:rPr>
        <w:t xml:space="preserve">Саркисова. – Ереван: Изд-во АН Арм. ССР, 1980. </w:t>
      </w:r>
      <w:r>
        <w:rPr>
          <w:rFonts w:ascii="Times New Roman" w:hAnsi="Times New Roman"/>
          <w:sz w:val="24"/>
          <w:szCs w:val="24"/>
        </w:rPr>
        <w:t>– 187 с.</w:t>
      </w:r>
    </w:p>
    <w:bookmarkEnd w:id="3"/>
    <w:bookmarkEnd w:id="4"/>
    <w:p w:rsidR="00D16A99" w:rsidRPr="00EE6C7E" w:rsidRDefault="00D16A99" w:rsidP="00EE6C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16A99" w:rsidRPr="00EE6C7E" w:rsidRDefault="00D16A99" w:rsidP="00EE6C7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562009" w:rsidRDefault="00D16A99" w:rsidP="00EE6C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b/>
          <w:sz w:val="24"/>
          <w:szCs w:val="24"/>
          <w:lang w:val="en-US" w:eastAsia="ru-RU"/>
        </w:rPr>
        <w:t>References</w:t>
      </w:r>
    </w:p>
    <w:p w:rsidR="00D16A99" w:rsidRPr="00562009" w:rsidRDefault="00D16A99" w:rsidP="00EE6C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A.S. 1135457 (SSSR). Ustrojstvo dlja stimulirovanija privivok jelektricheskim tokom. S.Ju. Dzheneev, A.A. Luchinkin, A.N. Serbaev. Opubl. v B. I., 1985, № 3.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Basov A.M. i dr. Stimuljacija privivok jabloni jelektricheskim polem. Trudy ChIMJeSH, Cheljabinsk,1963, vyp. 15.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Basov A.M. i dr. Jelektrozernoochistitel'nye mashiny (teorija, konstrukcija, raschjot). M.: Mashinostroenie, 1968.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Batygin N.F. Perspektivy ispol'zovanija faktorov vozdejstvija v rastinievodstve / N.F. Batygin, S.M. Potapova  i dr. - M.: 1978. – 56 s.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Blonskaja A.P. Predposevnaja obrabotka semjan sel'skohozjajstvennyh kul'tur v jelektricheskom pole postojannogo toka v sravnenii s drugimi fizicheskimi metodami vozdejstvija / A.P. Blonskaja, V.A. Okulova  // Je.O.M. – 1982. - № 3.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6.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Bovin A.A  // Jelektricheskoe pole i ego znachenie dlja zhivyh organizmov // A.A. Bovin // http://msk.edu.ua/ivk/-OLD-/Fizika/2_Semestr/Zan-56-T/El_pole_i_jivie_organizmi.htm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7.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Bukolova T.P. Izuchenie vlijanija magnitnyh polej na rost rastenij / T.P. Bukolova, L.A. Muravskaja. g. Tula // http://www.u-center.info/libraryschoolboy/researchbio/rabota-07-168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8.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Vasil'ev A.A. Vlijanie predposadochnoj obrabotki semennyh klubnej jelektromagnitnym polem na urozhajnost' kartofelja / A.A. Vasil'ev, N.D. Polevik // http://research-journal.org/featured/agriculture/vliyanie-predposadochnoj-obrabotki-semennyx-klubnej-elektromagnitnym-polem-na-urozhajnost-kartofelya/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9.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Vlijanie magnitnogo polja na rastenija / http://mirtajn.com/earth/803-vliyanie-magnitnogo-polya-na-rasteniya.html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10.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GOST R 53025-2008 Posadochnyj material vinograda (sazhency) / Tehnicheskie uslovija. – M.: Standartinform, 2009. – 5 s.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11.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Dospehov B.A. Metodika polevogo opyta. – M.: Kolos, 1974. – 319s.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12.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Komarov I.A. O novyh kachestvennyh pokazateljah processa ukorenenija cherenkov drevesnyh rastenij. – V kn.: Novoe v razmnozhenii sadovyh rastenij. – S. 285 – 290.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13.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Kudrjakov A.G. Jelektrostimuljacija korneobrazovanija vinogradnyh cherenkov / A.G. Kudrjakov, G.P. Perekotij // Novoe v jelektrotehnologii i jelektrooborudovanii sel'skohozjajstvennogo proizvodstva. – (Tr./Kub. GAU; Vyp. 354 (382). – Krasnodar, 1996. – s.18 – 24.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14.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Kudrjakov A.G. Stimuljacija korneobrazovanija cherenkov vinograda jelektricheskim polem / A.G. Kudrjakov: Avt. dis … kand. tehn. nauk.-Krasnodar, 1999.-23s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15.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Kudrjakov A.G. Primenenie jelektricheskogo toka dlja povyshenija korneobrazovatel'noj sposobnosti vinogradnyh cherenkov / A.G. Kudrjakov, G.P. Perekotij, P.P. Radchevskij // Nauchn. tr. /Kuban.GAU.- 2002.-Vyp. 394 (422).- s. 137-141.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16.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Kutis S.D. // Primenenie jelektromagnitnyh polej v rastenenievodstve // S.D. Kutis // http://newstandard-expert.ru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17.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Lutkova I.N. Vlijanie tokov vysokogo naprjazhenija na ukorenenie cherenkov vinograda / I.N. Lutkova, P.M. Oleshko, L.P. Vysenko // Vinodelie i vinogradarstvo SSSR. – 1962. - №3. – 52 s.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18.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Luchinkin A.A. Vlijanie obrabotki vinogradnyh privivok jelektricheskim tokom na vyhod i kachestvo privityh sazhencev / A.A. Luchinkin: Avtoref. dis…. kand. s-h-nauk Jalta,1984. - 21s.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19.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 xml:space="preserve">Maltabar L.M. Rizogennaja aktivnost' cherenkov novyh sortov pri okorenenii ih na vode i v briketah iz gravilena / L.M. Maltabar, P.P. Radchevskij, N.D. Magomedov // Vinograd i vino Rossii. – 1996. – №5. – S.  11-16. 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20.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Merzhanian A.S. Vinogradarstvo / A.S. Merzhanian - M: Kolos, 1967. – 464 s.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21.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Mikrovolny na sluzhbe agrariev http://usvch.ru/content/view/198/8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22.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Novickij Ju.I. Magnitobiologija rastenij / Ju.I Novickij Dobrovol'skij M.V. // http://www.ippras.ru/structure/gm/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23.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Patent 2211558 RF, A 01 G 7/04,17/00. Sposob stimulirovanija korneobrazovanija cherenkov drevesnyh rastenij / Perekatij G.P., Kudrjakov A.G., Radchevskij P.P. - Opubl. 10.09.2003, Bjul. № 25.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24.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Piljugina V.V., Regush A.V. Jelektromagnitnaja stimuljacija v rastenievodstve. M.: VNIITJeISH,1980.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25.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 xml:space="preserve">Plaksina T.V. Vlijanie ul'trazvukovogo obluchenija na korneobrazovanie zemljaniki i vishni / T.V. Plaksina, O.V. Mochalova, A.L. Vereshhagin, V.N. Hmelev // Polzunovskij vestnik, №4-1, 2011, - S. 250-254. 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26.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Radchevskij P.P. Vlijanie obrabotki vinogradnyh cherenkov jelektromagnitnym polem na ih regeneracionnye svojstva / P.P. Radchevskij, V.A. Cherkunov, R. Jakusik, D.B. Macko, M.Fin'ko // Kriterii i principy formirovanija vysokoproduktivnogo vinogradarstva: materialy Mezhdunar. nauch.-prakt..konf., posvjashh. pamjatnoj date-85-letiju so dnja obrazovanija Anapskoj zonal'noj opytnoj stancii vinogradarstva i vinodelija.- Anapa, 2007. - s. 121-128.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27.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Radchevskij P.P. Novacii vinogradarstva Rossii. 25. Primenenie biologicheski aktivnogo veshhestva «Radiks» pri predposadochnoj obrabotke cherenkov i nastol'nyh privivok na vyhod i kachestvo kornesobstvennyh, privityh i vegetirujushhih sazhencev vinograda / P.P. Radchevskij, N.B. Moroz, L.P. Troshin // Politematicheskij setevoj jelektronnyj nauchnyj zhurnal Kubanskogo gosudarstvennogo agrarnogo universiteta (Nauchnyj zhurnal KubGAU) [Jelektronnyj resurs]. – Krasnodar: KubGAU, 2010. – №06(60). S. 379 – 394. – Shifr Informregistra: 0421000012\0145. – Rezhim dostupa: http://ej.kubagro.ru/2010/06/pdf/27.pdf, 1 u.p.l.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28.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 xml:space="preserve"> Radchevskij P.P. Korneobrazovatel'naja sposobnos' 5-ti glazkovyh cherenkov ustojchivyh sortov vinograda pri ih ukorenenii na vode / P.P. Radchevskij // Politematicheskij setevoj jelektronnyj nauchnyj zhurnal Kubanskogo gosudarstvennogo agrarnogo universiteta (Nauchnyj zhurnal KubGAU) [Jelektronnyj resurs]. – Krasnodar: KubGAU, 2014. – №01(095). S. 310 – 326. – IDA [article ID]: 0951401016. – Rezhim dostupa: http://ej.kubagro.ru/2014/01/pdf/16.pdf, 1,062 u.p.l.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29.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Radchevskij P.P. Osobennosti projavlenija korreljacionnyh zavisimostej mezhdu stepen'ju vyzrevanija cherenkov ustojchivyh sortov vinograda i ih korneobrazovatel'noj sposobnost'ju / P.P. Radchevskij // Politematicheskij setevoj jelektronnyj nauchnyj zhurnal Kubanskogo gosudarstvennogo agrarnogo universiteta (Nauchnyj zhurnal KubGAU) [Jelektronnyj resurs]. – Krasnodar: KubGAU, 2014. – №01(095). S. 327 – 346. – IDA [article ID]: 0951401017. – Rezhim dostupa: http://ej.kubagro.ru/2014/01/pdf/17.pdf, 1,25 u.p.l., impakt-faktor RINC=0,346.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30.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Radchevskij P.P. Regeneracionnye svojstva vinogradnyh cherenkov pod vlijaniem obrabotki ih geteroauksinom v zavisimosti ot sortovyh osobennostej /  P.P. Radchevskij, L.P. Troshin // Politematicheskij setevoj jelektronnyj nauchnyj zhurnal Kubanskogo gosudarstvennogo agrarnogo universiteta (Nauchnyj zhurnal KubGAU) [Jelektronnyj resurs]. – Krasnodar: KubGAU, 2012. – №03(077). S. 1194 – 1223. – Shifr Informregistra: 0421200012\0238, IDA [article ID]: 0771203099. – Rezhim dostupa: http://ej.kubagro.ru/2012/03/pdf/99.pdf, 1,875 u.p.l., impakt-faktor RINC=0,346.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31.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 xml:space="preserve"> Radchevskij P.P. Vlijanie sortovyh osobennostej na regeneracionnye svojstva cherenkov podvojnyh sortov vinograda pri ih ukorenenii / P.P. Radchevskij // Politematicheskij setevoj jelektronnyj nauchnyj zhurnal Kubanskogo gosudarstvennogo agrarnogo universiteta (Nauchnyj zhurnal KubGAU) [Jelektronnyj resurs]. – Krasnodar: KubGAU, 2013. – №07(091). S. 1588 – 1619. – IDA [article ID]: 0911307106. – Rezhim dostupa: http://ej.kubagro.ru/2013/07/pdf/106.pdf, 2 u.p.l., impakt-faktor RINC=0,346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32.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Radchevskij P.P. Vlijanie impul'snogo jelektromagnitnogo polja na regeneracionnuju aktivnost' cherenkov vinograda sorta Moldova /  P.P. Radchevskij, V.F. Vasil'chenko // Politematicheskij setevoj jelektronnyj nauchnyj zhurnal Kubanskogo gosudarstvennogo agrarnogo universiteta (Nauchnyj zhurnal KubGAU) [Jelektronnyj resurs]. – Krasnodar: KubGAU, 2014. – №01(095). S. 347 – 372. – IDA [article ID]: 0951401018. – Rezhim dostupa: http://ej.kubagro.ru/2014/01/pdf/18.pdf, 1,625 u.p.l.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33.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Rybnikov A.P. Novye jenergosberegajushhie jekologicheski chistye tehnologii vozdelyvanija sel'skohozjajstvennyh kul'tur s primeneniem jelektromagnitnoj obrabotki semjan i rastenij, 2008 // http://www.i-mash.ru/materials/production/344-tekhn_vozd_selsk_kultur_jelektromagn_obr.html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34.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Sazykin. V.G Vlijanie jelektrofizicheskogo vozdejstvija na sel'skohozjajstvennye rastitel'nye  ob#ekty / V.G. Sazykin, A.G. Kudrjakov: http: //www.rusnauka.com / 7_PNI_2015/Agricole/5_188433.doc.htm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35.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Svet i fotosintez// http://grow.kalarupa.com/tag/infra-red/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36.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Tihvinskij I.N. Vlijanie jelektricheskogo toka na processy regeneracii cherenkov vinograda / I.N. Tihvinskij, F.V. Kajsyn, L.S. Landa // Sadovodstvo, vinogradarstvo  i vinodelie Moldavii. – 1975. - № 3. – S. 39-40.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37.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Troshin L.P. Vinograd: illjustrirovannyj katalog. Rajonirovannye, perspektivnye, tirazhnye sorta / L.P. Troshin, P.P. Radchevskij. – Rostov n/D: Feniks, 2010. – 271 s.: il. – (Mir sadovoda).</w:t>
      </w:r>
    </w:p>
    <w:p w:rsidR="00D16A99" w:rsidRPr="00562009" w:rsidRDefault="00D16A99" w:rsidP="005620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62009">
        <w:rPr>
          <w:rFonts w:ascii="Times New Roman" w:hAnsi="Times New Roman"/>
          <w:sz w:val="24"/>
          <w:szCs w:val="24"/>
          <w:lang w:val="en-US" w:eastAsia="ru-RU"/>
        </w:rPr>
        <w:t>38.</w:t>
      </w:r>
      <w:r w:rsidRPr="00562009">
        <w:rPr>
          <w:rFonts w:ascii="Times New Roman" w:hAnsi="Times New Roman"/>
          <w:sz w:val="24"/>
          <w:szCs w:val="24"/>
          <w:lang w:val="en-US" w:eastAsia="ru-RU"/>
        </w:rPr>
        <w:tab/>
        <w:t>Chajlahjan M.H. Reguljatory rosta u vinogradnoj lozy i plodovyh kul'tur / M.H. Chajlahjan, M.M. Sarkisova. – Erevan: Izd-vo AN Arm. SSR, 1980. – 187 s.</w:t>
      </w:r>
    </w:p>
    <w:p w:rsidR="00D16A99" w:rsidRPr="00EE6C7E" w:rsidRDefault="00D16A99" w:rsidP="00EE6C7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EE6C7E" w:rsidRDefault="00D16A99" w:rsidP="00EE6C7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EE6C7E" w:rsidRDefault="00D16A99" w:rsidP="00A57F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EE6C7E" w:rsidRDefault="00D16A99" w:rsidP="00A57F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EE6C7E" w:rsidRDefault="00D16A99" w:rsidP="00A57F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EE6C7E" w:rsidRDefault="00D16A99" w:rsidP="00A57F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EE6C7E" w:rsidRDefault="00D16A99" w:rsidP="00A57F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EE6C7E" w:rsidRDefault="00D16A99" w:rsidP="00A57F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EE6C7E" w:rsidRDefault="00D16A99" w:rsidP="00A57F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16A99" w:rsidRPr="002A40C7" w:rsidRDefault="00D16A99" w:rsidP="00A57F66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16A99" w:rsidRPr="002A40C7" w:rsidRDefault="00D16A99" w:rsidP="00A57F66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16A99" w:rsidRPr="002A40C7" w:rsidRDefault="00D16A99" w:rsidP="00A57F66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16A99" w:rsidRPr="002A40C7" w:rsidRDefault="00D16A99" w:rsidP="00A57F66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16A99" w:rsidRPr="002A40C7" w:rsidRDefault="00D16A99" w:rsidP="00A57F66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16A99" w:rsidRPr="002A40C7" w:rsidRDefault="00D16A99" w:rsidP="00A57F66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16A99" w:rsidRDefault="00D16A99" w:rsidP="00A57F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6A99" w:rsidRDefault="00D16A99" w:rsidP="00A57F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D16A99" w:rsidSect="0056496E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A99" w:rsidRDefault="00D16A99">
      <w:pPr>
        <w:spacing w:after="0" w:line="240" w:lineRule="auto"/>
      </w:pPr>
      <w:r>
        <w:separator/>
      </w:r>
    </w:p>
  </w:endnote>
  <w:endnote w:type="continuationSeparator" w:id="0">
    <w:p w:rsidR="00D16A99" w:rsidRDefault="00D1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A99" w:rsidRDefault="00D16A99" w:rsidP="00FF137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6A99" w:rsidRDefault="00D16A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A99" w:rsidRDefault="00D16A99">
    <w:pPr>
      <w:pStyle w:val="Footer"/>
    </w:pPr>
    <w:bookmarkStart w:id="5" w:name="OLE_LINK3"/>
    <w:bookmarkStart w:id="6" w:name="OLE_LINK4"/>
    <w:r w:rsidRPr="00F67991">
      <w:t>http://ej.kubagro.ru/2015/10/pdf/</w:t>
    </w:r>
    <w:r>
      <w:t>95</w:t>
    </w:r>
    <w:r w:rsidRPr="00F67991">
      <w:rPr>
        <w:lang w:val="en-US"/>
      </w:rPr>
      <w:t>.</w:t>
    </w:r>
    <w:r w:rsidRPr="00F67991">
      <w:t>pdf</w:t>
    </w:r>
    <w:bookmarkEnd w:id="5"/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A99" w:rsidRDefault="00D16A99">
      <w:pPr>
        <w:spacing w:after="0" w:line="240" w:lineRule="auto"/>
      </w:pPr>
      <w:r>
        <w:separator/>
      </w:r>
    </w:p>
  </w:footnote>
  <w:footnote w:type="continuationSeparator" w:id="0">
    <w:p w:rsidR="00D16A99" w:rsidRDefault="00D16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A99" w:rsidRDefault="00D16A99" w:rsidP="00A36563">
    <w:pPr>
      <w:pStyle w:val="Header"/>
      <w:framePr w:wrap="around" w:vAnchor="text" w:hAnchor="margin" w:xAlign="right" w:y="1"/>
      <w:rPr>
        <w:rStyle w:val="PageNumber"/>
        <w:rFonts w:cs="Tahoma"/>
      </w:rPr>
    </w:pPr>
    <w:r>
      <w:rPr>
        <w:rStyle w:val="PageNumber"/>
        <w:rFonts w:cs="Tahoma"/>
      </w:rPr>
      <w:fldChar w:fldCharType="begin"/>
    </w:r>
    <w:r>
      <w:rPr>
        <w:rStyle w:val="PageNumber"/>
        <w:rFonts w:cs="Tahoma"/>
      </w:rPr>
      <w:instrText xml:space="preserve">PAGE  </w:instrText>
    </w:r>
    <w:r>
      <w:rPr>
        <w:rStyle w:val="PageNumber"/>
        <w:rFonts w:cs="Tahoma"/>
      </w:rPr>
      <w:fldChar w:fldCharType="end"/>
    </w:r>
  </w:p>
  <w:p w:rsidR="00D16A99" w:rsidRDefault="00D16A99" w:rsidP="009B323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A99" w:rsidRPr="009B3230" w:rsidRDefault="00D16A99" w:rsidP="00A36563">
    <w:pPr>
      <w:pStyle w:val="Header"/>
      <w:framePr w:wrap="around" w:vAnchor="text" w:hAnchor="margin" w:xAlign="right" w:y="1"/>
      <w:rPr>
        <w:rStyle w:val="PageNumber"/>
        <w:rFonts w:cs="Tahoma"/>
        <w:sz w:val="28"/>
        <w:szCs w:val="28"/>
      </w:rPr>
    </w:pPr>
    <w:r w:rsidRPr="009B3230">
      <w:rPr>
        <w:rStyle w:val="PageNumber"/>
        <w:rFonts w:cs="Tahoma"/>
        <w:sz w:val="28"/>
        <w:szCs w:val="28"/>
      </w:rPr>
      <w:fldChar w:fldCharType="begin"/>
    </w:r>
    <w:r w:rsidRPr="009B3230">
      <w:rPr>
        <w:rStyle w:val="PageNumber"/>
        <w:rFonts w:cs="Tahoma"/>
        <w:sz w:val="28"/>
        <w:szCs w:val="28"/>
      </w:rPr>
      <w:instrText xml:space="preserve">PAGE  </w:instrText>
    </w:r>
    <w:r w:rsidRPr="009B3230">
      <w:rPr>
        <w:rStyle w:val="PageNumber"/>
        <w:rFonts w:cs="Tahoma"/>
        <w:sz w:val="28"/>
        <w:szCs w:val="28"/>
      </w:rPr>
      <w:fldChar w:fldCharType="separate"/>
    </w:r>
    <w:r>
      <w:rPr>
        <w:rStyle w:val="PageNumber"/>
        <w:rFonts w:cs="Tahoma"/>
        <w:noProof/>
        <w:sz w:val="28"/>
        <w:szCs w:val="28"/>
      </w:rPr>
      <w:t>2</w:t>
    </w:r>
    <w:r w:rsidRPr="009B3230">
      <w:rPr>
        <w:rStyle w:val="PageNumber"/>
        <w:rFonts w:cs="Tahoma"/>
        <w:sz w:val="28"/>
        <w:szCs w:val="28"/>
      </w:rPr>
      <w:fldChar w:fldCharType="end"/>
    </w:r>
  </w:p>
  <w:p w:rsidR="00D16A99" w:rsidRDefault="00D16A99" w:rsidP="009B3230">
    <w:pPr>
      <w:pStyle w:val="Header"/>
      <w:ind w:right="360"/>
    </w:pPr>
    <w:r w:rsidRPr="00BF1700">
      <w:rPr>
        <w:rFonts w:cs="Times New Roman"/>
      </w:rPr>
      <w:t>Научный журнал КубГАУ, №114(10),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2253"/>
    <w:multiLevelType w:val="multilevel"/>
    <w:tmpl w:val="F740066A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1">
    <w:nsid w:val="0B520D88"/>
    <w:multiLevelType w:val="hybridMultilevel"/>
    <w:tmpl w:val="3180882C"/>
    <w:lvl w:ilvl="0" w:tplc="B8C27BE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511027BC">
      <w:start w:val="2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">
    <w:nsid w:val="0BCE095F"/>
    <w:multiLevelType w:val="hybridMultilevel"/>
    <w:tmpl w:val="F85A257A"/>
    <w:lvl w:ilvl="0" w:tplc="2A9AB4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C96F25"/>
    <w:multiLevelType w:val="multilevel"/>
    <w:tmpl w:val="63C63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F451B"/>
    <w:multiLevelType w:val="multilevel"/>
    <w:tmpl w:val="3F2A82A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5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800" w:hanging="2160"/>
      </w:pPr>
      <w:rPr>
        <w:rFonts w:cs="Times New Roman" w:hint="default"/>
      </w:rPr>
    </w:lvl>
  </w:abstractNum>
  <w:abstractNum w:abstractNumId="5">
    <w:nsid w:val="11C7214C"/>
    <w:multiLevelType w:val="hybridMultilevel"/>
    <w:tmpl w:val="B7CA6A52"/>
    <w:lvl w:ilvl="0" w:tplc="3AC064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1F3619"/>
    <w:multiLevelType w:val="multilevel"/>
    <w:tmpl w:val="47A611BA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7">
    <w:nsid w:val="15EC3588"/>
    <w:multiLevelType w:val="hybridMultilevel"/>
    <w:tmpl w:val="C726AE78"/>
    <w:lvl w:ilvl="0" w:tplc="C5D071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69670E"/>
    <w:multiLevelType w:val="hybridMultilevel"/>
    <w:tmpl w:val="83ACC7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7EE3605"/>
    <w:multiLevelType w:val="multilevel"/>
    <w:tmpl w:val="CD00095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406" w:hanging="55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10">
    <w:nsid w:val="35246616"/>
    <w:multiLevelType w:val="hybridMultilevel"/>
    <w:tmpl w:val="30F6B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C83839"/>
    <w:multiLevelType w:val="hybridMultilevel"/>
    <w:tmpl w:val="05FAA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CB7033"/>
    <w:multiLevelType w:val="hybridMultilevel"/>
    <w:tmpl w:val="C5783CF4"/>
    <w:lvl w:ilvl="0" w:tplc="CCE8567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46D10D5B"/>
    <w:multiLevelType w:val="hybridMultilevel"/>
    <w:tmpl w:val="DA78C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358ED"/>
    <w:multiLevelType w:val="hybridMultilevel"/>
    <w:tmpl w:val="83ACC7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45341E5"/>
    <w:multiLevelType w:val="hybridMultilevel"/>
    <w:tmpl w:val="EE5E53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A1F0E00"/>
    <w:multiLevelType w:val="hybridMultilevel"/>
    <w:tmpl w:val="3962E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7D772F"/>
    <w:multiLevelType w:val="hybridMultilevel"/>
    <w:tmpl w:val="ABB250C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7F02D43"/>
    <w:multiLevelType w:val="hybridMultilevel"/>
    <w:tmpl w:val="83ACC7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B5F708C"/>
    <w:multiLevelType w:val="hybridMultilevel"/>
    <w:tmpl w:val="F01C1B02"/>
    <w:lvl w:ilvl="0" w:tplc="6FB03D0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0">
    <w:nsid w:val="6B804E95"/>
    <w:multiLevelType w:val="multilevel"/>
    <w:tmpl w:val="D28AA6F4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6FC82225"/>
    <w:multiLevelType w:val="hybridMultilevel"/>
    <w:tmpl w:val="30126DAA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>
    <w:nsid w:val="6FF3172F"/>
    <w:multiLevelType w:val="multilevel"/>
    <w:tmpl w:val="4EF8FC7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526" w:hanging="675"/>
      </w:pPr>
      <w:rPr>
        <w:rFonts w:cs="Times New Roman" w:hint="default"/>
      </w:rPr>
    </w:lvl>
    <w:lvl w:ilvl="2">
      <w:start w:val="4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23">
    <w:nsid w:val="738F0824"/>
    <w:multiLevelType w:val="multilevel"/>
    <w:tmpl w:val="04F81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D05CE3"/>
    <w:multiLevelType w:val="hybridMultilevel"/>
    <w:tmpl w:val="9DFE8F8C"/>
    <w:lvl w:ilvl="0" w:tplc="6B203B8A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1"/>
  </w:num>
  <w:num w:numId="5">
    <w:abstractNumId w:val="16"/>
  </w:num>
  <w:num w:numId="6">
    <w:abstractNumId w:val="13"/>
  </w:num>
  <w:num w:numId="7">
    <w:abstractNumId w:val="10"/>
  </w:num>
  <w:num w:numId="8">
    <w:abstractNumId w:val="3"/>
  </w:num>
  <w:num w:numId="9">
    <w:abstractNumId w:val="23"/>
  </w:num>
  <w:num w:numId="10">
    <w:abstractNumId w:val="21"/>
  </w:num>
  <w:num w:numId="11">
    <w:abstractNumId w:val="22"/>
  </w:num>
  <w:num w:numId="12">
    <w:abstractNumId w:val="0"/>
  </w:num>
  <w:num w:numId="13">
    <w:abstractNumId w:val="9"/>
  </w:num>
  <w:num w:numId="14">
    <w:abstractNumId w:val="20"/>
  </w:num>
  <w:num w:numId="15">
    <w:abstractNumId w:val="5"/>
  </w:num>
  <w:num w:numId="16">
    <w:abstractNumId w:val="14"/>
  </w:num>
  <w:num w:numId="17">
    <w:abstractNumId w:val="17"/>
  </w:num>
  <w:num w:numId="18">
    <w:abstractNumId w:val="1"/>
  </w:num>
  <w:num w:numId="19">
    <w:abstractNumId w:val="8"/>
  </w:num>
  <w:num w:numId="20">
    <w:abstractNumId w:val="18"/>
  </w:num>
  <w:num w:numId="21">
    <w:abstractNumId w:val="12"/>
  </w:num>
  <w:num w:numId="22">
    <w:abstractNumId w:val="2"/>
  </w:num>
  <w:num w:numId="23">
    <w:abstractNumId w:val="24"/>
  </w:num>
  <w:num w:numId="24">
    <w:abstractNumId w:val="19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F66"/>
    <w:rsid w:val="00036104"/>
    <w:rsid w:val="00063BAA"/>
    <w:rsid w:val="000F5486"/>
    <w:rsid w:val="0010112A"/>
    <w:rsid w:val="001D0B62"/>
    <w:rsid w:val="00207117"/>
    <w:rsid w:val="00224049"/>
    <w:rsid w:val="002A40C7"/>
    <w:rsid w:val="002B7BC4"/>
    <w:rsid w:val="00342C26"/>
    <w:rsid w:val="00384124"/>
    <w:rsid w:val="00392774"/>
    <w:rsid w:val="0041037E"/>
    <w:rsid w:val="004219FC"/>
    <w:rsid w:val="004235BA"/>
    <w:rsid w:val="00437FD7"/>
    <w:rsid w:val="004F068D"/>
    <w:rsid w:val="00511F33"/>
    <w:rsid w:val="00543EB4"/>
    <w:rsid w:val="0055507D"/>
    <w:rsid w:val="00562009"/>
    <w:rsid w:val="0056496E"/>
    <w:rsid w:val="00587FA2"/>
    <w:rsid w:val="006346B3"/>
    <w:rsid w:val="00651909"/>
    <w:rsid w:val="006A283B"/>
    <w:rsid w:val="006B3299"/>
    <w:rsid w:val="00712B13"/>
    <w:rsid w:val="00716094"/>
    <w:rsid w:val="007244B5"/>
    <w:rsid w:val="00742DC2"/>
    <w:rsid w:val="007A6AFB"/>
    <w:rsid w:val="0084100C"/>
    <w:rsid w:val="008606C6"/>
    <w:rsid w:val="008B04D4"/>
    <w:rsid w:val="008F2B62"/>
    <w:rsid w:val="008F70E0"/>
    <w:rsid w:val="00921493"/>
    <w:rsid w:val="009B3230"/>
    <w:rsid w:val="009F471D"/>
    <w:rsid w:val="00A1281C"/>
    <w:rsid w:val="00A2026B"/>
    <w:rsid w:val="00A27023"/>
    <w:rsid w:val="00A36563"/>
    <w:rsid w:val="00A57F66"/>
    <w:rsid w:val="00A8356B"/>
    <w:rsid w:val="00B307B5"/>
    <w:rsid w:val="00BB72EB"/>
    <w:rsid w:val="00BF1700"/>
    <w:rsid w:val="00C07A29"/>
    <w:rsid w:val="00CF232E"/>
    <w:rsid w:val="00D16A99"/>
    <w:rsid w:val="00D47BDC"/>
    <w:rsid w:val="00E05967"/>
    <w:rsid w:val="00E078A3"/>
    <w:rsid w:val="00EC52C7"/>
    <w:rsid w:val="00ED3199"/>
    <w:rsid w:val="00EE1719"/>
    <w:rsid w:val="00EE6C7E"/>
    <w:rsid w:val="00EF4642"/>
    <w:rsid w:val="00F063E4"/>
    <w:rsid w:val="00F67991"/>
    <w:rsid w:val="00F8246F"/>
    <w:rsid w:val="00FA2937"/>
    <w:rsid w:val="00FD210A"/>
    <w:rsid w:val="00FF1371"/>
    <w:rsid w:val="00F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2E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57F66"/>
    <w:pPr>
      <w:spacing w:before="100" w:beforeAutospacing="1" w:after="100" w:afterAutospacing="1" w:line="360" w:lineRule="auto"/>
      <w:jc w:val="both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7F66"/>
    <w:pPr>
      <w:keepNext/>
      <w:spacing w:before="240" w:after="60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7F66"/>
    <w:pPr>
      <w:keepNext/>
      <w:spacing w:before="240" w:after="60"/>
      <w:jc w:val="both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7F66"/>
    <w:pPr>
      <w:keepNext/>
      <w:spacing w:before="240" w:after="60"/>
      <w:jc w:val="both"/>
      <w:outlineLvl w:val="3"/>
    </w:pPr>
    <w:rPr>
      <w:rFonts w:eastAsia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7F66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  <w:outlineLvl w:val="8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7F6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57F6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57F6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57F66"/>
    <w:rPr>
      <w:rFonts w:ascii="Calibri" w:hAnsi="Calibri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57F66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A57F66"/>
    <w:pPr>
      <w:spacing w:after="0" w:line="36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A57F66"/>
    <w:pPr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31">
    <w:name w:val="Body Text Indent 31"/>
    <w:basedOn w:val="Normal"/>
    <w:uiPriority w:val="99"/>
    <w:rsid w:val="00A57F66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A57F66"/>
    <w:pPr>
      <w:spacing w:after="0" w:line="360" w:lineRule="auto"/>
      <w:ind w:right="-99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57F66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A57F66"/>
    <w:pPr>
      <w:spacing w:after="0" w:line="360" w:lineRule="auto"/>
      <w:ind w:right="-99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57F66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A57F66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57F66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A57F66"/>
    <w:pPr>
      <w:spacing w:after="12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57F6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A57F66"/>
    <w:pPr>
      <w:widowControl w:val="0"/>
      <w:snapToGrid w:val="0"/>
      <w:spacing w:line="360" w:lineRule="auto"/>
      <w:jc w:val="both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57F66"/>
    <w:pPr>
      <w:spacing w:after="120" w:line="48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57F66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57F66"/>
    <w:pPr>
      <w:tabs>
        <w:tab w:val="center" w:pos="4677"/>
        <w:tab w:val="right" w:pos="9355"/>
      </w:tabs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57F66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57F66"/>
    <w:rPr>
      <w:rFonts w:cs="Times New Roman"/>
    </w:rPr>
  </w:style>
  <w:style w:type="character" w:styleId="Hyperlink">
    <w:name w:val="Hyperlink"/>
    <w:basedOn w:val="DefaultParagraphFont"/>
    <w:uiPriority w:val="99"/>
    <w:rsid w:val="00A57F6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57F66"/>
    <w:pPr>
      <w:widowControl w:val="0"/>
      <w:tabs>
        <w:tab w:val="center" w:pos="4677"/>
        <w:tab w:val="right" w:pos="9355"/>
      </w:tabs>
      <w:suppressAutoHyphens/>
      <w:spacing w:after="0" w:line="360" w:lineRule="auto"/>
      <w:jc w:val="both"/>
    </w:pPr>
    <w:rPr>
      <w:rFonts w:ascii="Times New Roman" w:hAnsi="Times New Roman" w:cs="Tahoma"/>
      <w:color w:val="000000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7F66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FontStyle64">
    <w:name w:val="Font Style64"/>
    <w:uiPriority w:val="99"/>
    <w:rsid w:val="00A57F66"/>
    <w:rPr>
      <w:rFonts w:ascii="Times New Roman" w:hAnsi="Times New Roman"/>
      <w:sz w:val="20"/>
    </w:rPr>
  </w:style>
  <w:style w:type="character" w:customStyle="1" w:styleId="WW8Num2z0">
    <w:name w:val="WW8Num2z0"/>
    <w:uiPriority w:val="99"/>
    <w:rsid w:val="00A57F66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57F66"/>
    <w:pPr>
      <w:spacing w:after="0" w:line="36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7F66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A57F66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A57F66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57F66"/>
    <w:rPr>
      <w:rFonts w:cs="Times New Roman"/>
      <w:i/>
    </w:rPr>
  </w:style>
  <w:style w:type="character" w:customStyle="1" w:styleId="noprint">
    <w:name w:val="noprint"/>
    <w:uiPriority w:val="99"/>
    <w:rsid w:val="00A57F66"/>
  </w:style>
  <w:style w:type="character" w:customStyle="1" w:styleId="tocnumber">
    <w:name w:val="tocnumber"/>
    <w:uiPriority w:val="99"/>
    <w:rsid w:val="00A57F66"/>
  </w:style>
  <w:style w:type="character" w:customStyle="1" w:styleId="toctext">
    <w:name w:val="toctext"/>
    <w:uiPriority w:val="99"/>
    <w:rsid w:val="00A57F66"/>
  </w:style>
  <w:style w:type="character" w:customStyle="1" w:styleId="mw-headline">
    <w:name w:val="mw-headline"/>
    <w:uiPriority w:val="99"/>
    <w:rsid w:val="00A57F66"/>
  </w:style>
  <w:style w:type="paragraph" w:customStyle="1" w:styleId="fr1">
    <w:name w:val="fr1"/>
    <w:basedOn w:val="Normal"/>
    <w:uiPriority w:val="99"/>
    <w:rsid w:val="00A57F66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">
    <w:name w:val="text"/>
    <w:basedOn w:val="Normal"/>
    <w:uiPriority w:val="99"/>
    <w:rsid w:val="00A57F66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Стиль_4"/>
    <w:basedOn w:val="Normal"/>
    <w:link w:val="40"/>
    <w:uiPriority w:val="99"/>
    <w:rsid w:val="00FF1371"/>
    <w:pPr>
      <w:widowControl w:val="0"/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0">
    <w:name w:val="Стиль_4 Знак Знак"/>
    <w:link w:val="4"/>
    <w:uiPriority w:val="99"/>
    <w:locked/>
    <w:rsid w:val="00FF1371"/>
    <w:rPr>
      <w:rFonts w:ascii="Times New Roman" w:hAnsi="Times New Roman"/>
      <w:sz w:val="28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1011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0112A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4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dchevskii@rambler.ru" TargetMode="External"/><Relationship Id="rId13" Type="http://schemas.openxmlformats.org/officeDocument/2006/relationships/image" Target="media/image2.emf"/><Relationship Id="rId18" Type="http://schemas.openxmlformats.org/officeDocument/2006/relationships/hyperlink" Target="http://research-journal.org/featured/agriculture/vliyanie-predposadochnoj-obrabotki-semennyx-klubnej-elektromagnitnym-polem-na-urozhajnost-kartofelya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usvch.ru/content/view/198/8" TargetMode="External"/><Relationship Id="rId7" Type="http://schemas.openxmlformats.org/officeDocument/2006/relationships/hyperlink" Target="mailto:radchevskii@rambler.ru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://www.u-center.info/libraryschoolboy/researchbio/rabota-07-168" TargetMode="External"/><Relationship Id="rId25" Type="http://schemas.openxmlformats.org/officeDocument/2006/relationships/hyperlink" Target="http://grow.kalarupa.com/tag/infra-red/" TargetMode="External"/><Relationship Id="rId2" Type="http://schemas.openxmlformats.org/officeDocument/2006/relationships/styles" Target="styles.xml"/><Relationship Id="rId16" Type="http://schemas.openxmlformats.org/officeDocument/2006/relationships/hyperlink" Target="http://msk.edu.ua/ivk/-OLD-/Fizika/2_Semestr/Zan-56-T/El_pole_i_jivie_organizmi.htm" TargetMode="External"/><Relationship Id="rId20" Type="http://schemas.openxmlformats.org/officeDocument/2006/relationships/hyperlink" Target="http://newstandard-expert.ru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inograd.info/spravka/slovar/filloksera-vinogradnaya.html" TargetMode="External"/><Relationship Id="rId24" Type="http://schemas.openxmlformats.org/officeDocument/2006/relationships/hyperlink" Target="http://www.rusnauka.com/7_PNI_2015/Agricole/5_188433.doc.ht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23" Type="http://schemas.openxmlformats.org/officeDocument/2006/relationships/hyperlink" Target="http://www.i-mash.ru/materials/production/344-tekhn_vozd_selsk_kultur_jelektromagn_obr.html" TargetMode="External"/><Relationship Id="rId28" Type="http://schemas.openxmlformats.org/officeDocument/2006/relationships/footer" Target="footer1.xml"/><Relationship Id="rId10" Type="http://schemas.openxmlformats.org/officeDocument/2006/relationships/hyperlink" Target="http://vinograd.info/spravka/slovar/seraya-gnil.html" TargetMode="External"/><Relationship Id="rId19" Type="http://schemas.openxmlformats.org/officeDocument/2006/relationships/hyperlink" Target="http://mirtajn.com/earth/803-vliyanie-magnitnogo-polya-na-rasteniya.htm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vinograd.info/spravka/slovar/mildyu.html" TargetMode="External"/><Relationship Id="rId14" Type="http://schemas.openxmlformats.org/officeDocument/2006/relationships/image" Target="media/image3.emf"/><Relationship Id="rId22" Type="http://schemas.openxmlformats.org/officeDocument/2006/relationships/hyperlink" Target="http://www.ippras.ru/structure/gm/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438</TotalTime>
  <Pages>18</Pages>
  <Words>5530</Words>
  <Characters>31524</Characters>
  <Application>Microsoft Office Outlook</Application>
  <DocSecurity>0</DocSecurity>
  <Lines>0</Lines>
  <Paragraphs>0</Paragraphs>
  <ScaleCrop>false</ScaleCrop>
  <Company>КуьГАУ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26</cp:revision>
  <cp:lastPrinted>2015-11-13T13:45:00Z</cp:lastPrinted>
  <dcterms:created xsi:type="dcterms:W3CDTF">2015-06-29T08:06:00Z</dcterms:created>
  <dcterms:modified xsi:type="dcterms:W3CDTF">2015-12-22T15:19:00Z</dcterms:modified>
</cp:coreProperties>
</file>