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16"/>
        <w:gridCol w:w="4384"/>
      </w:tblGrid>
      <w:tr w:rsidR="00C41D16" w:rsidRPr="005F4BC6" w:rsidTr="002C2349">
        <w:trPr>
          <w:trHeight w:val="195"/>
        </w:trPr>
        <w:tc>
          <w:tcPr>
            <w:tcW w:w="2591"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sz w:val="20"/>
                <w:szCs w:val="20"/>
                <w:lang w:val="en-US"/>
              </w:rPr>
            </w:pPr>
            <w:r w:rsidRPr="005F4BC6">
              <w:rPr>
                <w:sz w:val="20"/>
                <w:szCs w:val="20"/>
              </w:rPr>
              <w:t>УДК 347</w:t>
            </w:r>
          </w:p>
        </w:tc>
        <w:tc>
          <w:tcPr>
            <w:tcW w:w="2409"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sz w:val="20"/>
                <w:szCs w:val="20"/>
              </w:rPr>
            </w:pPr>
            <w:r w:rsidRPr="005F4BC6">
              <w:rPr>
                <w:sz w:val="20"/>
                <w:szCs w:val="20"/>
              </w:rPr>
              <w:t>UDC</w:t>
            </w:r>
            <w:r w:rsidRPr="005F4BC6">
              <w:rPr>
                <w:sz w:val="20"/>
                <w:szCs w:val="20"/>
                <w:lang w:val="en-US"/>
              </w:rPr>
              <w:t xml:space="preserve"> </w:t>
            </w:r>
            <w:r w:rsidRPr="005F4BC6">
              <w:rPr>
                <w:sz w:val="20"/>
                <w:szCs w:val="20"/>
              </w:rPr>
              <w:t>347</w:t>
            </w:r>
          </w:p>
        </w:tc>
      </w:tr>
      <w:tr w:rsidR="00C41D16" w:rsidRPr="005F4BC6" w:rsidTr="002C2349">
        <w:trPr>
          <w:trHeight w:val="195"/>
        </w:trPr>
        <w:tc>
          <w:tcPr>
            <w:tcW w:w="2591" w:type="pct"/>
            <w:tcMar>
              <w:top w:w="15" w:type="dxa"/>
              <w:left w:w="15" w:type="dxa"/>
              <w:bottom w:w="15" w:type="dxa"/>
              <w:right w:w="15" w:type="dxa"/>
            </w:tcMar>
          </w:tcPr>
          <w:p w:rsidR="00C41D16" w:rsidRPr="005F4BC6" w:rsidRDefault="00C41D16" w:rsidP="002C2349">
            <w:pPr>
              <w:pStyle w:val="Heading1"/>
              <w:keepNext w:val="0"/>
              <w:keepLines w:val="0"/>
              <w:numPr>
                <w:ilvl w:val="0"/>
                <w:numId w:val="1"/>
              </w:numPr>
              <w:tabs>
                <w:tab w:val="left" w:pos="0"/>
              </w:tabs>
              <w:suppressAutoHyphens/>
              <w:snapToGrid w:val="0"/>
              <w:spacing w:before="0"/>
              <w:ind w:left="57" w:right="57"/>
              <w:rPr>
                <w:color w:val="auto"/>
                <w:sz w:val="20"/>
                <w:szCs w:val="20"/>
                <w:lang w:val="en-US"/>
              </w:rPr>
            </w:pPr>
            <w:r w:rsidRPr="005F4BC6">
              <w:rPr>
                <w:color w:val="auto"/>
                <w:sz w:val="20"/>
                <w:szCs w:val="20"/>
              </w:rPr>
              <w:t> </w:t>
            </w:r>
          </w:p>
          <w:p w:rsidR="00C41D16" w:rsidRPr="005F4BC6" w:rsidRDefault="00C41D16" w:rsidP="002C2349">
            <w:pPr>
              <w:ind w:left="57" w:right="57"/>
              <w:rPr>
                <w:sz w:val="20"/>
                <w:szCs w:val="20"/>
                <w:lang w:val="en-US"/>
              </w:rPr>
            </w:pPr>
            <w:r w:rsidRPr="005F4BC6">
              <w:rPr>
                <w:sz w:val="20"/>
                <w:szCs w:val="20"/>
                <w:lang w:val="en-US"/>
              </w:rPr>
              <w:t>12.00.00 Юридические науки</w:t>
            </w:r>
          </w:p>
          <w:p w:rsidR="00C41D16" w:rsidRPr="005F4BC6" w:rsidRDefault="00C41D16" w:rsidP="002C2349">
            <w:pPr>
              <w:ind w:left="57" w:right="57"/>
              <w:rPr>
                <w:sz w:val="20"/>
                <w:szCs w:val="20"/>
                <w:lang w:val="en-US"/>
              </w:rPr>
            </w:pPr>
          </w:p>
        </w:tc>
        <w:tc>
          <w:tcPr>
            <w:tcW w:w="2409" w:type="pct"/>
            <w:tcMar>
              <w:top w:w="15" w:type="dxa"/>
              <w:left w:w="15" w:type="dxa"/>
              <w:bottom w:w="15" w:type="dxa"/>
              <w:right w:w="15" w:type="dxa"/>
            </w:tcMar>
          </w:tcPr>
          <w:p w:rsidR="00C41D16" w:rsidRPr="005F4BC6" w:rsidRDefault="00C41D16" w:rsidP="002C2349">
            <w:pPr>
              <w:pStyle w:val="Heading1"/>
              <w:keepNext w:val="0"/>
              <w:keepLines w:val="0"/>
              <w:numPr>
                <w:ilvl w:val="0"/>
                <w:numId w:val="1"/>
              </w:numPr>
              <w:tabs>
                <w:tab w:val="left" w:pos="0"/>
              </w:tabs>
              <w:suppressAutoHyphens/>
              <w:snapToGrid w:val="0"/>
              <w:spacing w:before="0"/>
              <w:ind w:left="57" w:right="57"/>
              <w:rPr>
                <w:color w:val="auto"/>
                <w:sz w:val="20"/>
                <w:szCs w:val="20"/>
                <w:lang w:val="en-US"/>
              </w:rPr>
            </w:pPr>
            <w:r w:rsidRPr="005F4BC6">
              <w:rPr>
                <w:color w:val="auto"/>
                <w:sz w:val="20"/>
                <w:szCs w:val="20"/>
              </w:rPr>
              <w:t> </w:t>
            </w:r>
          </w:p>
          <w:p w:rsidR="00C41D16" w:rsidRPr="005F4BC6" w:rsidRDefault="00C41D16" w:rsidP="002C2349">
            <w:pPr>
              <w:ind w:left="57" w:right="57"/>
              <w:rPr>
                <w:sz w:val="20"/>
                <w:szCs w:val="20"/>
                <w:lang w:val="en-US"/>
              </w:rPr>
            </w:pPr>
            <w:r w:rsidRPr="005F4BC6">
              <w:rPr>
                <w:sz w:val="20"/>
                <w:szCs w:val="20"/>
                <w:lang w:val="en-US"/>
              </w:rPr>
              <w:t>Legal sciences</w:t>
            </w:r>
          </w:p>
        </w:tc>
      </w:tr>
      <w:tr w:rsidR="00C41D16" w:rsidRPr="005F4BC6" w:rsidTr="002C2349">
        <w:trPr>
          <w:trHeight w:val="668"/>
        </w:trPr>
        <w:tc>
          <w:tcPr>
            <w:tcW w:w="2591" w:type="pct"/>
            <w:tcMar>
              <w:top w:w="15" w:type="dxa"/>
              <w:left w:w="15" w:type="dxa"/>
              <w:bottom w:w="15" w:type="dxa"/>
              <w:right w:w="15" w:type="dxa"/>
            </w:tcMar>
          </w:tcPr>
          <w:p w:rsidR="00C41D16" w:rsidRPr="005F4BC6" w:rsidRDefault="00C41D16" w:rsidP="002C2349">
            <w:pPr>
              <w:ind w:left="57" w:right="57"/>
              <w:rPr>
                <w:b/>
                <w:sz w:val="20"/>
                <w:szCs w:val="20"/>
              </w:rPr>
            </w:pPr>
            <w:r w:rsidRPr="005F4BC6">
              <w:rPr>
                <w:b/>
                <w:sz w:val="20"/>
                <w:szCs w:val="20"/>
              </w:rPr>
              <w:t>СТРАХОВАНИЕ ИМУЩЕСТВЕННОЙ ОТВЕТСТВЕННОСТИ ЧЛЕНОВ САМОРЕГУЛИ</w:t>
            </w:r>
            <w:bookmarkStart w:id="0" w:name="_GoBack"/>
            <w:bookmarkEnd w:id="0"/>
            <w:r w:rsidRPr="005F4BC6">
              <w:rPr>
                <w:b/>
                <w:sz w:val="20"/>
                <w:szCs w:val="20"/>
              </w:rPr>
              <w:t>РУЕМЫХ ОРГАНИЗАЦИЙ: ВОПРОСЫ ТЕОРИИ И ПРАКТИКИ</w:t>
            </w:r>
          </w:p>
          <w:p w:rsidR="00C41D16" w:rsidRPr="005F4BC6" w:rsidRDefault="00C41D16" w:rsidP="002C2349">
            <w:pPr>
              <w:ind w:left="57" w:right="57"/>
              <w:rPr>
                <w:b/>
                <w:sz w:val="20"/>
                <w:szCs w:val="20"/>
              </w:rPr>
            </w:pPr>
          </w:p>
        </w:tc>
        <w:tc>
          <w:tcPr>
            <w:tcW w:w="2409"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rFonts w:eastAsia="MS Minngs"/>
                <w:b/>
                <w:sz w:val="20"/>
                <w:szCs w:val="20"/>
                <w:lang w:val="en-US" w:eastAsia="ru-RU"/>
              </w:rPr>
            </w:pPr>
            <w:r w:rsidRPr="005F4BC6">
              <w:rPr>
                <w:rFonts w:eastAsia="MS Minngs"/>
                <w:b/>
                <w:sz w:val="20"/>
                <w:szCs w:val="20"/>
                <w:lang w:val="en-US" w:eastAsia="ru-RU"/>
              </w:rPr>
              <w:t>INSURANCE PROPERTY LIABILITY OF MEMBERS OF SELF-REGULATORY ORGANIZATIONS: THEORY AND PRACTICE</w:t>
            </w:r>
          </w:p>
        </w:tc>
      </w:tr>
      <w:tr w:rsidR="00C41D16" w:rsidRPr="005F4BC6" w:rsidTr="002C2349">
        <w:trPr>
          <w:trHeight w:val="195"/>
        </w:trPr>
        <w:tc>
          <w:tcPr>
            <w:tcW w:w="2591"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sz w:val="20"/>
                <w:szCs w:val="20"/>
                <w:lang w:val="en-US"/>
              </w:rPr>
            </w:pPr>
            <w:r w:rsidRPr="005F4BC6">
              <w:rPr>
                <w:sz w:val="20"/>
                <w:szCs w:val="20"/>
              </w:rPr>
              <w:t>Лескова Юлия Геннадьевна</w:t>
            </w:r>
          </w:p>
          <w:p w:rsidR="00C41D16" w:rsidRPr="005F4BC6" w:rsidRDefault="00C41D16" w:rsidP="002C2349">
            <w:pPr>
              <w:pStyle w:val="NormalWeb"/>
              <w:snapToGrid w:val="0"/>
              <w:spacing w:before="0" w:after="0"/>
              <w:ind w:left="57" w:right="57"/>
              <w:rPr>
                <w:sz w:val="20"/>
                <w:szCs w:val="20"/>
              </w:rPr>
            </w:pPr>
            <w:r w:rsidRPr="005F4BC6">
              <w:rPr>
                <w:sz w:val="20"/>
                <w:szCs w:val="20"/>
              </w:rPr>
              <w:t>д.ю.н., профессор</w:t>
            </w:r>
          </w:p>
        </w:tc>
        <w:tc>
          <w:tcPr>
            <w:tcW w:w="2409"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sz w:val="20"/>
                <w:szCs w:val="20"/>
                <w:lang w:val="en-US"/>
              </w:rPr>
            </w:pPr>
            <w:r w:rsidRPr="005F4BC6">
              <w:rPr>
                <w:sz w:val="20"/>
                <w:szCs w:val="20"/>
                <w:lang w:val="en-US"/>
              </w:rPr>
              <w:t>Leslova Julia Gennadevna</w:t>
            </w:r>
            <w:r w:rsidRPr="005F4BC6">
              <w:rPr>
                <w:color w:val="000000"/>
                <w:sz w:val="20"/>
                <w:szCs w:val="20"/>
                <w:shd w:val="clear" w:color="auto" w:fill="FFFFFF"/>
                <w:lang w:val="en-US"/>
              </w:rPr>
              <w:t>, PhD, Professor</w:t>
            </w:r>
          </w:p>
        </w:tc>
      </w:tr>
      <w:tr w:rsidR="00C41D16" w:rsidRPr="005F4BC6" w:rsidTr="002C2349">
        <w:trPr>
          <w:trHeight w:val="294"/>
        </w:trPr>
        <w:tc>
          <w:tcPr>
            <w:tcW w:w="2591"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sz w:val="20"/>
                <w:szCs w:val="20"/>
                <w:lang w:val="en-US"/>
              </w:rPr>
            </w:pPr>
            <w:r w:rsidRPr="005F4BC6">
              <w:rPr>
                <w:sz w:val="20"/>
                <w:szCs w:val="20"/>
                <w:lang w:val="en-US"/>
              </w:rPr>
              <w:t>SPIN-</w:t>
            </w:r>
            <w:r w:rsidRPr="005F4BC6">
              <w:rPr>
                <w:sz w:val="20"/>
                <w:szCs w:val="20"/>
              </w:rPr>
              <w:t>код автора: 6540-7447</w:t>
            </w:r>
          </w:p>
        </w:tc>
        <w:tc>
          <w:tcPr>
            <w:tcW w:w="2409"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sz w:val="20"/>
                <w:szCs w:val="20"/>
                <w:lang w:val="en-US"/>
              </w:rPr>
            </w:pPr>
            <w:r w:rsidRPr="005F4BC6">
              <w:rPr>
                <w:sz w:val="20"/>
                <w:szCs w:val="20"/>
                <w:lang w:val="en-US"/>
              </w:rPr>
              <w:t>SPIN-code author</w:t>
            </w:r>
            <w:r w:rsidRPr="005F4BC6">
              <w:rPr>
                <w:sz w:val="20"/>
                <w:szCs w:val="20"/>
              </w:rPr>
              <w:t>: 6540-7447</w:t>
            </w:r>
            <w:r w:rsidRPr="005F4BC6">
              <w:rPr>
                <w:sz w:val="20"/>
                <w:szCs w:val="20"/>
                <w:lang w:val="en-US"/>
              </w:rPr>
              <w:t xml:space="preserve"> </w:t>
            </w:r>
          </w:p>
        </w:tc>
      </w:tr>
      <w:tr w:rsidR="00C41D16" w:rsidRPr="005F4BC6" w:rsidTr="002C2349">
        <w:trPr>
          <w:trHeight w:val="401"/>
        </w:trPr>
        <w:tc>
          <w:tcPr>
            <w:tcW w:w="2591"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i/>
                <w:iCs/>
                <w:sz w:val="20"/>
                <w:szCs w:val="20"/>
              </w:rPr>
            </w:pPr>
            <w:r w:rsidRPr="005F4BC6">
              <w:rPr>
                <w:i/>
                <w:iCs/>
                <w:sz w:val="20"/>
                <w:szCs w:val="20"/>
              </w:rPr>
              <w:t>Кубанский государственный аграрный университет, Краснодар, Россия</w:t>
            </w:r>
          </w:p>
        </w:tc>
        <w:tc>
          <w:tcPr>
            <w:tcW w:w="2409"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i/>
                <w:iCs/>
                <w:sz w:val="20"/>
                <w:szCs w:val="20"/>
                <w:lang w:val="en-US"/>
              </w:rPr>
            </w:pPr>
            <w:smartTag w:uri="urn:schemas-microsoft-com:office:smarttags" w:element="PlaceName">
              <w:smartTag w:uri="urn:schemas-microsoft-com:office:smarttags" w:element="place">
                <w:smartTag w:uri="urn:schemas-microsoft-com:office:smarttags" w:element="PlaceName">
                  <w:r w:rsidRPr="005F4BC6">
                    <w:rPr>
                      <w:i/>
                      <w:iCs/>
                      <w:sz w:val="20"/>
                      <w:szCs w:val="20"/>
                      <w:lang w:val="en-US"/>
                    </w:rPr>
                    <w:t>Kuban</w:t>
                  </w:r>
                </w:smartTag>
                <w:r w:rsidRPr="005F4BC6">
                  <w:rPr>
                    <w:i/>
                    <w:iCs/>
                    <w:sz w:val="20"/>
                    <w:szCs w:val="20"/>
                    <w:lang w:val="en-US"/>
                  </w:rPr>
                  <w:t xml:space="preserve"> </w:t>
                </w:r>
                <w:smartTag w:uri="urn:schemas-microsoft-com:office:smarttags" w:element="PlaceType">
                  <w:r w:rsidRPr="005F4BC6">
                    <w:rPr>
                      <w:i/>
                      <w:iCs/>
                      <w:sz w:val="20"/>
                      <w:szCs w:val="20"/>
                      <w:lang w:val="en-US"/>
                    </w:rPr>
                    <w:t>State</w:t>
                  </w:r>
                </w:smartTag>
                <w:r w:rsidRPr="005F4BC6">
                  <w:rPr>
                    <w:i/>
                    <w:iCs/>
                    <w:sz w:val="20"/>
                    <w:szCs w:val="20"/>
                    <w:lang w:val="en-US"/>
                  </w:rPr>
                  <w:t xml:space="preserve"> </w:t>
                </w:r>
                <w:smartTag w:uri="urn:schemas-microsoft-com:office:smarttags" w:element="PlaceName">
                  <w:r w:rsidRPr="005F4BC6">
                    <w:rPr>
                      <w:i/>
                      <w:iCs/>
                      <w:sz w:val="20"/>
                      <w:szCs w:val="20"/>
                      <w:lang w:val="en-US"/>
                    </w:rPr>
                    <w:t>Agrarian</w:t>
                  </w:r>
                </w:smartTag>
                <w:r w:rsidRPr="005F4BC6">
                  <w:rPr>
                    <w:i/>
                    <w:iCs/>
                    <w:sz w:val="20"/>
                    <w:szCs w:val="20"/>
                    <w:lang w:val="en-US"/>
                  </w:rPr>
                  <w:t xml:space="preserve"> </w:t>
                </w:r>
                <w:smartTag w:uri="urn:schemas-microsoft-com:office:smarttags" w:element="PlaceType">
                  <w:r w:rsidRPr="005F4BC6">
                    <w:rPr>
                      <w:i/>
                      <w:iCs/>
                      <w:sz w:val="20"/>
                      <w:szCs w:val="20"/>
                      <w:lang w:val="en-US"/>
                    </w:rPr>
                    <w:t>University</w:t>
                  </w:r>
                </w:smartTag>
              </w:smartTag>
            </w:smartTag>
            <w:r w:rsidRPr="005F4BC6">
              <w:rPr>
                <w:i/>
                <w:iCs/>
                <w:sz w:val="20"/>
                <w:szCs w:val="20"/>
                <w:lang w:val="en-US"/>
              </w:rPr>
              <w:t xml:space="preserve">, </w:t>
            </w:r>
          </w:p>
          <w:p w:rsidR="00C41D16" w:rsidRPr="005F4BC6" w:rsidRDefault="00C41D16" w:rsidP="002C2349">
            <w:pPr>
              <w:pStyle w:val="NormalWeb"/>
              <w:snapToGrid w:val="0"/>
              <w:spacing w:before="0" w:after="0"/>
              <w:ind w:left="57" w:right="57"/>
              <w:rPr>
                <w:i/>
                <w:iCs/>
                <w:sz w:val="20"/>
                <w:szCs w:val="20"/>
                <w:lang w:val="en-US"/>
              </w:rPr>
            </w:pPr>
            <w:smartTag w:uri="urn:schemas-microsoft-com:office:smarttags" w:element="City">
              <w:smartTag w:uri="urn:schemas-microsoft-com:office:smarttags" w:element="place">
                <w:smartTag w:uri="urn:schemas-microsoft-com:office:smarttags" w:element="City">
                  <w:r w:rsidRPr="005F4BC6">
                    <w:rPr>
                      <w:i/>
                      <w:iCs/>
                      <w:sz w:val="20"/>
                      <w:szCs w:val="20"/>
                      <w:lang w:val="en-US" w:eastAsia="en-US"/>
                    </w:rPr>
                    <w:t>Krasnodar</w:t>
                  </w:r>
                </w:smartTag>
                <w:r w:rsidRPr="005F4BC6">
                  <w:rPr>
                    <w:i/>
                    <w:iCs/>
                    <w:sz w:val="20"/>
                    <w:szCs w:val="20"/>
                    <w:lang w:val="en-US" w:eastAsia="en-US"/>
                  </w:rPr>
                  <w:t xml:space="preserve">, </w:t>
                </w:r>
                <w:smartTag w:uri="urn:schemas-microsoft-com:office:smarttags" w:element="country-region">
                  <w:r w:rsidRPr="005F4BC6">
                    <w:rPr>
                      <w:i/>
                      <w:iCs/>
                      <w:sz w:val="20"/>
                      <w:szCs w:val="20"/>
                      <w:lang w:val="en-US" w:eastAsia="en-US"/>
                    </w:rPr>
                    <w:t>Russia</w:t>
                  </w:r>
                </w:smartTag>
              </w:smartTag>
            </w:smartTag>
          </w:p>
        </w:tc>
      </w:tr>
      <w:tr w:rsidR="00C41D16" w:rsidRPr="005F4BC6" w:rsidTr="002C2349">
        <w:trPr>
          <w:trHeight w:val="56"/>
        </w:trPr>
        <w:tc>
          <w:tcPr>
            <w:tcW w:w="2591"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sz w:val="20"/>
                <w:szCs w:val="20"/>
                <w:lang w:val="en-US"/>
              </w:rPr>
            </w:pPr>
          </w:p>
        </w:tc>
        <w:tc>
          <w:tcPr>
            <w:tcW w:w="2409" w:type="pct"/>
            <w:tcMar>
              <w:top w:w="15" w:type="dxa"/>
              <w:left w:w="15" w:type="dxa"/>
              <w:bottom w:w="15" w:type="dxa"/>
              <w:right w:w="15" w:type="dxa"/>
            </w:tcMar>
          </w:tcPr>
          <w:p w:rsidR="00C41D16" w:rsidRPr="005F4BC6" w:rsidRDefault="00C41D16" w:rsidP="002C2349">
            <w:pPr>
              <w:pStyle w:val="NormalWeb"/>
              <w:snapToGrid w:val="0"/>
              <w:spacing w:before="0" w:after="0"/>
              <w:ind w:left="57" w:right="57"/>
              <w:rPr>
                <w:sz w:val="20"/>
                <w:szCs w:val="20"/>
                <w:lang w:val="en-US"/>
              </w:rPr>
            </w:pPr>
          </w:p>
        </w:tc>
      </w:tr>
      <w:tr w:rsidR="00C41D16" w:rsidRPr="005F4BC6" w:rsidTr="002C2349">
        <w:trPr>
          <w:trHeight w:val="1546"/>
        </w:trPr>
        <w:tc>
          <w:tcPr>
            <w:tcW w:w="2591" w:type="pct"/>
            <w:tcMar>
              <w:top w:w="15" w:type="dxa"/>
              <w:left w:w="15" w:type="dxa"/>
              <w:bottom w:w="15" w:type="dxa"/>
              <w:right w:w="15" w:type="dxa"/>
            </w:tcMar>
          </w:tcPr>
          <w:p w:rsidR="00C41D16" w:rsidRPr="005F4BC6" w:rsidRDefault="00C41D16" w:rsidP="002C2349">
            <w:pPr>
              <w:autoSpaceDE w:val="0"/>
              <w:autoSpaceDN w:val="0"/>
              <w:adjustRightInd w:val="0"/>
              <w:ind w:left="57" w:right="57"/>
              <w:rPr>
                <w:rFonts w:eastAsia="Times New Roman"/>
                <w:sz w:val="20"/>
                <w:szCs w:val="20"/>
                <w:lang w:eastAsia="en-US"/>
              </w:rPr>
            </w:pPr>
            <w:r w:rsidRPr="005F4BC6">
              <w:rPr>
                <w:rFonts w:eastAsia="Times New Roman"/>
                <w:sz w:val="20"/>
                <w:szCs w:val="20"/>
                <w:lang w:eastAsia="en-US"/>
              </w:rPr>
              <w:t>В статье подвергнуты детальному анализу нормы ряда федеральных законов, закрепляющих страхование ответственности членов саморегулируемых организаций. Автор показывает преимущества страхования ответственности членов саморегулируемых организаций по сравнению с другим способом обеспечения имущественной ответственности – компенсационным фондом саморегулируемых организаций. Выясняется правовая природа договора  страхования имущественной ответственности членов саморегулируемых организаций, виды имущественных рисков в договоре  страхования, применяемых к членам саморегулируемых организаций. Отмечается, что в ФЗ «О саморегулируемых организациях» вопрос об ответственности по договорам членов саморегулируемых организаций не решен, закрепляется только необходимость создания системы личного и (или) коллективного страхования. На практике страховщики предлагают страховать договорную ответственность как ответственность за причинение вреда, что, по мнению автора, является не соответствующим закону, в том числе нормам статьи 931 Гражданского Кодекса РФ. В работе также ставится вопрос о заключении в строительной сфере договора имущественного страхования ответственности членов саморегулируемых организаций, обосновывается необходимость  применения здесь норм Закона РФ «Об организации страхового дела»  о договоре страхования финансовых рисков. Автор доказывает необходимость изменения и дополнения действующего законодательства РФ о страховании имущественной ответственности членов саморегулируемых организаций</w:t>
            </w:r>
          </w:p>
          <w:p w:rsidR="00C41D16" w:rsidRPr="005F4BC6" w:rsidRDefault="00C41D16" w:rsidP="002C2349">
            <w:pPr>
              <w:autoSpaceDE w:val="0"/>
              <w:autoSpaceDN w:val="0"/>
              <w:adjustRightInd w:val="0"/>
              <w:ind w:left="57" w:right="57"/>
              <w:rPr>
                <w:rFonts w:eastAsia="Times New Roman"/>
                <w:sz w:val="20"/>
                <w:szCs w:val="20"/>
                <w:lang w:eastAsia="en-US"/>
              </w:rPr>
            </w:pPr>
          </w:p>
        </w:tc>
        <w:tc>
          <w:tcPr>
            <w:tcW w:w="2409" w:type="pct"/>
            <w:tcMar>
              <w:top w:w="15" w:type="dxa"/>
              <w:left w:w="15" w:type="dxa"/>
              <w:bottom w:w="15" w:type="dxa"/>
              <w:right w:w="15" w:type="dxa"/>
            </w:tcMar>
          </w:tcPr>
          <w:p w:rsidR="00C41D16" w:rsidRPr="005F4BC6" w:rsidRDefault="00C41D16" w:rsidP="002C2349">
            <w:pPr>
              <w:autoSpaceDE w:val="0"/>
              <w:autoSpaceDN w:val="0"/>
              <w:adjustRightInd w:val="0"/>
              <w:ind w:left="57" w:right="57"/>
              <w:rPr>
                <w:rFonts w:eastAsia="Times New Roman"/>
                <w:sz w:val="20"/>
                <w:szCs w:val="20"/>
                <w:lang w:val="en-US" w:eastAsia="en-US"/>
              </w:rPr>
            </w:pPr>
            <w:r w:rsidRPr="005F4BC6">
              <w:rPr>
                <w:rFonts w:eastAsia="Times New Roman"/>
                <w:sz w:val="20"/>
                <w:szCs w:val="20"/>
                <w:lang w:val="en-US" w:eastAsia="en-US"/>
              </w:rPr>
              <w:t xml:space="preserve">The article subjected to a detailed analysis of the norms of a number of Federal laws, fixing the liability insurance for members of self-regulatory organizations. The author shows the benefits of liability insurance of members of self-regulatory organizations in comparison with another way to ensure property accountability is the compensation Fund of the self-regulatory organizations. It turns out the legal nature of the contract of insurance property liability of the members of self-regulatory organizations, types of property risks in the insurance contract that applies to the members of self-regulatory organizations. It is noted that the issue of liability under contracts of members of self-regulatory organizations in the Federal law "On self-regulating organizations" not resolved, fixed only need to create a personal and (or) collective insurance. In practice, insurance agents offer to insure the contractual liability as liability for injury that, according to the author’s opinion, is not complying with the law, including the standards of article 931 of the Civil Code of the </w:t>
            </w:r>
            <w:smartTag w:uri="urn:schemas-microsoft-com:office:smarttags" w:element="country-region">
              <w:smartTag w:uri="urn:schemas-microsoft-com:office:smarttags" w:element="place">
                <w:r w:rsidRPr="005F4BC6">
                  <w:rPr>
                    <w:rFonts w:eastAsia="Times New Roman"/>
                    <w:sz w:val="20"/>
                    <w:szCs w:val="20"/>
                    <w:lang w:val="en-US" w:eastAsia="en-US"/>
                  </w:rPr>
                  <w:t>Russian Federation</w:t>
                </w:r>
              </w:smartTag>
            </w:smartTag>
            <w:r w:rsidRPr="005F4BC6">
              <w:rPr>
                <w:rFonts w:eastAsia="Times New Roman"/>
                <w:sz w:val="20"/>
                <w:szCs w:val="20"/>
                <w:lang w:val="en-US" w:eastAsia="en-US"/>
              </w:rPr>
              <w:t xml:space="preserve">. The issue of the conclusion of the construction contract of property insurance liability of members of self-regulatory organizations is also discussed by the author, as well as  the necessity of the using in such a  situation the rules of the Law "On insurance" about the contract of financial risks insurance. The necessity of changes and amendments of the current legislation of the </w:t>
            </w:r>
            <w:smartTag w:uri="urn:schemas-microsoft-com:office:smarttags" w:element="country-region">
              <w:smartTag w:uri="urn:schemas-microsoft-com:office:smarttags" w:element="place">
                <w:r w:rsidRPr="005F4BC6">
                  <w:rPr>
                    <w:rFonts w:eastAsia="Times New Roman"/>
                    <w:sz w:val="20"/>
                    <w:szCs w:val="20"/>
                    <w:lang w:val="en-US" w:eastAsia="en-US"/>
                  </w:rPr>
                  <w:t>Russian Federation</w:t>
                </w:r>
              </w:smartTag>
            </w:smartTag>
            <w:r w:rsidRPr="005F4BC6">
              <w:rPr>
                <w:rFonts w:eastAsia="Times New Roman"/>
                <w:sz w:val="20"/>
                <w:szCs w:val="20"/>
                <w:lang w:val="en-US" w:eastAsia="en-US"/>
              </w:rPr>
              <w:t xml:space="preserve"> on insurance property liability of members of self-regulatory organi</w:t>
            </w:r>
            <w:r>
              <w:rPr>
                <w:rFonts w:eastAsia="Times New Roman"/>
                <w:sz w:val="20"/>
                <w:szCs w:val="20"/>
                <w:lang w:val="en-US" w:eastAsia="en-US"/>
              </w:rPr>
              <w:t>zations is proved by the author</w:t>
            </w:r>
          </w:p>
        </w:tc>
      </w:tr>
      <w:tr w:rsidR="00C41D16" w:rsidRPr="005F4BC6" w:rsidTr="002C2349">
        <w:trPr>
          <w:trHeight w:val="663"/>
        </w:trPr>
        <w:tc>
          <w:tcPr>
            <w:tcW w:w="2591" w:type="pct"/>
            <w:tcMar>
              <w:top w:w="15" w:type="dxa"/>
              <w:left w:w="15" w:type="dxa"/>
              <w:bottom w:w="15" w:type="dxa"/>
              <w:right w:w="15" w:type="dxa"/>
            </w:tcMar>
          </w:tcPr>
          <w:p w:rsidR="00C41D16" w:rsidRPr="005F4BC6" w:rsidRDefault="00C41D16" w:rsidP="002C2349">
            <w:pPr>
              <w:autoSpaceDE w:val="0"/>
              <w:autoSpaceDN w:val="0"/>
              <w:adjustRightInd w:val="0"/>
              <w:ind w:left="57" w:right="57"/>
              <w:rPr>
                <w:sz w:val="20"/>
                <w:szCs w:val="20"/>
              </w:rPr>
            </w:pPr>
            <w:r w:rsidRPr="005F4BC6">
              <w:rPr>
                <w:rFonts w:eastAsia="Times New Roman"/>
                <w:sz w:val="20"/>
                <w:szCs w:val="20"/>
                <w:lang w:eastAsia="en-US"/>
              </w:rPr>
              <w:t>Ключевые слова: СТРАХОВАНИЕ, ДОГОВОР, САМОРЕГУЛИРУЕМЫЕ ОРГАНИЗАЦИИ, ИМУЩЕСТВЕННАЯ ОТВЕТСТВЕННОСТЬ</w:t>
            </w:r>
          </w:p>
        </w:tc>
        <w:tc>
          <w:tcPr>
            <w:tcW w:w="2409" w:type="pct"/>
            <w:tcMar>
              <w:top w:w="15" w:type="dxa"/>
              <w:left w:w="15" w:type="dxa"/>
              <w:bottom w:w="15" w:type="dxa"/>
              <w:right w:w="15" w:type="dxa"/>
            </w:tcMar>
          </w:tcPr>
          <w:p w:rsidR="00C41D16" w:rsidRPr="005F4BC6" w:rsidRDefault="00C41D16" w:rsidP="002C2349">
            <w:pPr>
              <w:autoSpaceDE w:val="0"/>
              <w:autoSpaceDN w:val="0"/>
              <w:adjustRightInd w:val="0"/>
              <w:ind w:left="57" w:right="57"/>
              <w:rPr>
                <w:rFonts w:eastAsia="Times New Roman"/>
                <w:sz w:val="20"/>
                <w:szCs w:val="20"/>
                <w:lang w:val="en-US" w:eastAsia="en-US"/>
              </w:rPr>
            </w:pPr>
            <w:r w:rsidRPr="005F4BC6">
              <w:rPr>
                <w:rFonts w:eastAsia="Times New Roman"/>
                <w:sz w:val="20"/>
                <w:szCs w:val="20"/>
                <w:lang w:val="en-US" w:eastAsia="en-US"/>
              </w:rPr>
              <w:t>Keywords: INSURANCE, AGREEMENT, SELF-REGULATORY ORGANIZATION, PROPERTY LIABILITY</w:t>
            </w:r>
          </w:p>
        </w:tc>
      </w:tr>
    </w:tbl>
    <w:p w:rsidR="00C41D16" w:rsidRPr="008362B3" w:rsidRDefault="00C41D16" w:rsidP="00523A1D">
      <w:pPr>
        <w:spacing w:line="360" w:lineRule="auto"/>
        <w:ind w:firstLine="709"/>
        <w:jc w:val="both"/>
        <w:rPr>
          <w:sz w:val="28"/>
          <w:szCs w:val="28"/>
          <w:lang w:val="en-US"/>
        </w:rPr>
      </w:pPr>
    </w:p>
    <w:p w:rsidR="00C41D16" w:rsidRPr="00523A1D" w:rsidRDefault="00C41D16" w:rsidP="00523A1D">
      <w:pPr>
        <w:spacing w:line="360" w:lineRule="auto"/>
        <w:ind w:firstLine="709"/>
        <w:jc w:val="both"/>
        <w:rPr>
          <w:rFonts w:eastAsia="Times New Roman"/>
          <w:sz w:val="28"/>
          <w:szCs w:val="28"/>
        </w:rPr>
      </w:pPr>
      <w:r w:rsidRPr="00523A1D">
        <w:rPr>
          <w:rFonts w:eastAsia="Times New Roman"/>
          <w:sz w:val="28"/>
          <w:szCs w:val="28"/>
        </w:rPr>
        <w:t xml:space="preserve">Согласно ст. 13 ФЗ </w:t>
      </w:r>
      <w:r>
        <w:rPr>
          <w:rFonts w:eastAsia="Times New Roman"/>
          <w:sz w:val="28"/>
          <w:szCs w:val="28"/>
        </w:rPr>
        <w:t xml:space="preserve">от 01.12.2007 № 315-ФЗ (ред. от 24.11.2014) </w:t>
      </w:r>
      <w:r w:rsidRPr="00523A1D">
        <w:rPr>
          <w:rFonts w:eastAsia="Times New Roman"/>
          <w:sz w:val="28"/>
          <w:szCs w:val="28"/>
        </w:rPr>
        <w:t>«О саморегулируемых организациях» создание системы личного и (или) коллективного страхования является одним из способов обеспечения имущественной ответственности членов саморегулируемых организаций, которое в одних случаях является обязательным (например, для арбитражных управляющих), а в других случаях можно отказаться от него (например, в Градостроительном Кодексе  РФ закреплена добровольность страхования имущественной ответственности членов саморегулируемых организаций (ст. 55.4 Градостроительного Кодекса РФ), страхование ответственности аудиторов осуществляется также по их усмотрению (подп. 4.1 п. 1 ст. 13 ФЗ от 30.12.2008 № 307-ФЗ (ред. от 28.12.2013) «Об аудиторской деятельности»)</w:t>
      </w:r>
      <w:r>
        <w:rPr>
          <w:rFonts w:eastAsia="Times New Roman"/>
          <w:sz w:val="28"/>
          <w:szCs w:val="28"/>
        </w:rPr>
        <w:t>)</w:t>
      </w:r>
      <w:r w:rsidRPr="00523A1D">
        <w:rPr>
          <w:rFonts w:eastAsia="Times New Roman"/>
          <w:sz w:val="28"/>
          <w:szCs w:val="28"/>
        </w:rPr>
        <w:t>. Однако страхование имущественной ответственности членов саморегулируемых организаций является своего рода «подушкой безопасности» для компенсационного фонда</w:t>
      </w:r>
      <w:r>
        <w:rPr>
          <w:rFonts w:eastAsia="Times New Roman"/>
          <w:sz w:val="28"/>
          <w:szCs w:val="28"/>
        </w:rPr>
        <w:t xml:space="preserve"> саморегулируемой организации (для которого законодателем установлены четкие требования по его обязательному созданию и пополнению)</w:t>
      </w:r>
      <w:r w:rsidRPr="00523A1D">
        <w:rPr>
          <w:rFonts w:eastAsia="Times New Roman"/>
          <w:sz w:val="28"/>
          <w:szCs w:val="28"/>
        </w:rPr>
        <w:t xml:space="preserve">,  </w:t>
      </w:r>
      <w:r>
        <w:rPr>
          <w:rFonts w:eastAsia="Times New Roman"/>
          <w:sz w:val="28"/>
          <w:szCs w:val="28"/>
        </w:rPr>
        <w:t xml:space="preserve">обеспечивает </w:t>
      </w:r>
      <w:r w:rsidRPr="00523A1D">
        <w:rPr>
          <w:rFonts w:eastAsia="Times New Roman"/>
          <w:sz w:val="28"/>
          <w:szCs w:val="28"/>
        </w:rPr>
        <w:t xml:space="preserve">его сохранность, и поэтому, как правило, </w:t>
      </w:r>
      <w:r>
        <w:rPr>
          <w:rFonts w:eastAsia="Times New Roman"/>
          <w:sz w:val="28"/>
          <w:szCs w:val="28"/>
        </w:rPr>
        <w:t xml:space="preserve">саморегулируемые организации </w:t>
      </w:r>
      <w:r w:rsidRPr="00523A1D">
        <w:rPr>
          <w:rFonts w:eastAsia="Times New Roman"/>
          <w:sz w:val="28"/>
          <w:szCs w:val="28"/>
        </w:rPr>
        <w:t>устанавливают соответствующие правила страхования для своих членов. Заметим, что в градостроительной сфере по оценке экспертов страховые премии, собранные страховыми компаниями за четыре года существования здесь саморегулирования, составили 2 миллиарда рублей, а выплаты по страховым случаям вследствие причинения вреда на объектах капитального строительства – 3-5 % от этой суммы</w:t>
      </w:r>
      <w:r>
        <w:rPr>
          <w:rFonts w:eastAsia="Times New Roman"/>
          <w:sz w:val="28"/>
          <w:szCs w:val="28"/>
        </w:rPr>
        <w:t xml:space="preserve"> </w:t>
      </w:r>
      <w:r w:rsidRPr="008362B3">
        <w:rPr>
          <w:rFonts w:eastAsia="Times New Roman"/>
          <w:sz w:val="28"/>
          <w:szCs w:val="28"/>
        </w:rPr>
        <w:t>[6]</w:t>
      </w:r>
      <w:r w:rsidRPr="00523A1D">
        <w:rPr>
          <w:rFonts w:eastAsia="Times New Roman"/>
          <w:sz w:val="28"/>
          <w:szCs w:val="28"/>
        </w:rPr>
        <w:t xml:space="preserve">. Более того, как отмечается представителями </w:t>
      </w:r>
      <w:r>
        <w:rPr>
          <w:rFonts w:eastAsia="Times New Roman"/>
          <w:sz w:val="28"/>
          <w:szCs w:val="28"/>
        </w:rPr>
        <w:t>саморегулируемых организаций</w:t>
      </w:r>
      <w:r w:rsidRPr="00523A1D">
        <w:rPr>
          <w:rFonts w:eastAsia="Times New Roman"/>
          <w:sz w:val="28"/>
          <w:szCs w:val="28"/>
        </w:rPr>
        <w:t xml:space="preserve"> в градостроительной сфере, востребованной оказалась именно система индивидуального и (или) коллективного страхования, а не компенсационный фонд</w:t>
      </w:r>
      <w:r w:rsidRPr="008362B3">
        <w:rPr>
          <w:rFonts w:eastAsia="Times New Roman"/>
          <w:sz w:val="28"/>
          <w:szCs w:val="28"/>
        </w:rPr>
        <w:t xml:space="preserve"> [6]</w:t>
      </w:r>
      <w:r w:rsidRPr="00523A1D">
        <w:rPr>
          <w:rFonts w:eastAsia="Times New Roman"/>
          <w:sz w:val="28"/>
          <w:szCs w:val="28"/>
        </w:rPr>
        <w:t xml:space="preserve">. Сказанное подчеркивает важность и необходимость страхования имущественной ответственности членов </w:t>
      </w:r>
      <w:r>
        <w:rPr>
          <w:rFonts w:eastAsia="Times New Roman"/>
          <w:sz w:val="28"/>
          <w:szCs w:val="28"/>
        </w:rPr>
        <w:t>саморегулируемых организаций</w:t>
      </w:r>
      <w:r w:rsidRPr="00523A1D">
        <w:rPr>
          <w:rFonts w:eastAsia="Times New Roman"/>
          <w:sz w:val="28"/>
          <w:szCs w:val="28"/>
        </w:rPr>
        <w:t xml:space="preserve">. Многие ученые </w:t>
      </w:r>
      <w:r>
        <w:rPr>
          <w:rFonts w:eastAsia="Times New Roman"/>
          <w:sz w:val="28"/>
          <w:szCs w:val="28"/>
        </w:rPr>
        <w:t xml:space="preserve">также </w:t>
      </w:r>
      <w:r w:rsidRPr="00523A1D">
        <w:rPr>
          <w:rFonts w:eastAsia="Times New Roman"/>
          <w:sz w:val="28"/>
          <w:szCs w:val="28"/>
        </w:rPr>
        <w:t xml:space="preserve">подчеркивают ряд преимуществ страхования ответственности за причинение вреда жизни, здоровью или имуществу других лиц в результате деятельности члена </w:t>
      </w:r>
      <w:r>
        <w:rPr>
          <w:rFonts w:eastAsia="Times New Roman"/>
          <w:sz w:val="28"/>
          <w:szCs w:val="28"/>
        </w:rPr>
        <w:t>саморегулируемой организации</w:t>
      </w:r>
      <w:r w:rsidRPr="00523A1D">
        <w:rPr>
          <w:rFonts w:eastAsia="Times New Roman"/>
          <w:sz w:val="28"/>
          <w:szCs w:val="28"/>
        </w:rPr>
        <w:t xml:space="preserve"> по сравнению с другим способом обеспечения имущественной ответственности член</w:t>
      </w:r>
      <w:r>
        <w:rPr>
          <w:rFonts w:eastAsia="Times New Roman"/>
          <w:sz w:val="28"/>
          <w:szCs w:val="28"/>
        </w:rPr>
        <w:t>а саморегулируемой организации</w:t>
      </w:r>
      <w:r w:rsidRPr="00523A1D">
        <w:rPr>
          <w:rFonts w:eastAsia="Times New Roman"/>
          <w:sz w:val="28"/>
          <w:szCs w:val="28"/>
        </w:rPr>
        <w:t xml:space="preserve"> (компенсационным фондом). </w:t>
      </w:r>
      <w:r>
        <w:rPr>
          <w:rFonts w:eastAsia="Times New Roman"/>
          <w:sz w:val="28"/>
          <w:szCs w:val="28"/>
        </w:rPr>
        <w:t xml:space="preserve">Так, </w:t>
      </w:r>
      <w:r w:rsidRPr="00523A1D">
        <w:rPr>
          <w:rFonts w:eastAsia="Times New Roman"/>
          <w:sz w:val="28"/>
          <w:szCs w:val="28"/>
        </w:rPr>
        <w:t>С. А.</w:t>
      </w:r>
      <w:r>
        <w:rPr>
          <w:rFonts w:eastAsia="Times New Roman"/>
          <w:sz w:val="28"/>
          <w:szCs w:val="28"/>
        </w:rPr>
        <w:t> </w:t>
      </w:r>
      <w:r w:rsidRPr="00523A1D">
        <w:rPr>
          <w:rFonts w:eastAsia="Times New Roman"/>
          <w:sz w:val="28"/>
          <w:szCs w:val="28"/>
        </w:rPr>
        <w:t xml:space="preserve">Васильев к числу особенностей страхования относит: диспозитивность в плане установления условий договора страхования, вытекающую из принципа свободы договора; возможность внесудебного варианта урегулирования претензий; возможность возмещения убытков иных необходимых и целесообразных расходов, например, на проведение независимой экспертизы с целью установления обстоятельств возникновения ответственности; относительно невысокая цена; способность страхования защитить не только имущественные интересы аудиторов, но и интересы </w:t>
      </w:r>
      <w:r>
        <w:rPr>
          <w:rFonts w:eastAsia="Times New Roman"/>
          <w:sz w:val="28"/>
          <w:szCs w:val="28"/>
        </w:rPr>
        <w:t>саморегулируемой организации</w:t>
      </w:r>
      <w:r w:rsidRPr="00523A1D">
        <w:rPr>
          <w:rFonts w:eastAsia="Times New Roman"/>
          <w:sz w:val="28"/>
          <w:szCs w:val="28"/>
        </w:rPr>
        <w:t>, обеспечивая страховую выплату из компенсационного фонда; отсутствие предусмотренных регрессных требований к лицам, ответственным за причинение убытков</w:t>
      </w:r>
      <w:r w:rsidRPr="008362B3">
        <w:rPr>
          <w:rFonts w:eastAsia="Times New Roman"/>
          <w:sz w:val="28"/>
          <w:szCs w:val="28"/>
        </w:rPr>
        <w:t xml:space="preserve"> [2]</w:t>
      </w:r>
      <w:r w:rsidRPr="00523A1D">
        <w:rPr>
          <w:rFonts w:eastAsia="Times New Roman"/>
          <w:sz w:val="28"/>
          <w:szCs w:val="28"/>
        </w:rPr>
        <w:t>.</w:t>
      </w:r>
    </w:p>
    <w:p w:rsidR="00C41D16" w:rsidRPr="00523A1D" w:rsidRDefault="00C41D16" w:rsidP="00523A1D">
      <w:pPr>
        <w:autoSpaceDE w:val="0"/>
        <w:autoSpaceDN w:val="0"/>
        <w:adjustRightInd w:val="0"/>
        <w:spacing w:line="360" w:lineRule="auto"/>
        <w:ind w:firstLine="539"/>
        <w:jc w:val="both"/>
        <w:outlineLvl w:val="2"/>
        <w:rPr>
          <w:rFonts w:eastAsia="Times New Roman"/>
          <w:sz w:val="28"/>
          <w:szCs w:val="28"/>
        </w:rPr>
      </w:pPr>
      <w:r w:rsidRPr="00523A1D">
        <w:rPr>
          <w:rFonts w:eastAsia="Times New Roman"/>
          <w:sz w:val="28"/>
          <w:szCs w:val="28"/>
        </w:rPr>
        <w:t xml:space="preserve">Согласно ст. 929 ГК РФ по договору имущественного страхования одна сторона (страховщик – член </w:t>
      </w:r>
      <w:r>
        <w:rPr>
          <w:rFonts w:eastAsia="Times New Roman"/>
          <w:sz w:val="28"/>
          <w:szCs w:val="28"/>
        </w:rPr>
        <w:t>саморегулируемой организации</w:t>
      </w:r>
      <w:r w:rsidRPr="00523A1D">
        <w:rPr>
          <w:rFonts w:eastAsia="Times New Roman"/>
          <w:sz w:val="28"/>
          <w:szCs w:val="28"/>
        </w:rPr>
        <w:t xml:space="preserve">) обязуется за обусловленную договором плату (страховую премию) при наступлении предусмотренного в договоре события (страхового случая) возместить другой стороне (страхователю) или иному лицу, в пользу которого заключен договор (выгодоприобретателю – лицо, которому будет производиться возмещение вреда), причиненные вследствие этого события убытки в застрахованном имуществе либо убытки в связи с иными имущественными интересами страхователя (выплатить страховое возмещение) в пределах определенной договором суммы (страховой суммы). Применительно к членам </w:t>
      </w:r>
      <w:r>
        <w:rPr>
          <w:rFonts w:eastAsia="Times New Roman"/>
          <w:sz w:val="28"/>
          <w:szCs w:val="28"/>
        </w:rPr>
        <w:t>саморегулируемых организаций</w:t>
      </w:r>
      <w:r w:rsidRPr="00523A1D">
        <w:rPr>
          <w:rFonts w:eastAsia="Times New Roman"/>
          <w:sz w:val="28"/>
          <w:szCs w:val="28"/>
        </w:rPr>
        <w:t xml:space="preserve"> допускается страхование следующих имущественных рисков: </w:t>
      </w:r>
    </w:p>
    <w:p w:rsidR="00C41D16" w:rsidRPr="00523A1D" w:rsidRDefault="00C41D16" w:rsidP="00523A1D">
      <w:pPr>
        <w:autoSpaceDE w:val="0"/>
        <w:autoSpaceDN w:val="0"/>
        <w:adjustRightInd w:val="0"/>
        <w:spacing w:line="360" w:lineRule="auto"/>
        <w:ind w:firstLine="539"/>
        <w:jc w:val="both"/>
        <w:outlineLvl w:val="2"/>
        <w:rPr>
          <w:rFonts w:eastAsia="Times New Roman"/>
          <w:sz w:val="28"/>
          <w:szCs w:val="28"/>
        </w:rPr>
      </w:pPr>
      <w:r w:rsidRPr="00523A1D">
        <w:rPr>
          <w:rFonts w:eastAsia="Times New Roman"/>
          <w:sz w:val="28"/>
          <w:szCs w:val="28"/>
        </w:rPr>
        <w:t>1) риск ответственности по обязательствам, возникшим вследствие причинения вреда жизни, здоровью или имуществу других лиц;</w:t>
      </w:r>
    </w:p>
    <w:p w:rsidR="00C41D16" w:rsidRPr="00523A1D" w:rsidRDefault="00C41D16" w:rsidP="00523A1D">
      <w:pPr>
        <w:autoSpaceDE w:val="0"/>
        <w:autoSpaceDN w:val="0"/>
        <w:adjustRightInd w:val="0"/>
        <w:spacing w:line="360" w:lineRule="auto"/>
        <w:ind w:firstLine="539"/>
        <w:jc w:val="both"/>
        <w:outlineLvl w:val="2"/>
        <w:rPr>
          <w:rFonts w:eastAsia="Times New Roman"/>
          <w:sz w:val="28"/>
          <w:szCs w:val="28"/>
        </w:rPr>
      </w:pPr>
      <w:r w:rsidRPr="00523A1D">
        <w:rPr>
          <w:rFonts w:eastAsia="Times New Roman"/>
          <w:sz w:val="28"/>
          <w:szCs w:val="28"/>
        </w:rPr>
        <w:t xml:space="preserve">2) ответственность по договорам – риск гражданской ответственности </w:t>
      </w:r>
    </w:p>
    <w:p w:rsidR="00C41D16" w:rsidRPr="00523A1D" w:rsidRDefault="00C41D16" w:rsidP="00523A1D">
      <w:pPr>
        <w:autoSpaceDE w:val="0"/>
        <w:autoSpaceDN w:val="0"/>
        <w:adjustRightInd w:val="0"/>
        <w:spacing w:line="360" w:lineRule="auto"/>
        <w:ind w:firstLine="539"/>
        <w:jc w:val="both"/>
        <w:outlineLvl w:val="2"/>
        <w:rPr>
          <w:rFonts w:eastAsia="Times New Roman"/>
          <w:sz w:val="28"/>
          <w:szCs w:val="28"/>
        </w:rPr>
      </w:pPr>
      <w:r w:rsidRPr="00523A1D">
        <w:rPr>
          <w:rFonts w:eastAsia="Times New Roman"/>
          <w:sz w:val="28"/>
          <w:szCs w:val="28"/>
        </w:rPr>
        <w:t>3) риск убытков от предпринимательской деятельности из-за нарушения своих обязательств контрагентами предпринимателя или изменения условий этой деятельности по независящим от предпринимателя обстоятельствам, в том числе риск неполучения ожидаемых доходов – предпринимательский риск.</w:t>
      </w:r>
    </w:p>
    <w:p w:rsidR="00C41D16" w:rsidRPr="00523A1D" w:rsidRDefault="00C41D16" w:rsidP="00523A1D">
      <w:pPr>
        <w:autoSpaceDE w:val="0"/>
        <w:autoSpaceDN w:val="0"/>
        <w:adjustRightInd w:val="0"/>
        <w:spacing w:line="360" w:lineRule="auto"/>
        <w:ind w:firstLine="539"/>
        <w:jc w:val="both"/>
        <w:outlineLvl w:val="2"/>
        <w:rPr>
          <w:rFonts w:eastAsia="Times New Roman"/>
          <w:sz w:val="28"/>
          <w:szCs w:val="28"/>
        </w:rPr>
      </w:pPr>
      <w:r w:rsidRPr="00523A1D">
        <w:rPr>
          <w:rFonts w:eastAsia="Times New Roman"/>
          <w:color w:val="000000"/>
          <w:sz w:val="28"/>
          <w:szCs w:val="28"/>
        </w:rPr>
        <w:t>Относительно</w:t>
      </w:r>
      <w:r w:rsidRPr="00523A1D">
        <w:rPr>
          <w:rFonts w:eastAsia="Times New Roman"/>
          <w:sz w:val="28"/>
          <w:szCs w:val="28"/>
        </w:rPr>
        <w:t xml:space="preserve"> второго вида имущественного риска следует отметить, что его страхование допускается только в случаях, установленных законом. И тем не менее ограничение на страхование договорной ответственности на практике  не всегда учитывается. Обычно страховщики с целью обойти ограничения п. 1 ст. 931 ГК РФ предлагают страховать договорную ответственность как ответственность за причинение вреда, на страхование которой нет аналогичного ограничения. Судебная практика также подтверждает такую позицию страховщиков (Постановление Президиума ВАС РФ от 13.03.2002 N 4299/01). Однако многие ученые подчеркивают неправомерность позиции судебных органов и страховщиков по данному вопросу: «Применение подобного рассуждения полностью свело бы на нет ясно выраженное намерение законодателя разделить эти два вида ответственности для целей страхования: их следует разделять по основаниям возникновения обязательств. Возникшую ответственность следует считать ответственностью за нарушение договора, если она является последствием неисполнения или ненадлежащего исполнения обязательства, возникшего из договора (подп. 1 п. 1 ст. 8; гл. 25 ГК РФ, а также нормы для конкретных видов договоров), и следует считать ответственностью за причинение вреда, если она возникла как обязательство вследствие причинения вреда (подп. 6 п. 1 ст.</w:t>
      </w:r>
      <w:r>
        <w:rPr>
          <w:rFonts w:eastAsia="Times New Roman"/>
          <w:sz w:val="28"/>
          <w:szCs w:val="28"/>
        </w:rPr>
        <w:t> </w:t>
      </w:r>
      <w:r w:rsidRPr="00523A1D">
        <w:rPr>
          <w:rFonts w:eastAsia="Times New Roman"/>
          <w:sz w:val="28"/>
          <w:szCs w:val="28"/>
        </w:rPr>
        <w:t>8; гл. 59 ГК РФ)»</w:t>
      </w:r>
      <w:r w:rsidRPr="00DB5E5C">
        <w:rPr>
          <w:rFonts w:eastAsia="Times New Roman"/>
          <w:sz w:val="28"/>
          <w:szCs w:val="28"/>
        </w:rPr>
        <w:t xml:space="preserve"> [4]</w:t>
      </w:r>
      <w:r w:rsidRPr="00523A1D">
        <w:rPr>
          <w:rFonts w:eastAsia="Times New Roman"/>
          <w:sz w:val="28"/>
          <w:szCs w:val="28"/>
        </w:rPr>
        <w:t>.</w:t>
      </w:r>
    </w:p>
    <w:p w:rsidR="00C41D16" w:rsidRPr="00523A1D" w:rsidRDefault="00C41D16" w:rsidP="00523A1D">
      <w:pPr>
        <w:autoSpaceDE w:val="0"/>
        <w:autoSpaceDN w:val="0"/>
        <w:adjustRightInd w:val="0"/>
        <w:spacing w:line="360" w:lineRule="auto"/>
        <w:ind w:firstLine="539"/>
        <w:jc w:val="both"/>
        <w:outlineLvl w:val="0"/>
        <w:rPr>
          <w:rFonts w:eastAsia="Times New Roman"/>
          <w:sz w:val="28"/>
          <w:szCs w:val="28"/>
        </w:rPr>
      </w:pPr>
      <w:r w:rsidRPr="00523A1D">
        <w:rPr>
          <w:rFonts w:eastAsia="Times New Roman"/>
          <w:sz w:val="28"/>
          <w:szCs w:val="28"/>
        </w:rPr>
        <w:t>Применительно к членам саморегулируемых организаций А. Н. Кайль, А. А. Батяев отмечают, что по договору имущественного страхования допускается страхование их ответственности по договорам, поскольку это предусмотрено ФЗ «О саморегулируемых организация</w:t>
      </w:r>
      <w:r w:rsidRPr="008362B3">
        <w:rPr>
          <w:rFonts w:eastAsia="Times New Roman"/>
          <w:sz w:val="28"/>
          <w:szCs w:val="28"/>
        </w:rPr>
        <w:t>х</w:t>
      </w:r>
      <w:r w:rsidRPr="00523A1D">
        <w:rPr>
          <w:rFonts w:eastAsia="Times New Roman"/>
          <w:sz w:val="28"/>
          <w:szCs w:val="28"/>
        </w:rPr>
        <w:t>»</w:t>
      </w:r>
      <w:r w:rsidRPr="008362B3">
        <w:rPr>
          <w:rFonts w:eastAsia="Times New Roman"/>
          <w:sz w:val="28"/>
          <w:szCs w:val="28"/>
        </w:rPr>
        <w:t xml:space="preserve"> [5]</w:t>
      </w:r>
      <w:r w:rsidRPr="00523A1D">
        <w:rPr>
          <w:rFonts w:eastAsia="Times New Roman"/>
          <w:sz w:val="28"/>
          <w:szCs w:val="28"/>
        </w:rPr>
        <w:t xml:space="preserve">. Однако в ФЗ «О саморегулируемых организациях» говорится о личном и коллективном страховании, за рамками закона как раз остался вопрос об ответственности по договорам членов </w:t>
      </w:r>
      <w:r>
        <w:rPr>
          <w:rFonts w:eastAsia="Times New Roman"/>
          <w:sz w:val="28"/>
          <w:szCs w:val="28"/>
        </w:rPr>
        <w:t>саморегулируемых организаций</w:t>
      </w:r>
      <w:r w:rsidRPr="00523A1D">
        <w:rPr>
          <w:rFonts w:eastAsia="Times New Roman"/>
          <w:sz w:val="28"/>
          <w:szCs w:val="28"/>
        </w:rPr>
        <w:t>. Конечно,  с целью обеспечения вреда, возникшего вследствие неисполнения или ненадлежащего исполнения обязательства член</w:t>
      </w:r>
      <w:r>
        <w:rPr>
          <w:rFonts w:eastAsia="Times New Roman"/>
          <w:sz w:val="28"/>
          <w:szCs w:val="28"/>
        </w:rPr>
        <w:t>а саморегулируемой организации</w:t>
      </w:r>
      <w:r w:rsidRPr="00523A1D">
        <w:rPr>
          <w:rFonts w:eastAsia="Times New Roman"/>
          <w:sz w:val="28"/>
          <w:szCs w:val="28"/>
        </w:rPr>
        <w:t xml:space="preserve"> по договору, было бы целесообразным установить такое правило в ФЗ «О саморегулируемых организациях». </w:t>
      </w:r>
    </w:p>
    <w:p w:rsidR="00C41D16" w:rsidRPr="00523A1D" w:rsidRDefault="00C41D16" w:rsidP="00523A1D">
      <w:pPr>
        <w:autoSpaceDE w:val="0"/>
        <w:autoSpaceDN w:val="0"/>
        <w:adjustRightInd w:val="0"/>
        <w:spacing w:line="360" w:lineRule="auto"/>
        <w:ind w:firstLine="539"/>
        <w:jc w:val="both"/>
        <w:outlineLvl w:val="0"/>
        <w:rPr>
          <w:rFonts w:eastAsia="Times New Roman"/>
          <w:sz w:val="28"/>
          <w:szCs w:val="28"/>
        </w:rPr>
      </w:pPr>
      <w:r w:rsidRPr="00523A1D">
        <w:rPr>
          <w:rFonts w:eastAsia="Times New Roman"/>
          <w:sz w:val="28"/>
          <w:szCs w:val="28"/>
        </w:rPr>
        <w:t xml:space="preserve">В ФЗ «О саморегулируемых организациях» определяются лишь некоторые условия договора страхования членов </w:t>
      </w:r>
      <w:r>
        <w:rPr>
          <w:rFonts w:eastAsia="Times New Roman"/>
          <w:sz w:val="28"/>
          <w:szCs w:val="28"/>
        </w:rPr>
        <w:t>саморегулируемых организаций</w:t>
      </w:r>
      <w:r w:rsidRPr="00523A1D">
        <w:rPr>
          <w:rFonts w:eastAsia="Times New Roman"/>
          <w:sz w:val="28"/>
          <w:szCs w:val="28"/>
        </w:rPr>
        <w:t>: это требование о размере страховой суммы и срок</w:t>
      </w:r>
      <w:r>
        <w:rPr>
          <w:rFonts w:eastAsia="Times New Roman"/>
          <w:sz w:val="28"/>
          <w:szCs w:val="28"/>
        </w:rPr>
        <w:t>е</w:t>
      </w:r>
      <w:r w:rsidRPr="00523A1D">
        <w:rPr>
          <w:rFonts w:eastAsia="Times New Roman"/>
          <w:sz w:val="28"/>
          <w:szCs w:val="28"/>
        </w:rPr>
        <w:t xml:space="preserve">. Страховая сумма должна быть установлена в размере не менее тридцати тысяч рублей из расчета на один календарный год. Страховая сумма представляет собой определенный лимит, в пределах которого и будет произведено возмещение вреда выгодоприобретателю. При этом заметим, что своими внутренними актами </w:t>
      </w:r>
      <w:r>
        <w:rPr>
          <w:rFonts w:eastAsia="Times New Roman"/>
          <w:sz w:val="28"/>
          <w:szCs w:val="28"/>
        </w:rPr>
        <w:t>саморегулируемая организация</w:t>
      </w:r>
      <w:r w:rsidRPr="00523A1D">
        <w:rPr>
          <w:rFonts w:eastAsia="Times New Roman"/>
          <w:sz w:val="28"/>
          <w:szCs w:val="28"/>
        </w:rPr>
        <w:t xml:space="preserve"> не может обязать своих участников (членов) страховать свою ответственность на большую сумму, ФЗ «О саморегулируемых организациях» не дает </w:t>
      </w:r>
      <w:r>
        <w:rPr>
          <w:rFonts w:eastAsia="Times New Roman"/>
          <w:sz w:val="28"/>
          <w:szCs w:val="28"/>
        </w:rPr>
        <w:t>указанным организациям</w:t>
      </w:r>
      <w:r w:rsidRPr="00523A1D">
        <w:rPr>
          <w:rFonts w:eastAsia="Times New Roman"/>
          <w:sz w:val="28"/>
          <w:szCs w:val="28"/>
        </w:rPr>
        <w:t xml:space="preserve"> такого права</w:t>
      </w:r>
      <w:r w:rsidRPr="008362B3">
        <w:rPr>
          <w:rFonts w:eastAsia="Times New Roman"/>
          <w:sz w:val="28"/>
          <w:szCs w:val="28"/>
        </w:rPr>
        <w:t xml:space="preserve"> [1]</w:t>
      </w:r>
      <w:r w:rsidRPr="00523A1D">
        <w:rPr>
          <w:rFonts w:eastAsia="Times New Roman"/>
          <w:sz w:val="28"/>
          <w:szCs w:val="28"/>
        </w:rPr>
        <w:t xml:space="preserve">. Сами участники </w:t>
      </w:r>
      <w:r>
        <w:rPr>
          <w:rFonts w:eastAsia="Times New Roman"/>
          <w:sz w:val="28"/>
          <w:szCs w:val="28"/>
        </w:rPr>
        <w:t>саморегулируемых организаций</w:t>
      </w:r>
      <w:r w:rsidRPr="00523A1D">
        <w:rPr>
          <w:rFonts w:eastAsia="Times New Roman"/>
          <w:sz w:val="28"/>
          <w:szCs w:val="28"/>
        </w:rPr>
        <w:t xml:space="preserve"> могут в добровольном порядке застраховать свою ответственность и на большую сумму.</w:t>
      </w:r>
    </w:p>
    <w:p w:rsidR="00C41D16" w:rsidRPr="00523A1D" w:rsidRDefault="00C41D16" w:rsidP="00523A1D">
      <w:pPr>
        <w:autoSpaceDE w:val="0"/>
        <w:autoSpaceDN w:val="0"/>
        <w:adjustRightInd w:val="0"/>
        <w:spacing w:line="360" w:lineRule="auto"/>
        <w:ind w:firstLine="539"/>
        <w:jc w:val="both"/>
        <w:outlineLvl w:val="0"/>
        <w:rPr>
          <w:rFonts w:eastAsia="Times New Roman"/>
          <w:sz w:val="28"/>
          <w:szCs w:val="28"/>
        </w:rPr>
      </w:pPr>
      <w:r w:rsidRPr="00523A1D">
        <w:rPr>
          <w:rFonts w:eastAsia="Times New Roman"/>
          <w:sz w:val="28"/>
          <w:szCs w:val="28"/>
        </w:rPr>
        <w:t xml:space="preserve">Одной из существующих в настоящее время практических проблем является применения норм о страховании </w:t>
      </w:r>
      <w:r>
        <w:rPr>
          <w:rFonts w:eastAsia="Times New Roman"/>
          <w:sz w:val="28"/>
          <w:szCs w:val="28"/>
        </w:rPr>
        <w:t>в отношении</w:t>
      </w:r>
      <w:r w:rsidRPr="00523A1D">
        <w:rPr>
          <w:rFonts w:eastAsia="Times New Roman"/>
          <w:sz w:val="28"/>
          <w:szCs w:val="28"/>
        </w:rPr>
        <w:t xml:space="preserve"> к имущественной ответственности членов </w:t>
      </w:r>
      <w:r>
        <w:rPr>
          <w:rFonts w:eastAsia="Times New Roman"/>
          <w:sz w:val="28"/>
          <w:szCs w:val="28"/>
        </w:rPr>
        <w:t>саморегулируемых организаций</w:t>
      </w:r>
      <w:r w:rsidRPr="00523A1D">
        <w:rPr>
          <w:rFonts w:eastAsia="Times New Roman"/>
          <w:sz w:val="28"/>
          <w:szCs w:val="28"/>
        </w:rPr>
        <w:t xml:space="preserve"> в градостроительной сфере. С 1 июля 2013 года вступили в силу новые правила имущественной ответственности членов </w:t>
      </w:r>
      <w:r>
        <w:rPr>
          <w:rFonts w:eastAsia="Times New Roman"/>
          <w:sz w:val="28"/>
          <w:szCs w:val="28"/>
        </w:rPr>
        <w:t>саморегулируемых организаций</w:t>
      </w:r>
      <w:r w:rsidRPr="00523A1D">
        <w:rPr>
          <w:rFonts w:eastAsia="Times New Roman"/>
          <w:sz w:val="28"/>
          <w:szCs w:val="28"/>
        </w:rPr>
        <w:t xml:space="preserve"> в градостроительной сфере, нашедшие закрепления в ст. 60 Градостроительного Кодекса РФ. Как нам представляется, целью внесения поправок в указанный нормативный акт было стремление законодателя повысить безопасность зданий и сооружений, а также сократить путь возмещения ущерба для потерпевшего. Однако указанные правила исключают возможность заключения договора страхования имущественной ответственности членов </w:t>
      </w:r>
      <w:r>
        <w:rPr>
          <w:rFonts w:eastAsia="Times New Roman"/>
          <w:sz w:val="28"/>
          <w:szCs w:val="28"/>
        </w:rPr>
        <w:t>саморегулируемых организаций</w:t>
      </w:r>
      <w:r w:rsidRPr="00523A1D">
        <w:rPr>
          <w:rFonts w:eastAsia="Times New Roman"/>
          <w:sz w:val="28"/>
          <w:szCs w:val="28"/>
        </w:rPr>
        <w:t xml:space="preserve">. Такое положение связано с тем, что законодателем введены новые модели имущественной ответственности перед третьими лицами в зависимости от объекта градостроительной деятельности (объект незавершенного строительства, здание, сооружение и многоквартирный дом), в которых не определено значение и взаимосвязь с договором страхования имущественной ответственности членов </w:t>
      </w:r>
      <w:r>
        <w:rPr>
          <w:rFonts w:eastAsia="Times New Roman"/>
          <w:sz w:val="28"/>
          <w:szCs w:val="28"/>
        </w:rPr>
        <w:t>саморегулируемых организаций</w:t>
      </w:r>
      <w:r w:rsidRPr="00523A1D">
        <w:rPr>
          <w:rFonts w:eastAsia="Times New Roman"/>
          <w:sz w:val="28"/>
          <w:szCs w:val="28"/>
        </w:rPr>
        <w:t xml:space="preserve"> в градостроительной сфере.</w:t>
      </w:r>
    </w:p>
    <w:p w:rsidR="00C41D16" w:rsidRPr="00523A1D" w:rsidRDefault="00C41D16" w:rsidP="00523A1D">
      <w:pPr>
        <w:spacing w:line="360" w:lineRule="auto"/>
        <w:ind w:firstLine="709"/>
        <w:jc w:val="both"/>
        <w:rPr>
          <w:rFonts w:eastAsia="Times New Roman"/>
          <w:sz w:val="28"/>
          <w:szCs w:val="28"/>
        </w:rPr>
      </w:pPr>
      <w:r w:rsidRPr="00523A1D">
        <w:rPr>
          <w:rFonts w:eastAsia="Times New Roman"/>
          <w:sz w:val="28"/>
          <w:szCs w:val="28"/>
        </w:rPr>
        <w:t xml:space="preserve">Центр тяжести по возмещению ущерба потерпевшим в случае причинения его на </w:t>
      </w:r>
      <w:r w:rsidRPr="00523A1D">
        <w:rPr>
          <w:rFonts w:eastAsia="Times New Roman"/>
          <w:b/>
          <w:i/>
          <w:sz w:val="28"/>
          <w:szCs w:val="28"/>
        </w:rPr>
        <w:t>объекте незавершенного строительства</w:t>
      </w:r>
      <w:r w:rsidRPr="00523A1D">
        <w:rPr>
          <w:rFonts w:eastAsia="Times New Roman"/>
          <w:sz w:val="28"/>
          <w:szCs w:val="28"/>
        </w:rPr>
        <w:t xml:space="preserve">, а также в здании или сооружении, не являющимися многоквартирным домом, сместился в сторону собственника, застройщика, технического заказчика и концессионера. Указанные лица несут ответственность перед потерпевшим (освобождение от ответственности допускается в случаях, когда вред был причинен вследствие умысла потерпевшего, действий третьих лиц или непреодолимой силы).  Сами потерпевшие утрачивают право обратиться за возмещением ущерба непосредственно к виновнику (члену </w:t>
      </w:r>
      <w:r>
        <w:rPr>
          <w:rFonts w:eastAsia="Times New Roman"/>
          <w:sz w:val="28"/>
          <w:szCs w:val="28"/>
        </w:rPr>
        <w:t>саморегулируемой организации</w:t>
      </w:r>
      <w:r w:rsidRPr="00523A1D">
        <w:rPr>
          <w:rFonts w:eastAsia="Times New Roman"/>
          <w:sz w:val="28"/>
          <w:szCs w:val="28"/>
        </w:rPr>
        <w:t>), а также они не вправе предъявлять требования к страховщикам, застраховавшим имущественные интересы лиц, выполняющих инженерные изыскания, осуществляющих подготовку проектной документации и строительство</w:t>
      </w:r>
      <w:r w:rsidRPr="008362B3">
        <w:rPr>
          <w:rFonts w:eastAsia="Times New Roman"/>
          <w:sz w:val="28"/>
          <w:szCs w:val="28"/>
        </w:rPr>
        <w:t>[7]</w:t>
      </w:r>
      <w:r w:rsidRPr="00523A1D">
        <w:rPr>
          <w:rFonts w:eastAsia="Times New Roman"/>
          <w:sz w:val="28"/>
          <w:szCs w:val="28"/>
        </w:rPr>
        <w:t xml:space="preserve">. К членам </w:t>
      </w:r>
      <w:r>
        <w:rPr>
          <w:rFonts w:eastAsia="Times New Roman"/>
          <w:sz w:val="28"/>
          <w:szCs w:val="28"/>
        </w:rPr>
        <w:t>саморегулируемых организаций</w:t>
      </w:r>
      <w:r w:rsidRPr="00523A1D">
        <w:rPr>
          <w:rFonts w:eastAsia="Times New Roman"/>
          <w:sz w:val="28"/>
          <w:szCs w:val="28"/>
        </w:rPr>
        <w:t xml:space="preserve"> (виновникам), </w:t>
      </w:r>
      <w:r>
        <w:rPr>
          <w:rFonts w:eastAsia="Times New Roman"/>
          <w:sz w:val="28"/>
          <w:szCs w:val="28"/>
        </w:rPr>
        <w:t>саморегулируемым организациям</w:t>
      </w:r>
      <w:r w:rsidRPr="00523A1D">
        <w:rPr>
          <w:rFonts w:eastAsia="Times New Roman"/>
          <w:sz w:val="28"/>
          <w:szCs w:val="28"/>
        </w:rPr>
        <w:t xml:space="preserve"> (национальным объединениям), лицам, которые выдали положительные заключения, предъявляются регрессные требования со стороны лиц, возместивших вред потерпевшим. Ответственность лиц, которым предъявляются регрессные требования, является солидарной. Заключительный уровень рассматриваемой многоступенчатой ответственности перед третьими лицами включает в себя обязанность членов </w:t>
      </w:r>
      <w:r>
        <w:rPr>
          <w:rFonts w:eastAsia="Times New Roman"/>
          <w:sz w:val="28"/>
          <w:szCs w:val="28"/>
        </w:rPr>
        <w:t>саморегулируемых организаций</w:t>
      </w:r>
      <w:r w:rsidRPr="00523A1D">
        <w:rPr>
          <w:rFonts w:eastAsia="Times New Roman"/>
          <w:sz w:val="28"/>
          <w:szCs w:val="28"/>
        </w:rPr>
        <w:t xml:space="preserve"> пополнить компенсационный фонд, из которого производились выплаты. Как вписать в эту модель ответственности заключение договора имущественной ответственности членов </w:t>
      </w:r>
      <w:r>
        <w:rPr>
          <w:rFonts w:eastAsia="Times New Roman"/>
          <w:sz w:val="28"/>
          <w:szCs w:val="28"/>
        </w:rPr>
        <w:t>саморегулируемых организаций</w:t>
      </w:r>
      <w:r w:rsidRPr="00523A1D">
        <w:rPr>
          <w:rFonts w:eastAsia="Times New Roman"/>
          <w:sz w:val="28"/>
          <w:szCs w:val="28"/>
        </w:rPr>
        <w:t xml:space="preserve"> в градостроительной сфере остается под вопросом.</w:t>
      </w:r>
    </w:p>
    <w:p w:rsidR="00C41D16" w:rsidRPr="001F2CCA" w:rsidRDefault="00C41D16" w:rsidP="00523A1D">
      <w:pPr>
        <w:spacing w:line="360" w:lineRule="auto"/>
        <w:ind w:firstLine="709"/>
        <w:jc w:val="both"/>
        <w:rPr>
          <w:rFonts w:eastAsia="Times New Roman"/>
          <w:sz w:val="28"/>
          <w:szCs w:val="28"/>
        </w:rPr>
      </w:pPr>
      <w:r w:rsidRPr="00523A1D">
        <w:rPr>
          <w:rFonts w:eastAsia="Times New Roman"/>
          <w:sz w:val="28"/>
          <w:szCs w:val="28"/>
        </w:rPr>
        <w:t xml:space="preserve">Возмещение вреда, причиненного </w:t>
      </w:r>
      <w:r w:rsidRPr="00523A1D">
        <w:rPr>
          <w:rFonts w:eastAsia="Times New Roman"/>
          <w:b/>
          <w:i/>
          <w:sz w:val="28"/>
          <w:szCs w:val="28"/>
        </w:rPr>
        <w:t>в многоквартирном доме</w:t>
      </w:r>
      <w:r w:rsidRPr="00523A1D">
        <w:rPr>
          <w:rFonts w:eastAsia="Times New Roman"/>
          <w:sz w:val="28"/>
          <w:szCs w:val="28"/>
        </w:rPr>
        <w:t xml:space="preserve">, осуществляется напрямую потерпевшему следующими лицами: 1) лицом, которое выполняло работы (член </w:t>
      </w:r>
      <w:r>
        <w:rPr>
          <w:rFonts w:eastAsia="Times New Roman"/>
          <w:sz w:val="28"/>
          <w:szCs w:val="28"/>
        </w:rPr>
        <w:t>саморегулируемой организации</w:t>
      </w:r>
      <w:r w:rsidRPr="00523A1D">
        <w:rPr>
          <w:rFonts w:eastAsia="Times New Roman"/>
          <w:sz w:val="28"/>
          <w:szCs w:val="28"/>
        </w:rPr>
        <w:t xml:space="preserve">); 2) </w:t>
      </w:r>
      <w:r>
        <w:rPr>
          <w:rFonts w:eastAsia="Times New Roman"/>
          <w:sz w:val="28"/>
          <w:szCs w:val="28"/>
        </w:rPr>
        <w:t>саморегулируемая организация</w:t>
      </w:r>
      <w:r w:rsidRPr="00523A1D">
        <w:rPr>
          <w:rFonts w:eastAsia="Times New Roman"/>
          <w:sz w:val="28"/>
          <w:szCs w:val="28"/>
        </w:rPr>
        <w:t xml:space="preserve">, которая выдала свидетельство о допуске к работам либо национальное объединение </w:t>
      </w:r>
      <w:r>
        <w:rPr>
          <w:rFonts w:eastAsia="Times New Roman"/>
          <w:sz w:val="28"/>
          <w:szCs w:val="28"/>
        </w:rPr>
        <w:t>саморегулируемых организаций</w:t>
      </w:r>
      <w:r w:rsidRPr="00523A1D">
        <w:rPr>
          <w:rFonts w:eastAsia="Times New Roman"/>
          <w:sz w:val="28"/>
          <w:szCs w:val="28"/>
        </w:rPr>
        <w:t xml:space="preserve">; 3) РФ, субъект РФ, от имени которых проводилась государственная экспертиза инженерных изысканий, проектной документации и осуществлялся строительный надзор; 4) организацией, которая проводила негосударственную экспертизу инженерных изысканий и проектной документации. Для указанных субъектов установлена солидарная ответственность. Обязанность членов </w:t>
      </w:r>
      <w:r>
        <w:rPr>
          <w:rFonts w:eastAsia="Times New Roman"/>
          <w:sz w:val="28"/>
          <w:szCs w:val="28"/>
        </w:rPr>
        <w:t>саморегулируемых организаций</w:t>
      </w:r>
      <w:r w:rsidRPr="00523A1D">
        <w:rPr>
          <w:rFonts w:eastAsia="Times New Roman"/>
          <w:sz w:val="28"/>
          <w:szCs w:val="28"/>
        </w:rPr>
        <w:t xml:space="preserve"> пополнить компенсационный фонд, из которого производились выплаты, будет составлять следующий уровень указанной модели ответственности перед третьими лицами. И вновь остается «загадкой»</w:t>
      </w:r>
      <w:r>
        <w:rPr>
          <w:rFonts w:eastAsia="Times New Roman"/>
          <w:sz w:val="28"/>
          <w:szCs w:val="28"/>
        </w:rPr>
        <w:t xml:space="preserve"> -</w:t>
      </w:r>
      <w:r w:rsidRPr="00523A1D">
        <w:rPr>
          <w:rFonts w:eastAsia="Times New Roman"/>
          <w:sz w:val="28"/>
          <w:szCs w:val="28"/>
        </w:rPr>
        <w:t xml:space="preserve"> как в этой многоступенчатой ответственности можно прибегать к такому инструменту как договор страхования имущественной ответственности членов </w:t>
      </w:r>
      <w:r>
        <w:rPr>
          <w:rFonts w:eastAsia="Times New Roman"/>
          <w:sz w:val="28"/>
          <w:szCs w:val="28"/>
        </w:rPr>
        <w:t>саморегулируемых организаций</w:t>
      </w:r>
      <w:r w:rsidRPr="00523A1D">
        <w:rPr>
          <w:rFonts w:eastAsia="Times New Roman"/>
          <w:sz w:val="28"/>
          <w:szCs w:val="28"/>
        </w:rPr>
        <w:t xml:space="preserve"> в градостроительной сфере. Минфин в своем письме от 30.05.2012 № 05-04-19/34 подчеркнул, что требования к </w:t>
      </w:r>
      <w:r>
        <w:rPr>
          <w:rFonts w:eastAsia="Times New Roman"/>
          <w:sz w:val="28"/>
          <w:szCs w:val="28"/>
        </w:rPr>
        <w:t>саморегулируемой организации</w:t>
      </w:r>
      <w:r w:rsidRPr="00523A1D">
        <w:rPr>
          <w:rFonts w:eastAsia="Times New Roman"/>
          <w:sz w:val="28"/>
          <w:szCs w:val="28"/>
        </w:rPr>
        <w:t xml:space="preserve"> в части страхования ее членами гражданской ответственности не согласуется с требованиями ст</w:t>
      </w:r>
      <w:r>
        <w:rPr>
          <w:rFonts w:eastAsia="Times New Roman"/>
          <w:sz w:val="28"/>
          <w:szCs w:val="28"/>
        </w:rPr>
        <w:t>атьи</w:t>
      </w:r>
      <w:r w:rsidRPr="00523A1D">
        <w:rPr>
          <w:rFonts w:eastAsia="Times New Roman"/>
          <w:sz w:val="28"/>
          <w:szCs w:val="28"/>
        </w:rPr>
        <w:t xml:space="preserve"> 60 Градостроительного Кодекса. В настоящее время обеспечение выполнение своих обязанностей по ст. 60 Градостроительного Кодекса членами </w:t>
      </w:r>
      <w:r>
        <w:rPr>
          <w:rFonts w:eastAsia="Times New Roman"/>
          <w:sz w:val="28"/>
          <w:szCs w:val="28"/>
        </w:rPr>
        <w:t>саморегулируемых организаций</w:t>
      </w:r>
      <w:r w:rsidRPr="00523A1D">
        <w:rPr>
          <w:rFonts w:eastAsia="Times New Roman"/>
          <w:sz w:val="28"/>
          <w:szCs w:val="28"/>
        </w:rPr>
        <w:t xml:space="preserve"> возможно через использование механизма страхования посредством заключения договора страхования финансовых рисков, что вполне вписывается в ст. 4 Закона РФ от 27.11.1992 № 4015-1 (ред. от 28.12.2013) «Об организации страхового дела». Напомним, что это стало допустимым после внесенных 28 декабря 2013 года изменений в действующее законодательство РФ  и  исключения правила о том, что объектами страхования финансовых рисков в имущественном страховании могут быть имущественные интересы страхователя, </w:t>
      </w:r>
      <w:r w:rsidRPr="00523A1D">
        <w:rPr>
          <w:rFonts w:eastAsia="Times New Roman"/>
          <w:i/>
          <w:sz w:val="28"/>
          <w:szCs w:val="28"/>
        </w:rPr>
        <w:t>не относящиеся к предпринимательской деятельности.</w:t>
      </w:r>
      <w:r w:rsidRPr="00523A1D">
        <w:rPr>
          <w:rFonts w:eastAsia="Times New Roman"/>
          <w:sz w:val="28"/>
          <w:szCs w:val="28"/>
        </w:rPr>
        <w:t xml:space="preserve"> </w:t>
      </w:r>
      <w:r>
        <w:rPr>
          <w:rFonts w:eastAsia="Times New Roman"/>
          <w:sz w:val="28"/>
          <w:szCs w:val="28"/>
        </w:rPr>
        <w:t>Заметим, что финансовый риск не является тождественным понятию «предпринимательский риск»</w:t>
      </w:r>
      <w:r w:rsidRPr="008362B3">
        <w:rPr>
          <w:rFonts w:eastAsia="Times New Roman"/>
          <w:sz w:val="28"/>
          <w:szCs w:val="28"/>
        </w:rPr>
        <w:t xml:space="preserve"> [3]</w:t>
      </w:r>
      <w:r>
        <w:rPr>
          <w:rFonts w:eastAsia="Times New Roman"/>
          <w:sz w:val="28"/>
          <w:szCs w:val="28"/>
        </w:rPr>
        <w:t>, а изменение закона об организации страхового дела представляется нам вполне оправданным в свете установления взаимосвязи с институтом страхования имущественной ответственности членов саморегулируемых организаций.</w:t>
      </w:r>
      <w:r w:rsidRPr="001F2CCA">
        <w:rPr>
          <w:rFonts w:eastAsia="Times New Roman"/>
          <w:sz w:val="28"/>
          <w:szCs w:val="28"/>
        </w:rPr>
        <w:t xml:space="preserve"> </w:t>
      </w:r>
      <w:r w:rsidRPr="00523A1D">
        <w:rPr>
          <w:rFonts w:eastAsia="Times New Roman"/>
          <w:sz w:val="28"/>
          <w:szCs w:val="28"/>
        </w:rPr>
        <w:t>Однако названный вид договора до сих пор не учтен нормами Градостроительного Кодекса (ст. ст. 55.4, 55.5, 55.6).</w:t>
      </w:r>
    </w:p>
    <w:p w:rsidR="00C41D16" w:rsidRPr="00DB5E5C" w:rsidRDefault="00C41D16" w:rsidP="00523A1D">
      <w:pPr>
        <w:spacing w:line="360" w:lineRule="auto"/>
        <w:ind w:firstLine="709"/>
        <w:jc w:val="both"/>
        <w:rPr>
          <w:rFonts w:eastAsia="Times New Roman"/>
          <w:sz w:val="28"/>
          <w:szCs w:val="28"/>
        </w:rPr>
      </w:pPr>
      <w:r w:rsidRPr="00523A1D">
        <w:rPr>
          <w:rFonts w:eastAsia="Times New Roman"/>
          <w:sz w:val="28"/>
          <w:szCs w:val="28"/>
        </w:rPr>
        <w:t xml:space="preserve">В настоящее время консолидированная позиция широкого круга представителей предпринимательского сообщества, юристов, ученых и законодателя в обозначенном поле проблематики страхования настоятельно назрела, требуется  уточнение и изменение действующего законодательства РФ. Законы должны быть понятными, предугадывать, например, как сложится </w:t>
      </w:r>
      <w:r>
        <w:rPr>
          <w:rFonts w:eastAsia="Times New Roman"/>
          <w:sz w:val="28"/>
          <w:szCs w:val="28"/>
        </w:rPr>
        <w:t xml:space="preserve">в ближайшие годы </w:t>
      </w:r>
      <w:r w:rsidRPr="00523A1D">
        <w:rPr>
          <w:rFonts w:eastAsia="Times New Roman"/>
          <w:sz w:val="28"/>
          <w:szCs w:val="28"/>
        </w:rPr>
        <w:t xml:space="preserve">судебная практика о возмещении вреда членами </w:t>
      </w:r>
      <w:r>
        <w:rPr>
          <w:rFonts w:eastAsia="Times New Roman"/>
          <w:sz w:val="28"/>
          <w:szCs w:val="28"/>
        </w:rPr>
        <w:t>саморегулируемых организаций</w:t>
      </w:r>
      <w:r w:rsidRPr="00523A1D">
        <w:rPr>
          <w:rFonts w:eastAsia="Times New Roman"/>
          <w:sz w:val="28"/>
          <w:szCs w:val="28"/>
        </w:rPr>
        <w:t xml:space="preserve"> в связи с внесением изменений в ст. 60 ГК РФ, и какие виды страхования войдут в практику саморегулирования </w:t>
      </w:r>
      <w:r>
        <w:rPr>
          <w:rFonts w:eastAsia="Times New Roman"/>
          <w:sz w:val="28"/>
          <w:szCs w:val="28"/>
        </w:rPr>
        <w:t xml:space="preserve">градостроительной деятельности </w:t>
      </w:r>
      <w:r w:rsidRPr="00523A1D">
        <w:rPr>
          <w:rFonts w:eastAsia="Times New Roman"/>
          <w:sz w:val="28"/>
          <w:szCs w:val="28"/>
        </w:rPr>
        <w:t xml:space="preserve">- не является оптимальным решением в постановке </w:t>
      </w:r>
      <w:r>
        <w:rPr>
          <w:rFonts w:eastAsia="Times New Roman"/>
          <w:sz w:val="28"/>
          <w:szCs w:val="28"/>
        </w:rPr>
        <w:t xml:space="preserve">обозначенной </w:t>
      </w:r>
      <w:r w:rsidRPr="00523A1D">
        <w:rPr>
          <w:rFonts w:eastAsia="Times New Roman"/>
          <w:sz w:val="28"/>
          <w:szCs w:val="28"/>
        </w:rPr>
        <w:t>проблемы.</w:t>
      </w:r>
    </w:p>
    <w:p w:rsidR="00C41D16" w:rsidRPr="00D00A16" w:rsidRDefault="00C41D16" w:rsidP="00B7290B">
      <w:pPr>
        <w:spacing w:line="360" w:lineRule="auto"/>
        <w:ind w:firstLine="709"/>
        <w:jc w:val="both"/>
        <w:rPr>
          <w:b/>
        </w:rPr>
      </w:pPr>
      <w:r>
        <w:rPr>
          <w:sz w:val="28"/>
          <w:szCs w:val="28"/>
        </w:rPr>
        <w:t xml:space="preserve"> </w:t>
      </w:r>
      <w:r w:rsidRPr="00D00A16">
        <w:rPr>
          <w:b/>
        </w:rPr>
        <w:t xml:space="preserve">Литература: </w:t>
      </w:r>
    </w:p>
    <w:p w:rsidR="00C41D16" w:rsidRPr="00D00A16" w:rsidRDefault="00C41D16" w:rsidP="00D00A16">
      <w:pPr>
        <w:tabs>
          <w:tab w:val="left" w:pos="851"/>
        </w:tabs>
        <w:ind w:firstLine="567"/>
        <w:jc w:val="both"/>
      </w:pPr>
    </w:p>
    <w:p w:rsidR="00C41D16" w:rsidRPr="00D00A16" w:rsidRDefault="00C41D16" w:rsidP="00D00A16">
      <w:pPr>
        <w:numPr>
          <w:ilvl w:val="0"/>
          <w:numId w:val="9"/>
        </w:numPr>
        <w:tabs>
          <w:tab w:val="left" w:pos="851"/>
        </w:tabs>
        <w:autoSpaceDE w:val="0"/>
        <w:autoSpaceDN w:val="0"/>
        <w:adjustRightInd w:val="0"/>
        <w:ind w:left="0" w:firstLine="567"/>
        <w:jc w:val="both"/>
      </w:pPr>
      <w:r w:rsidRPr="00D00A16">
        <w:t>Борисов А. Н. Комментарий к Федеральному закону от 1 декабря 2007 г. N 315-ФЗ «О саморегулируемых организациях» (постатейный) //  Подготовлен для СПС «КонсультантПлюс», 2008.</w:t>
      </w:r>
    </w:p>
    <w:p w:rsidR="00C41D16" w:rsidRPr="00D00A16" w:rsidRDefault="00C41D16" w:rsidP="00D00A16">
      <w:pPr>
        <w:numPr>
          <w:ilvl w:val="0"/>
          <w:numId w:val="9"/>
        </w:numPr>
        <w:tabs>
          <w:tab w:val="left" w:pos="851"/>
        </w:tabs>
        <w:ind w:left="0" w:firstLine="567"/>
        <w:jc w:val="both"/>
      </w:pPr>
      <w:r w:rsidRPr="00D00A16">
        <w:t>Васильев С. А. Гражданская ответственность аудиторов: позиции саморегулируемых организаций // Аудиторские ведомости. 2011. № 5 (Доступ из СПС «Гарантэксперт»).</w:t>
      </w:r>
    </w:p>
    <w:p w:rsidR="00C41D16" w:rsidRPr="00D00A16" w:rsidRDefault="00C41D16" w:rsidP="00D00A16">
      <w:pPr>
        <w:numPr>
          <w:ilvl w:val="0"/>
          <w:numId w:val="9"/>
        </w:numPr>
        <w:tabs>
          <w:tab w:val="left" w:pos="851"/>
        </w:tabs>
        <w:autoSpaceDE w:val="0"/>
        <w:autoSpaceDN w:val="0"/>
        <w:adjustRightInd w:val="0"/>
        <w:ind w:left="0" w:firstLine="567"/>
        <w:jc w:val="both"/>
      </w:pPr>
      <w:r w:rsidRPr="00D00A16">
        <w:t>Диденко А.А.  К вопросу о страховании финансовых и предпринимательских рисков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№02(096).  – IDA [article ID]: 0961401017.</w:t>
      </w:r>
    </w:p>
    <w:p w:rsidR="00C41D16" w:rsidRPr="00D00A16" w:rsidRDefault="00C41D16" w:rsidP="00D00A16">
      <w:pPr>
        <w:numPr>
          <w:ilvl w:val="0"/>
          <w:numId w:val="9"/>
        </w:numPr>
        <w:tabs>
          <w:tab w:val="left" w:pos="851"/>
        </w:tabs>
        <w:autoSpaceDE w:val="0"/>
        <w:autoSpaceDN w:val="0"/>
        <w:adjustRightInd w:val="0"/>
        <w:ind w:left="0" w:firstLine="567"/>
        <w:jc w:val="both"/>
      </w:pPr>
      <w:r w:rsidRPr="00D00A16">
        <w:t xml:space="preserve">Комментарий к Гражданскому кодексу Российской Федерации: В 3 т. Т. 2: Комментарий к Гражданскому кодексу Российской Федерации, части второй / под ред. Т. Е. Абовой, А. Ю. Кабалкина. М., 2004. </w:t>
      </w:r>
    </w:p>
    <w:p w:rsidR="00C41D16" w:rsidRPr="00D00A16" w:rsidRDefault="00C41D16" w:rsidP="00D00A16">
      <w:pPr>
        <w:numPr>
          <w:ilvl w:val="0"/>
          <w:numId w:val="9"/>
        </w:numPr>
        <w:tabs>
          <w:tab w:val="left" w:pos="851"/>
        </w:tabs>
        <w:autoSpaceDE w:val="0"/>
        <w:autoSpaceDN w:val="0"/>
        <w:adjustRightInd w:val="0"/>
        <w:ind w:left="0" w:firstLine="567"/>
        <w:jc w:val="both"/>
        <w:rPr>
          <w:rFonts w:eastAsia="Times New Roman"/>
        </w:rPr>
      </w:pPr>
      <w:r w:rsidRPr="00D00A16">
        <w:t>К</w:t>
      </w:r>
      <w:r w:rsidRPr="00D00A16">
        <w:rPr>
          <w:rFonts w:eastAsia="Times New Roman"/>
          <w:color w:val="000000"/>
        </w:rPr>
        <w:t>айль А. Н., Батяев А.А. Комментарий к Федеральному закону от 1 декабря 2007 г. N 315-ФЗ «О саморегулируемых организациях» (постатейный)  // Подготовлен для СПС КонсультантПлюс, 2009.</w:t>
      </w:r>
    </w:p>
    <w:p w:rsidR="00C41D16" w:rsidRPr="00D00A16" w:rsidRDefault="00C41D16" w:rsidP="00D00A16">
      <w:pPr>
        <w:numPr>
          <w:ilvl w:val="0"/>
          <w:numId w:val="9"/>
        </w:numPr>
        <w:tabs>
          <w:tab w:val="left" w:pos="851"/>
        </w:tabs>
        <w:ind w:left="0" w:firstLine="567"/>
        <w:jc w:val="both"/>
      </w:pPr>
      <w:r w:rsidRPr="00D00A16">
        <w:t xml:space="preserve">Мхитарян Ю.И. Стратегические задачи Национального объединения строителей // Бюллетень Национального объединения строителей. 2013. № 7. С. 47. </w:t>
      </w:r>
    </w:p>
    <w:p w:rsidR="00C41D16" w:rsidRPr="00D00A16" w:rsidRDefault="00C41D16" w:rsidP="00D00A16">
      <w:pPr>
        <w:numPr>
          <w:ilvl w:val="0"/>
          <w:numId w:val="9"/>
        </w:numPr>
        <w:tabs>
          <w:tab w:val="left" w:pos="851"/>
        </w:tabs>
        <w:autoSpaceDE w:val="0"/>
        <w:autoSpaceDN w:val="0"/>
        <w:adjustRightInd w:val="0"/>
        <w:ind w:left="0" w:firstLine="567"/>
        <w:jc w:val="both"/>
      </w:pPr>
      <w:r w:rsidRPr="00D00A16">
        <w:t>Письмо ФСФР России от 26.02.2012 № 12-ЮБ-11/28291 (Доступ из СПС «КонсультантПлюс»).</w:t>
      </w:r>
    </w:p>
    <w:p w:rsidR="00C41D16" w:rsidRDefault="00C41D16" w:rsidP="00D00A16">
      <w:pPr>
        <w:tabs>
          <w:tab w:val="left" w:pos="851"/>
        </w:tabs>
        <w:autoSpaceDE w:val="0"/>
        <w:autoSpaceDN w:val="0"/>
        <w:adjustRightInd w:val="0"/>
        <w:ind w:firstLine="567"/>
        <w:jc w:val="both"/>
        <w:rPr>
          <w:rFonts w:eastAsia="Times New Roman"/>
        </w:rPr>
      </w:pPr>
    </w:p>
    <w:p w:rsidR="00C41D16" w:rsidRPr="005F4BC6" w:rsidRDefault="00C41D16" w:rsidP="00D00A16">
      <w:pPr>
        <w:tabs>
          <w:tab w:val="left" w:pos="851"/>
        </w:tabs>
        <w:autoSpaceDE w:val="0"/>
        <w:autoSpaceDN w:val="0"/>
        <w:adjustRightInd w:val="0"/>
        <w:ind w:firstLine="567"/>
        <w:jc w:val="both"/>
        <w:rPr>
          <w:rFonts w:eastAsia="Times New Roman"/>
          <w:b/>
          <w:lang w:val="en-US"/>
        </w:rPr>
      </w:pPr>
      <w:r>
        <w:rPr>
          <w:rFonts w:eastAsia="Times New Roman"/>
          <w:b/>
          <w:lang w:val="en-US"/>
        </w:rPr>
        <w:t>References</w:t>
      </w:r>
    </w:p>
    <w:p w:rsidR="00C41D16" w:rsidRPr="005F4BC6" w:rsidRDefault="00C41D16" w:rsidP="00D00A16">
      <w:pPr>
        <w:tabs>
          <w:tab w:val="left" w:pos="851"/>
        </w:tabs>
        <w:autoSpaceDE w:val="0"/>
        <w:autoSpaceDN w:val="0"/>
        <w:adjustRightInd w:val="0"/>
        <w:ind w:firstLine="567"/>
        <w:jc w:val="both"/>
        <w:rPr>
          <w:rFonts w:eastAsia="Times New Roman"/>
          <w:b/>
          <w:lang w:val="en-US"/>
        </w:rPr>
      </w:pPr>
    </w:p>
    <w:p w:rsidR="00C41D16" w:rsidRPr="00D00A16" w:rsidRDefault="00C41D16" w:rsidP="00D00A16">
      <w:pPr>
        <w:tabs>
          <w:tab w:val="left" w:pos="851"/>
        </w:tabs>
        <w:ind w:firstLine="567"/>
        <w:jc w:val="both"/>
        <w:rPr>
          <w:rFonts w:eastAsia="Times New Roman"/>
        </w:rPr>
      </w:pPr>
      <w:r w:rsidRPr="00D00A16">
        <w:rPr>
          <w:rFonts w:eastAsia="Times New Roman"/>
        </w:rPr>
        <w:t xml:space="preserve">1. </w:t>
      </w:r>
      <w:r w:rsidRPr="00D00A16">
        <w:rPr>
          <w:rFonts w:eastAsia="Times New Roman"/>
          <w:lang w:val="en-US"/>
        </w:rPr>
        <w:t>B</w:t>
      </w:r>
      <w:r w:rsidRPr="00D00A16">
        <w:rPr>
          <w:rFonts w:eastAsia="Times New Roman"/>
        </w:rPr>
        <w:t xml:space="preserve">orisov </w:t>
      </w:r>
      <w:r w:rsidRPr="00D00A16">
        <w:rPr>
          <w:rFonts w:eastAsia="Times New Roman"/>
          <w:lang w:val="en-US"/>
        </w:rPr>
        <w:t>A</w:t>
      </w:r>
      <w:r w:rsidRPr="00D00A16">
        <w:rPr>
          <w:rFonts w:eastAsia="Times New Roman"/>
        </w:rPr>
        <w:t xml:space="preserve">. </w:t>
      </w:r>
      <w:r w:rsidRPr="00D00A16">
        <w:rPr>
          <w:rFonts w:eastAsia="Times New Roman"/>
          <w:lang w:val="en-US"/>
        </w:rPr>
        <w:t>N</w:t>
      </w:r>
      <w:r w:rsidRPr="00D00A16">
        <w:rPr>
          <w:rFonts w:eastAsia="Times New Roman"/>
        </w:rPr>
        <w:t xml:space="preserve">. </w:t>
      </w:r>
      <w:r w:rsidRPr="00D00A16">
        <w:rPr>
          <w:rFonts w:eastAsia="Times New Roman"/>
          <w:lang w:val="en-US"/>
        </w:rPr>
        <w:t>K</w:t>
      </w:r>
      <w:r w:rsidRPr="00D00A16">
        <w:rPr>
          <w:rFonts w:eastAsia="Times New Roman"/>
        </w:rPr>
        <w:t>ommentarij k federalnomu zakonu ot 1 dekabrya 2007 g. n 315-fz «o samoreguliruemyx organizaciyax» (postatejnyj) //  podgotovlen dlya sps «konsultantplyus», 2008.</w:t>
      </w:r>
    </w:p>
    <w:p w:rsidR="00C41D16" w:rsidRPr="00D00A16" w:rsidRDefault="00C41D16" w:rsidP="00D00A16">
      <w:pPr>
        <w:tabs>
          <w:tab w:val="left" w:pos="851"/>
        </w:tabs>
        <w:ind w:firstLine="567"/>
        <w:jc w:val="both"/>
        <w:rPr>
          <w:rFonts w:eastAsia="Times New Roman"/>
          <w:lang w:val="en-US"/>
        </w:rPr>
      </w:pPr>
      <w:r w:rsidRPr="00D00A16">
        <w:rPr>
          <w:rFonts w:eastAsia="Times New Roman"/>
          <w:lang w:val="en-US"/>
        </w:rPr>
        <w:t>2.</w:t>
      </w:r>
      <w:r w:rsidRPr="00D00A16">
        <w:rPr>
          <w:rFonts w:eastAsia="Times New Roman"/>
          <w:lang w:val="en-US"/>
        </w:rPr>
        <w:tab/>
        <w:t>Vasilev S. A. Grazhdanskaya otvetstvennost auditorov: pozicii samoreguliruemyx organizacij // auditorskie vedomosti. 2011. № 5 (dostup iz sps «garantekspert»).</w:t>
      </w:r>
    </w:p>
    <w:p w:rsidR="00C41D16" w:rsidRPr="00D00A16" w:rsidRDefault="00C41D16" w:rsidP="00D00A16">
      <w:pPr>
        <w:tabs>
          <w:tab w:val="left" w:pos="851"/>
        </w:tabs>
        <w:ind w:firstLine="567"/>
        <w:jc w:val="both"/>
        <w:rPr>
          <w:rFonts w:eastAsia="Times New Roman"/>
          <w:lang w:val="en-US"/>
        </w:rPr>
      </w:pPr>
      <w:r w:rsidRPr="00D00A16">
        <w:rPr>
          <w:rFonts w:eastAsia="Times New Roman"/>
          <w:lang w:val="en-US"/>
        </w:rPr>
        <w:t>3.</w:t>
      </w:r>
      <w:r w:rsidRPr="00D00A16">
        <w:rPr>
          <w:rFonts w:eastAsia="Times New Roman"/>
          <w:lang w:val="en-US"/>
        </w:rPr>
        <w:tab/>
        <w:t>Didenko A.A.  K voprosu o straxovanii finansovyx i predprinimatelskix riskov // politematicheskij setevoj elektronnyj nauchnyj zhurnal kubanskogo gosudarstvennogo agrarnogo universiteta (nauchnyj zhurnal kubgau) [elektronnyj resurs]. – krasnodar: kubgau, 2014. – №02(096).  – ida [article id]: 0961401017.</w:t>
      </w:r>
    </w:p>
    <w:p w:rsidR="00C41D16" w:rsidRPr="00D00A16" w:rsidRDefault="00C41D16" w:rsidP="00D00A16">
      <w:pPr>
        <w:tabs>
          <w:tab w:val="left" w:pos="851"/>
        </w:tabs>
        <w:ind w:firstLine="567"/>
        <w:jc w:val="both"/>
        <w:rPr>
          <w:rFonts w:eastAsia="Times New Roman"/>
          <w:lang w:val="en-US"/>
        </w:rPr>
      </w:pPr>
      <w:r w:rsidRPr="00D00A16">
        <w:rPr>
          <w:rFonts w:eastAsia="Times New Roman"/>
          <w:lang w:val="en-US"/>
        </w:rPr>
        <w:t>4.</w:t>
      </w:r>
      <w:r w:rsidRPr="00D00A16">
        <w:rPr>
          <w:rFonts w:eastAsia="Times New Roman"/>
          <w:lang w:val="en-US"/>
        </w:rPr>
        <w:tab/>
        <w:t xml:space="preserve">Kommentarij k grazhdanskomu kodeksu rossijskoj federacii: v 3 t. t. 2: kommentarij k grazhdanskomu kodeksu rossijskoj federacii, chasti vtoroj / pod red. T. E. Abovoj, A. Y. Kabalkina. m., 2004. </w:t>
      </w:r>
    </w:p>
    <w:p w:rsidR="00C41D16" w:rsidRPr="00D00A16" w:rsidRDefault="00C41D16" w:rsidP="00D00A16">
      <w:pPr>
        <w:tabs>
          <w:tab w:val="left" w:pos="851"/>
        </w:tabs>
        <w:ind w:firstLine="567"/>
        <w:jc w:val="both"/>
        <w:rPr>
          <w:rFonts w:eastAsia="Times New Roman"/>
          <w:lang w:val="en-US"/>
        </w:rPr>
      </w:pPr>
      <w:r w:rsidRPr="00D00A16">
        <w:rPr>
          <w:rFonts w:eastAsia="Times New Roman"/>
          <w:lang w:val="en-US"/>
        </w:rPr>
        <w:t>5.</w:t>
      </w:r>
      <w:r w:rsidRPr="00D00A16">
        <w:rPr>
          <w:rFonts w:eastAsia="Times New Roman"/>
          <w:lang w:val="en-US"/>
        </w:rPr>
        <w:tab/>
        <w:t>Kajl A. N., Batyaev A.A. Kommentarij k federalnomu zakonu ot 1 dekabrya 2007 g. n 315-fz «o samoreguliruemyx organizaciyax» (postatejnyj)  // podgotovlen dlya sps konsultantplyus, 2009.</w:t>
      </w:r>
    </w:p>
    <w:p w:rsidR="00C41D16" w:rsidRPr="00D00A16" w:rsidRDefault="00C41D16" w:rsidP="00D00A16">
      <w:pPr>
        <w:tabs>
          <w:tab w:val="left" w:pos="851"/>
        </w:tabs>
        <w:ind w:firstLine="567"/>
        <w:jc w:val="both"/>
        <w:rPr>
          <w:rFonts w:eastAsia="Times New Roman"/>
          <w:lang w:val="en-US"/>
        </w:rPr>
      </w:pPr>
      <w:r w:rsidRPr="00D00A16">
        <w:rPr>
          <w:rFonts w:eastAsia="Times New Roman"/>
          <w:lang w:val="en-US"/>
        </w:rPr>
        <w:t>6.</w:t>
      </w:r>
      <w:r w:rsidRPr="00D00A16">
        <w:rPr>
          <w:rFonts w:eastAsia="Times New Roman"/>
          <w:lang w:val="en-US"/>
        </w:rPr>
        <w:tab/>
        <w:t xml:space="preserve">Mxitaryan Y.I. Strategicheskie zadachi nacionalnogo obedineniya stroitelej // byulleten nacionalnogo obedineniya stroitelej. 2013. № 7. s. 47. </w:t>
      </w:r>
    </w:p>
    <w:p w:rsidR="00C41D16" w:rsidRPr="00D00A16" w:rsidRDefault="00C41D16" w:rsidP="00D00A16">
      <w:pPr>
        <w:tabs>
          <w:tab w:val="left" w:pos="851"/>
        </w:tabs>
        <w:ind w:firstLine="567"/>
        <w:jc w:val="both"/>
        <w:rPr>
          <w:rFonts w:eastAsia="Times New Roman"/>
          <w:lang w:val="en-US"/>
        </w:rPr>
      </w:pPr>
      <w:r w:rsidRPr="00D00A16">
        <w:rPr>
          <w:rFonts w:eastAsia="Times New Roman"/>
          <w:lang w:val="en-US"/>
        </w:rPr>
        <w:t>7.</w:t>
      </w:r>
      <w:r w:rsidRPr="00D00A16">
        <w:rPr>
          <w:rFonts w:eastAsia="Times New Roman"/>
          <w:lang w:val="en-US"/>
        </w:rPr>
        <w:tab/>
        <w:t>Pismo fsfr rossii ot 26.02.2012 № 12-yub-11/28291 (dostup iz sps «konsultantplyus»).</w:t>
      </w:r>
    </w:p>
    <w:sectPr w:rsidR="00C41D16" w:rsidRPr="00D00A16" w:rsidSect="007C3B4C">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D16" w:rsidRDefault="00C41D16" w:rsidP="007D5972">
      <w:r>
        <w:separator/>
      </w:r>
    </w:p>
  </w:endnote>
  <w:endnote w:type="continuationSeparator" w:id="0">
    <w:p w:rsidR="00C41D16" w:rsidRDefault="00C41D16"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D16" w:rsidRDefault="00C41D16">
    <w:pPr>
      <w:pStyle w:val="Footer"/>
    </w:pPr>
    <w:bookmarkStart w:id="1" w:name="OLE_LINK11"/>
    <w:bookmarkStart w:id="2" w:name="OLE_LINK12"/>
    <w:r w:rsidRPr="007B0B6E">
      <w:t>http://ej.kubagro.ru/2015/0</w:t>
    </w:r>
    <w:r>
      <w:rPr>
        <w:lang w:val="en-US"/>
      </w:rPr>
      <w:t>2</w:t>
    </w:r>
    <w:r w:rsidRPr="007B0B6E">
      <w:t>/pdf/0</w:t>
    </w:r>
    <w:r>
      <w:rPr>
        <w:lang w:val="en-US"/>
      </w:rPr>
      <w:t>27</w:t>
    </w:r>
    <w:r w:rsidRPr="007B0B6E">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D16" w:rsidRDefault="00C41D16" w:rsidP="007D5972">
      <w:r>
        <w:separator/>
      </w:r>
    </w:p>
  </w:footnote>
  <w:footnote w:type="continuationSeparator" w:id="0">
    <w:p w:rsidR="00C41D16" w:rsidRDefault="00C41D16"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D16" w:rsidRDefault="00C41D16" w:rsidP="009960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41D16" w:rsidRDefault="00C41D16" w:rsidP="00C61FB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D16" w:rsidRPr="00C61FBE" w:rsidRDefault="00C41D16" w:rsidP="0099609A">
    <w:pPr>
      <w:pStyle w:val="Header"/>
      <w:framePr w:wrap="around" w:vAnchor="text" w:hAnchor="margin" w:xAlign="right" w:y="1"/>
      <w:rPr>
        <w:rStyle w:val="PageNumber"/>
        <w:sz w:val="28"/>
        <w:szCs w:val="28"/>
      </w:rPr>
    </w:pPr>
    <w:r w:rsidRPr="00C61FBE">
      <w:rPr>
        <w:rStyle w:val="PageNumber"/>
        <w:sz w:val="28"/>
        <w:szCs w:val="28"/>
      </w:rPr>
      <w:fldChar w:fldCharType="begin"/>
    </w:r>
    <w:r w:rsidRPr="00C61FBE">
      <w:rPr>
        <w:rStyle w:val="PageNumber"/>
        <w:sz w:val="28"/>
        <w:szCs w:val="28"/>
      </w:rPr>
      <w:instrText xml:space="preserve">PAGE  </w:instrText>
    </w:r>
    <w:r w:rsidRPr="00C61FBE">
      <w:rPr>
        <w:rStyle w:val="PageNumber"/>
        <w:sz w:val="28"/>
        <w:szCs w:val="28"/>
      </w:rPr>
      <w:fldChar w:fldCharType="separate"/>
    </w:r>
    <w:r>
      <w:rPr>
        <w:rStyle w:val="PageNumber"/>
        <w:noProof/>
        <w:sz w:val="28"/>
        <w:szCs w:val="28"/>
      </w:rPr>
      <w:t>9</w:t>
    </w:r>
    <w:r w:rsidRPr="00C61FBE">
      <w:rPr>
        <w:rStyle w:val="PageNumber"/>
        <w:sz w:val="28"/>
        <w:szCs w:val="28"/>
      </w:rPr>
      <w:fldChar w:fldCharType="end"/>
    </w:r>
  </w:p>
  <w:p w:rsidR="00C41D16" w:rsidRDefault="00C41D16" w:rsidP="00C61FBE">
    <w:pPr>
      <w:pStyle w:val="Header"/>
      <w:ind w:right="360"/>
    </w:pPr>
    <w:r w:rsidRPr="00126250">
      <w:t>Научный журнал КубГАУ, №</w:t>
    </w:r>
    <w:r w:rsidRPr="00126250">
      <w:rPr>
        <w:lang w:val="en-US"/>
      </w:rPr>
      <w:t>106(</w:t>
    </w:r>
    <w:r w:rsidRPr="00126250">
      <w:t>0</w:t>
    </w:r>
    <w:r w:rsidRPr="00126250">
      <w:rPr>
        <w:lang w:val="en-US"/>
      </w:rPr>
      <w:t>2</w:t>
    </w:r>
    <w:r w:rsidRPr="00126250">
      <w:t>), 201</w:t>
    </w:r>
    <w:r w:rsidRPr="00126250">
      <w:rPr>
        <w:lang w:val="en-US"/>
      </w:rPr>
      <w:t>5</w:t>
    </w:r>
    <w:r w:rsidRPr="00126250">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F250D"/>
    <w:multiLevelType w:val="hybridMultilevel"/>
    <w:tmpl w:val="84E242C6"/>
    <w:lvl w:ilvl="0" w:tplc="08EC88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9F749D"/>
    <w:multiLevelType w:val="hybridMultilevel"/>
    <w:tmpl w:val="4E683B02"/>
    <w:lvl w:ilvl="0" w:tplc="69BCB2F8">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6F406C1"/>
    <w:multiLevelType w:val="hybridMultilevel"/>
    <w:tmpl w:val="8DEE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87B5D43"/>
    <w:multiLevelType w:val="hybridMultilevel"/>
    <w:tmpl w:val="9F6A32AE"/>
    <w:lvl w:ilvl="0" w:tplc="2B0848C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7"/>
  </w:num>
  <w:num w:numId="5">
    <w:abstractNumId w:val="2"/>
  </w:num>
  <w:num w:numId="6">
    <w:abstractNumId w:val="1"/>
  </w:num>
  <w:num w:numId="7">
    <w:abstractNumId w:val="3"/>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05D82"/>
    <w:rsid w:val="00011487"/>
    <w:rsid w:val="0001459D"/>
    <w:rsid w:val="00014A80"/>
    <w:rsid w:val="00020425"/>
    <w:rsid w:val="0002699D"/>
    <w:rsid w:val="00033BC3"/>
    <w:rsid w:val="000361C3"/>
    <w:rsid w:val="00052785"/>
    <w:rsid w:val="00063D76"/>
    <w:rsid w:val="00064C9A"/>
    <w:rsid w:val="000714E0"/>
    <w:rsid w:val="0007613B"/>
    <w:rsid w:val="00085604"/>
    <w:rsid w:val="00092633"/>
    <w:rsid w:val="00094FD4"/>
    <w:rsid w:val="000A07CF"/>
    <w:rsid w:val="000A52D9"/>
    <w:rsid w:val="000A5FC4"/>
    <w:rsid w:val="000A7981"/>
    <w:rsid w:val="000B161D"/>
    <w:rsid w:val="000C0382"/>
    <w:rsid w:val="000D412F"/>
    <w:rsid w:val="000D54BF"/>
    <w:rsid w:val="000D6DBF"/>
    <w:rsid w:val="000F2AC2"/>
    <w:rsid w:val="001157EA"/>
    <w:rsid w:val="00121EBB"/>
    <w:rsid w:val="00123CAE"/>
    <w:rsid w:val="001256DD"/>
    <w:rsid w:val="00126250"/>
    <w:rsid w:val="0013315D"/>
    <w:rsid w:val="00133E16"/>
    <w:rsid w:val="00135CA3"/>
    <w:rsid w:val="00142946"/>
    <w:rsid w:val="00157149"/>
    <w:rsid w:val="00166E59"/>
    <w:rsid w:val="00167650"/>
    <w:rsid w:val="0017193C"/>
    <w:rsid w:val="00177F37"/>
    <w:rsid w:val="0018343F"/>
    <w:rsid w:val="001C6F07"/>
    <w:rsid w:val="001D346E"/>
    <w:rsid w:val="001F2CCA"/>
    <w:rsid w:val="001F4491"/>
    <w:rsid w:val="00217375"/>
    <w:rsid w:val="0022310F"/>
    <w:rsid w:val="00235B58"/>
    <w:rsid w:val="002475F5"/>
    <w:rsid w:val="00253D61"/>
    <w:rsid w:val="00255D47"/>
    <w:rsid w:val="00262B68"/>
    <w:rsid w:val="002642E4"/>
    <w:rsid w:val="002658C9"/>
    <w:rsid w:val="00265A34"/>
    <w:rsid w:val="0026728E"/>
    <w:rsid w:val="002829CB"/>
    <w:rsid w:val="0029321F"/>
    <w:rsid w:val="0029408A"/>
    <w:rsid w:val="002A21FD"/>
    <w:rsid w:val="002A32AB"/>
    <w:rsid w:val="002B5ACF"/>
    <w:rsid w:val="002B7E0F"/>
    <w:rsid w:val="002C2349"/>
    <w:rsid w:val="002E605C"/>
    <w:rsid w:val="002F1A0F"/>
    <w:rsid w:val="002F37E0"/>
    <w:rsid w:val="002F780D"/>
    <w:rsid w:val="003035D7"/>
    <w:rsid w:val="003041A9"/>
    <w:rsid w:val="003055B9"/>
    <w:rsid w:val="00305F75"/>
    <w:rsid w:val="00306692"/>
    <w:rsid w:val="003117DA"/>
    <w:rsid w:val="00316282"/>
    <w:rsid w:val="0031654E"/>
    <w:rsid w:val="00316BB3"/>
    <w:rsid w:val="00317718"/>
    <w:rsid w:val="00326E2E"/>
    <w:rsid w:val="00342A8B"/>
    <w:rsid w:val="003546DE"/>
    <w:rsid w:val="00354E17"/>
    <w:rsid w:val="003614E1"/>
    <w:rsid w:val="00365193"/>
    <w:rsid w:val="00376F1C"/>
    <w:rsid w:val="00382F46"/>
    <w:rsid w:val="003867A3"/>
    <w:rsid w:val="003921FC"/>
    <w:rsid w:val="003C1282"/>
    <w:rsid w:val="003D3001"/>
    <w:rsid w:val="003E08BD"/>
    <w:rsid w:val="003E2005"/>
    <w:rsid w:val="003E26E0"/>
    <w:rsid w:val="003F192F"/>
    <w:rsid w:val="003F2145"/>
    <w:rsid w:val="003F23D1"/>
    <w:rsid w:val="003F3D44"/>
    <w:rsid w:val="00414584"/>
    <w:rsid w:val="00421F8B"/>
    <w:rsid w:val="004222B2"/>
    <w:rsid w:val="00424E62"/>
    <w:rsid w:val="00426CD0"/>
    <w:rsid w:val="0046221C"/>
    <w:rsid w:val="00466013"/>
    <w:rsid w:val="00477B83"/>
    <w:rsid w:val="00481F59"/>
    <w:rsid w:val="0049528A"/>
    <w:rsid w:val="004A05F3"/>
    <w:rsid w:val="004A4391"/>
    <w:rsid w:val="004A6336"/>
    <w:rsid w:val="004A7C47"/>
    <w:rsid w:val="004B136B"/>
    <w:rsid w:val="004B2424"/>
    <w:rsid w:val="004B61B2"/>
    <w:rsid w:val="004C32DC"/>
    <w:rsid w:val="004E031D"/>
    <w:rsid w:val="004E1A9B"/>
    <w:rsid w:val="005028E6"/>
    <w:rsid w:val="00507DBE"/>
    <w:rsid w:val="005130C0"/>
    <w:rsid w:val="0051452D"/>
    <w:rsid w:val="005156F2"/>
    <w:rsid w:val="00523A1D"/>
    <w:rsid w:val="0053286C"/>
    <w:rsid w:val="00540244"/>
    <w:rsid w:val="005414D9"/>
    <w:rsid w:val="00546BD5"/>
    <w:rsid w:val="0055329F"/>
    <w:rsid w:val="00560A1A"/>
    <w:rsid w:val="00562773"/>
    <w:rsid w:val="0058256E"/>
    <w:rsid w:val="005A308D"/>
    <w:rsid w:val="005A3F31"/>
    <w:rsid w:val="005B2D7F"/>
    <w:rsid w:val="005C4FB8"/>
    <w:rsid w:val="005D2CFA"/>
    <w:rsid w:val="005E098D"/>
    <w:rsid w:val="005E3460"/>
    <w:rsid w:val="005F4BC6"/>
    <w:rsid w:val="00601821"/>
    <w:rsid w:val="00603353"/>
    <w:rsid w:val="00620464"/>
    <w:rsid w:val="00621355"/>
    <w:rsid w:val="00622163"/>
    <w:rsid w:val="006407D7"/>
    <w:rsid w:val="00662897"/>
    <w:rsid w:val="006720E3"/>
    <w:rsid w:val="00677E4D"/>
    <w:rsid w:val="00680E35"/>
    <w:rsid w:val="00686211"/>
    <w:rsid w:val="006A31C3"/>
    <w:rsid w:val="006B5FAE"/>
    <w:rsid w:val="006E3649"/>
    <w:rsid w:val="006F4832"/>
    <w:rsid w:val="007159F6"/>
    <w:rsid w:val="00715E8F"/>
    <w:rsid w:val="00733617"/>
    <w:rsid w:val="00735A57"/>
    <w:rsid w:val="00745CA9"/>
    <w:rsid w:val="00756655"/>
    <w:rsid w:val="007621A6"/>
    <w:rsid w:val="007755EF"/>
    <w:rsid w:val="00776A64"/>
    <w:rsid w:val="007A6A8A"/>
    <w:rsid w:val="007B0B6E"/>
    <w:rsid w:val="007B0E40"/>
    <w:rsid w:val="007B325A"/>
    <w:rsid w:val="007B5F09"/>
    <w:rsid w:val="007C3B4C"/>
    <w:rsid w:val="007C61FC"/>
    <w:rsid w:val="007D0E4F"/>
    <w:rsid w:val="007D324C"/>
    <w:rsid w:val="007D5972"/>
    <w:rsid w:val="007E5FB4"/>
    <w:rsid w:val="007E62B5"/>
    <w:rsid w:val="007F3512"/>
    <w:rsid w:val="007F4C0F"/>
    <w:rsid w:val="00800197"/>
    <w:rsid w:val="00817776"/>
    <w:rsid w:val="0083307D"/>
    <w:rsid w:val="008362B3"/>
    <w:rsid w:val="00836A4B"/>
    <w:rsid w:val="00853368"/>
    <w:rsid w:val="008632A3"/>
    <w:rsid w:val="00874E34"/>
    <w:rsid w:val="00884458"/>
    <w:rsid w:val="00884A30"/>
    <w:rsid w:val="008A3923"/>
    <w:rsid w:val="008A6EC5"/>
    <w:rsid w:val="008C5E79"/>
    <w:rsid w:val="008D2622"/>
    <w:rsid w:val="008D46AE"/>
    <w:rsid w:val="008D67F3"/>
    <w:rsid w:val="008E43A1"/>
    <w:rsid w:val="008E691B"/>
    <w:rsid w:val="008E7A96"/>
    <w:rsid w:val="009043E2"/>
    <w:rsid w:val="0092075D"/>
    <w:rsid w:val="009207BF"/>
    <w:rsid w:val="00932594"/>
    <w:rsid w:val="009423A6"/>
    <w:rsid w:val="00956EE1"/>
    <w:rsid w:val="009641FB"/>
    <w:rsid w:val="009674D5"/>
    <w:rsid w:val="009725E0"/>
    <w:rsid w:val="0097797D"/>
    <w:rsid w:val="00984717"/>
    <w:rsid w:val="009946FD"/>
    <w:rsid w:val="0099609A"/>
    <w:rsid w:val="009A5C9B"/>
    <w:rsid w:val="009B5296"/>
    <w:rsid w:val="009C0979"/>
    <w:rsid w:val="009C4901"/>
    <w:rsid w:val="009C7AD5"/>
    <w:rsid w:val="009D3EF6"/>
    <w:rsid w:val="009E145D"/>
    <w:rsid w:val="009E37A4"/>
    <w:rsid w:val="009F0269"/>
    <w:rsid w:val="009F7DB9"/>
    <w:rsid w:val="00A02501"/>
    <w:rsid w:val="00A0280F"/>
    <w:rsid w:val="00A05B91"/>
    <w:rsid w:val="00A072C8"/>
    <w:rsid w:val="00A14AEC"/>
    <w:rsid w:val="00A20916"/>
    <w:rsid w:val="00A211EB"/>
    <w:rsid w:val="00A2686C"/>
    <w:rsid w:val="00A34149"/>
    <w:rsid w:val="00A36EC3"/>
    <w:rsid w:val="00A43078"/>
    <w:rsid w:val="00A448E4"/>
    <w:rsid w:val="00A530CA"/>
    <w:rsid w:val="00A63229"/>
    <w:rsid w:val="00A632A7"/>
    <w:rsid w:val="00A65483"/>
    <w:rsid w:val="00A66F95"/>
    <w:rsid w:val="00A90281"/>
    <w:rsid w:val="00AA402A"/>
    <w:rsid w:val="00AA463F"/>
    <w:rsid w:val="00AE52A4"/>
    <w:rsid w:val="00AF025F"/>
    <w:rsid w:val="00B05DB2"/>
    <w:rsid w:val="00B1209F"/>
    <w:rsid w:val="00B2431C"/>
    <w:rsid w:val="00B26BD5"/>
    <w:rsid w:val="00B32BCA"/>
    <w:rsid w:val="00B6097D"/>
    <w:rsid w:val="00B7290B"/>
    <w:rsid w:val="00B75B9A"/>
    <w:rsid w:val="00B82E23"/>
    <w:rsid w:val="00B84778"/>
    <w:rsid w:val="00B852CA"/>
    <w:rsid w:val="00B87A42"/>
    <w:rsid w:val="00B913F6"/>
    <w:rsid w:val="00B92CD8"/>
    <w:rsid w:val="00BB18BB"/>
    <w:rsid w:val="00BB6CDA"/>
    <w:rsid w:val="00BC4363"/>
    <w:rsid w:val="00BC6100"/>
    <w:rsid w:val="00BE1AD7"/>
    <w:rsid w:val="00BE55D8"/>
    <w:rsid w:val="00C000F6"/>
    <w:rsid w:val="00C13C09"/>
    <w:rsid w:val="00C23844"/>
    <w:rsid w:val="00C279E3"/>
    <w:rsid w:val="00C33892"/>
    <w:rsid w:val="00C41D16"/>
    <w:rsid w:val="00C51CFF"/>
    <w:rsid w:val="00C5279A"/>
    <w:rsid w:val="00C61FBE"/>
    <w:rsid w:val="00C67165"/>
    <w:rsid w:val="00C74385"/>
    <w:rsid w:val="00C83F56"/>
    <w:rsid w:val="00C90D19"/>
    <w:rsid w:val="00CA4FBC"/>
    <w:rsid w:val="00CA5302"/>
    <w:rsid w:val="00CB49F0"/>
    <w:rsid w:val="00CC06AA"/>
    <w:rsid w:val="00CD0B21"/>
    <w:rsid w:val="00CD451C"/>
    <w:rsid w:val="00CF3945"/>
    <w:rsid w:val="00CF3CD1"/>
    <w:rsid w:val="00CF6A10"/>
    <w:rsid w:val="00D00A16"/>
    <w:rsid w:val="00D1600F"/>
    <w:rsid w:val="00D23216"/>
    <w:rsid w:val="00D315EF"/>
    <w:rsid w:val="00D404CC"/>
    <w:rsid w:val="00D45883"/>
    <w:rsid w:val="00D54BC8"/>
    <w:rsid w:val="00D557F8"/>
    <w:rsid w:val="00D62BAF"/>
    <w:rsid w:val="00D76BF6"/>
    <w:rsid w:val="00D77D24"/>
    <w:rsid w:val="00DB5E5C"/>
    <w:rsid w:val="00DC2675"/>
    <w:rsid w:val="00DC4632"/>
    <w:rsid w:val="00DD35A1"/>
    <w:rsid w:val="00E02D89"/>
    <w:rsid w:val="00E14991"/>
    <w:rsid w:val="00E17B9F"/>
    <w:rsid w:val="00E21254"/>
    <w:rsid w:val="00E2229D"/>
    <w:rsid w:val="00E34AB6"/>
    <w:rsid w:val="00E442D2"/>
    <w:rsid w:val="00E454F4"/>
    <w:rsid w:val="00E67DF2"/>
    <w:rsid w:val="00E74CEF"/>
    <w:rsid w:val="00E85C8B"/>
    <w:rsid w:val="00E902BD"/>
    <w:rsid w:val="00E92C59"/>
    <w:rsid w:val="00EA7603"/>
    <w:rsid w:val="00EA7EA1"/>
    <w:rsid w:val="00EB546C"/>
    <w:rsid w:val="00ED406E"/>
    <w:rsid w:val="00ED5769"/>
    <w:rsid w:val="00EE3770"/>
    <w:rsid w:val="00EF320C"/>
    <w:rsid w:val="00F00265"/>
    <w:rsid w:val="00F179F6"/>
    <w:rsid w:val="00F2230E"/>
    <w:rsid w:val="00F22F6F"/>
    <w:rsid w:val="00F40C5D"/>
    <w:rsid w:val="00F57E83"/>
    <w:rsid w:val="00F66458"/>
    <w:rsid w:val="00F70D58"/>
    <w:rsid w:val="00F7518C"/>
    <w:rsid w:val="00F823AB"/>
    <w:rsid w:val="00F86644"/>
    <w:rsid w:val="00F95739"/>
    <w:rsid w:val="00FA15EF"/>
    <w:rsid w:val="00FA6D8A"/>
    <w:rsid w:val="00FB3620"/>
    <w:rsid w:val="00FC0633"/>
    <w:rsid w:val="00FC15C0"/>
    <w:rsid w:val="00FC317C"/>
    <w:rsid w:val="00FD4C68"/>
    <w:rsid w:val="00FE0D84"/>
    <w:rsid w:val="00FF6D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7D5972"/>
    <w:pPr>
      <w:ind w:firstLine="567"/>
      <w:jc w:val="both"/>
    </w:pPr>
    <w:rPr>
      <w:szCs w:val="20"/>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character" w:customStyle="1" w:styleId="A7">
    <w:name w:val="A7"/>
    <w:uiPriority w:val="99"/>
    <w:rsid w:val="000714E0"/>
    <w:rPr>
      <w:color w:val="000000"/>
      <w:sz w:val="22"/>
    </w:rPr>
  </w:style>
  <w:style w:type="paragraph" w:styleId="BodyText">
    <w:name w:val="Body Text"/>
    <w:basedOn w:val="Normal"/>
    <w:link w:val="BodyTextChar"/>
    <w:uiPriority w:val="99"/>
    <w:rsid w:val="007F3512"/>
    <w:pPr>
      <w:suppressAutoHyphens/>
      <w:spacing w:after="120"/>
    </w:pPr>
    <w:rPr>
      <w:rFonts w:eastAsia="Times New Roman"/>
      <w:color w:val="000000"/>
      <w:sz w:val="28"/>
      <w:szCs w:val="28"/>
      <w:lang w:eastAsia="th-TH" w:bidi="th-TH"/>
    </w:rPr>
  </w:style>
  <w:style w:type="character" w:customStyle="1" w:styleId="BodyTextChar">
    <w:name w:val="Body Text Char"/>
    <w:basedOn w:val="DefaultParagraphFont"/>
    <w:link w:val="BodyText"/>
    <w:uiPriority w:val="99"/>
    <w:locked/>
    <w:rsid w:val="007F3512"/>
    <w:rPr>
      <w:rFonts w:ascii="Times New Roman" w:hAnsi="Times New Roman" w:cs="Times New Roman"/>
      <w:color w:val="000000"/>
      <w:sz w:val="28"/>
      <w:szCs w:val="28"/>
      <w:lang w:eastAsia="th-TH" w:bidi="th-TH"/>
    </w:rPr>
  </w:style>
  <w:style w:type="paragraph" w:customStyle="1" w:styleId="a">
    <w:name w:val="Прижатый влево"/>
    <w:basedOn w:val="Normal"/>
    <w:next w:val="Normal"/>
    <w:uiPriority w:val="99"/>
    <w:rsid w:val="007F3512"/>
    <w:pPr>
      <w:autoSpaceDE w:val="0"/>
      <w:autoSpaceDN w:val="0"/>
      <w:adjustRightInd w:val="0"/>
    </w:pPr>
    <w:rPr>
      <w:rFonts w:ascii="Arial" w:eastAsia="Times New Roman" w:hAnsi="Arial"/>
    </w:rPr>
  </w:style>
  <w:style w:type="character" w:customStyle="1" w:styleId="apple-converted-space">
    <w:name w:val="apple-converted-space"/>
    <w:basedOn w:val="DefaultParagraphFont"/>
    <w:uiPriority w:val="99"/>
    <w:rsid w:val="00FC317C"/>
    <w:rPr>
      <w:rFonts w:cs="Times New Roman"/>
    </w:rPr>
  </w:style>
  <w:style w:type="character" w:styleId="Hyperlink">
    <w:name w:val="Hyperlink"/>
    <w:basedOn w:val="DefaultParagraphFont"/>
    <w:uiPriority w:val="99"/>
    <w:rsid w:val="00376F1C"/>
    <w:rPr>
      <w:rFonts w:cs="Times New Roman"/>
      <w:color w:val="0000FF"/>
      <w:u w:val="single"/>
    </w:rPr>
  </w:style>
  <w:style w:type="paragraph" w:styleId="Header">
    <w:name w:val="header"/>
    <w:basedOn w:val="Normal"/>
    <w:link w:val="HeaderChar"/>
    <w:uiPriority w:val="99"/>
    <w:rsid w:val="00C61FBE"/>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eastAsia="MS Minngs" w:hAnsi="Times New Roman" w:cs="Times New Roman"/>
      <w:sz w:val="24"/>
      <w:szCs w:val="24"/>
    </w:rPr>
  </w:style>
  <w:style w:type="paragraph" w:styleId="Footer">
    <w:name w:val="footer"/>
    <w:basedOn w:val="Normal"/>
    <w:link w:val="FooterChar"/>
    <w:uiPriority w:val="99"/>
    <w:rsid w:val="00C61FBE"/>
    <w:pPr>
      <w:tabs>
        <w:tab w:val="center" w:pos="4677"/>
        <w:tab w:val="right" w:pos="9355"/>
      </w:tabs>
    </w:pPr>
  </w:style>
  <w:style w:type="character" w:customStyle="1" w:styleId="FooterChar">
    <w:name w:val="Footer Char"/>
    <w:basedOn w:val="DefaultParagraphFont"/>
    <w:link w:val="Footer"/>
    <w:uiPriority w:val="99"/>
    <w:semiHidden/>
    <w:locked/>
    <w:rPr>
      <w:rFonts w:ascii="Times New Roman" w:eastAsia="MS Minngs" w:hAnsi="Times New Roman" w:cs="Times New Roman"/>
      <w:sz w:val="24"/>
      <w:szCs w:val="24"/>
    </w:rPr>
  </w:style>
  <w:style w:type="character" w:styleId="PageNumber">
    <w:name w:val="page number"/>
    <w:basedOn w:val="DefaultParagraphFont"/>
    <w:uiPriority w:val="99"/>
    <w:rsid w:val="00C61FBE"/>
    <w:rPr>
      <w:rFonts w:cs="Times New Roman"/>
    </w:rPr>
  </w:style>
</w:styles>
</file>

<file path=word/webSettings.xml><?xml version="1.0" encoding="utf-8"?>
<w:webSettings xmlns:r="http://schemas.openxmlformats.org/officeDocument/2006/relationships" xmlns:w="http://schemas.openxmlformats.org/wordprocessingml/2006/main">
  <w:divs>
    <w:div w:id="11434221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114</TotalTime>
  <Pages>9</Pages>
  <Words>2871</Words>
  <Characters>16368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1</cp:lastModifiedBy>
  <cp:revision>15</cp:revision>
  <cp:lastPrinted>2014-01-17T11:23:00Z</cp:lastPrinted>
  <dcterms:created xsi:type="dcterms:W3CDTF">2015-01-25T09:12:00Z</dcterms:created>
  <dcterms:modified xsi:type="dcterms:W3CDTF">2015-02-26T18:22:00Z</dcterms:modified>
</cp:coreProperties>
</file>