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5771B" w:rsidRPr="00B61EAE" w:rsidTr="008A11DF">
        <w:tc>
          <w:tcPr>
            <w:tcW w:w="4643" w:type="dxa"/>
          </w:tcPr>
          <w:p w:rsidR="00A5771B" w:rsidRPr="00B61EAE" w:rsidRDefault="00A5771B" w:rsidP="0001120A">
            <w:pPr>
              <w:spacing w:after="0" w:line="240" w:lineRule="auto"/>
              <w:rPr>
                <w:rFonts w:ascii="Times New Roman" w:hAnsi="Times New Roman"/>
                <w:sz w:val="20"/>
                <w:szCs w:val="20"/>
                <w:lang w:eastAsia="en-US"/>
              </w:rPr>
            </w:pPr>
            <w:r w:rsidRPr="00B61EAE">
              <w:rPr>
                <w:rFonts w:ascii="Times New Roman" w:hAnsi="Times New Roman"/>
                <w:sz w:val="20"/>
                <w:szCs w:val="20"/>
                <w:lang w:eastAsia="en-US"/>
              </w:rPr>
              <w:t>УДК 37.014.5</w:t>
            </w:r>
          </w:p>
        </w:tc>
        <w:tc>
          <w:tcPr>
            <w:tcW w:w="4643" w:type="dxa"/>
          </w:tcPr>
          <w:p w:rsidR="00A5771B" w:rsidRPr="00B61EAE" w:rsidRDefault="00A5771B" w:rsidP="0001120A">
            <w:pPr>
              <w:spacing w:after="0" w:line="240" w:lineRule="auto"/>
              <w:rPr>
                <w:rFonts w:ascii="Times New Roman" w:hAnsi="Times New Roman"/>
                <w:sz w:val="20"/>
                <w:szCs w:val="20"/>
                <w:lang w:eastAsia="en-US"/>
              </w:rPr>
            </w:pPr>
            <w:r w:rsidRPr="00B61EAE">
              <w:rPr>
                <w:rFonts w:ascii="Times New Roman" w:hAnsi="Times New Roman"/>
                <w:sz w:val="20"/>
                <w:szCs w:val="20"/>
                <w:lang w:val="en-US" w:eastAsia="en-US"/>
              </w:rPr>
              <w:t>UD</w:t>
            </w:r>
            <w:r>
              <w:rPr>
                <w:rFonts w:ascii="Times New Roman" w:hAnsi="Times New Roman"/>
                <w:sz w:val="20"/>
                <w:szCs w:val="20"/>
                <w:lang w:eastAsia="en-US"/>
              </w:rPr>
              <w:t>С</w:t>
            </w:r>
            <w:r w:rsidRPr="00B61EAE">
              <w:rPr>
                <w:rFonts w:ascii="Times New Roman" w:hAnsi="Times New Roman"/>
                <w:sz w:val="20"/>
                <w:szCs w:val="20"/>
                <w:lang w:eastAsia="en-US"/>
              </w:rPr>
              <w:t xml:space="preserve"> 37.014.5</w:t>
            </w:r>
          </w:p>
        </w:tc>
      </w:tr>
      <w:tr w:rsidR="00A5771B" w:rsidRPr="00B61EAE" w:rsidTr="008A11DF">
        <w:tc>
          <w:tcPr>
            <w:tcW w:w="4643" w:type="dxa"/>
          </w:tcPr>
          <w:p w:rsidR="00A5771B" w:rsidRPr="00B61EAE" w:rsidRDefault="00A5771B" w:rsidP="0001120A">
            <w:pPr>
              <w:spacing w:after="0" w:line="240" w:lineRule="auto"/>
              <w:rPr>
                <w:rFonts w:ascii="Times New Roman" w:hAnsi="Times New Roman"/>
                <w:sz w:val="20"/>
                <w:szCs w:val="20"/>
                <w:lang w:eastAsia="en-US"/>
              </w:rPr>
            </w:pPr>
          </w:p>
        </w:tc>
        <w:tc>
          <w:tcPr>
            <w:tcW w:w="4643" w:type="dxa"/>
          </w:tcPr>
          <w:p w:rsidR="00A5771B" w:rsidRPr="00B61EAE" w:rsidRDefault="00A5771B" w:rsidP="0001120A">
            <w:pPr>
              <w:spacing w:after="0" w:line="240" w:lineRule="auto"/>
              <w:rPr>
                <w:rFonts w:ascii="Times New Roman" w:hAnsi="Times New Roman"/>
                <w:sz w:val="20"/>
                <w:szCs w:val="20"/>
                <w:lang w:val="en-US" w:eastAsia="en-US"/>
              </w:rPr>
            </w:pPr>
          </w:p>
        </w:tc>
      </w:tr>
      <w:tr w:rsidR="00A5771B" w:rsidRPr="0001120A" w:rsidTr="008A11DF">
        <w:tc>
          <w:tcPr>
            <w:tcW w:w="4643" w:type="dxa"/>
          </w:tcPr>
          <w:p w:rsidR="00A5771B" w:rsidRPr="00B61EAE" w:rsidRDefault="00A5771B" w:rsidP="0001120A">
            <w:pPr>
              <w:spacing w:after="0" w:line="240" w:lineRule="auto"/>
              <w:rPr>
                <w:rFonts w:ascii="Times New Roman" w:hAnsi="Times New Roman"/>
                <w:b/>
                <w:sz w:val="20"/>
                <w:szCs w:val="20"/>
                <w:lang w:eastAsia="en-US"/>
              </w:rPr>
            </w:pPr>
            <w:r w:rsidRPr="00B61EAE">
              <w:rPr>
                <w:rFonts w:ascii="Times New Roman" w:hAnsi="Times New Roman"/>
                <w:b/>
                <w:sz w:val="20"/>
                <w:szCs w:val="20"/>
                <w:lang w:eastAsia="en-US"/>
              </w:rPr>
              <w:t>ОПРЕДЕЛЕНИЕ ОСНОВНЫХ РЕГИОНАЛЬНЫХ УЧАСТНИКОВ ОБРАЗОВАТЕЛЬНОГО ПРОЦЕССА</w:t>
            </w:r>
          </w:p>
          <w:p w:rsidR="00A5771B" w:rsidRPr="00B61EAE" w:rsidRDefault="00A5771B" w:rsidP="0001120A">
            <w:pPr>
              <w:spacing w:after="0" w:line="240" w:lineRule="auto"/>
              <w:rPr>
                <w:rFonts w:ascii="Times New Roman" w:hAnsi="Times New Roman"/>
                <w:sz w:val="20"/>
                <w:szCs w:val="20"/>
                <w:lang w:eastAsia="en-US"/>
              </w:rPr>
            </w:pPr>
          </w:p>
        </w:tc>
        <w:tc>
          <w:tcPr>
            <w:tcW w:w="4643" w:type="dxa"/>
          </w:tcPr>
          <w:p w:rsidR="00A5771B" w:rsidRPr="00B61EAE" w:rsidRDefault="00A5771B" w:rsidP="0001120A">
            <w:pPr>
              <w:spacing w:after="0" w:line="240" w:lineRule="auto"/>
              <w:rPr>
                <w:rFonts w:ascii="Times New Roman" w:hAnsi="Times New Roman"/>
                <w:sz w:val="20"/>
                <w:szCs w:val="20"/>
                <w:lang w:val="en-US" w:eastAsia="en-US"/>
              </w:rPr>
            </w:pPr>
            <w:r w:rsidRPr="00B61EAE">
              <w:rPr>
                <w:rFonts w:ascii="Times New Roman" w:hAnsi="Times New Roman"/>
                <w:b/>
                <w:sz w:val="20"/>
                <w:szCs w:val="20"/>
                <w:lang w:val="en-US" w:eastAsia="en-US"/>
              </w:rPr>
              <w:t xml:space="preserve">DEFINITION OF THE MAIN REGIONAL PARTICIPANTS OF THE EDUCATIONAL PROCESS                            </w:t>
            </w:r>
          </w:p>
        </w:tc>
      </w:tr>
      <w:tr w:rsidR="00A5771B" w:rsidRPr="0001120A" w:rsidTr="008A11DF">
        <w:tc>
          <w:tcPr>
            <w:tcW w:w="4643" w:type="dxa"/>
          </w:tcPr>
          <w:p w:rsidR="00A5771B" w:rsidRPr="009B718E" w:rsidRDefault="00A5771B" w:rsidP="0001120A">
            <w:pPr>
              <w:spacing w:after="0" w:line="240" w:lineRule="auto"/>
              <w:rPr>
                <w:rFonts w:ascii="Times New Roman" w:hAnsi="Times New Roman"/>
                <w:sz w:val="20"/>
                <w:szCs w:val="20"/>
                <w:lang w:eastAsia="en-US"/>
              </w:rPr>
            </w:pPr>
            <w:r w:rsidRPr="009B718E">
              <w:rPr>
                <w:rFonts w:ascii="Times New Roman" w:hAnsi="Times New Roman"/>
                <w:sz w:val="20"/>
                <w:szCs w:val="20"/>
                <w:lang w:eastAsia="en-US"/>
              </w:rPr>
              <w:t>Борычев Сергей Николаевич</w:t>
            </w:r>
          </w:p>
          <w:p w:rsidR="00A5771B" w:rsidRPr="009B718E" w:rsidRDefault="00A5771B" w:rsidP="0001120A">
            <w:pPr>
              <w:spacing w:after="0" w:line="240" w:lineRule="auto"/>
              <w:rPr>
                <w:rFonts w:ascii="Times New Roman" w:hAnsi="Times New Roman"/>
                <w:sz w:val="20"/>
                <w:szCs w:val="20"/>
                <w:lang w:eastAsia="en-US"/>
              </w:rPr>
            </w:pPr>
            <w:r w:rsidRPr="009B718E">
              <w:rPr>
                <w:rFonts w:ascii="Times New Roman" w:hAnsi="Times New Roman"/>
                <w:sz w:val="20"/>
                <w:szCs w:val="20"/>
                <w:lang w:eastAsia="en-US"/>
              </w:rPr>
              <w:t>д.т.н., профессор</w:t>
            </w:r>
          </w:p>
        </w:tc>
        <w:tc>
          <w:tcPr>
            <w:tcW w:w="4643" w:type="dxa"/>
          </w:tcPr>
          <w:p w:rsidR="00A5771B" w:rsidRPr="009B718E" w:rsidRDefault="00A5771B" w:rsidP="0001120A">
            <w:pPr>
              <w:spacing w:after="0" w:line="240" w:lineRule="auto"/>
              <w:rPr>
                <w:rFonts w:ascii="Times New Roman" w:hAnsi="Times New Roman"/>
                <w:sz w:val="20"/>
                <w:szCs w:val="20"/>
                <w:lang w:val="en-US" w:eastAsia="en-US"/>
              </w:rPr>
            </w:pPr>
            <w:r w:rsidRPr="009B718E">
              <w:rPr>
                <w:rFonts w:ascii="Times New Roman" w:hAnsi="Times New Roman"/>
                <w:sz w:val="20"/>
                <w:szCs w:val="20"/>
                <w:lang w:val="en-US" w:eastAsia="en-US"/>
              </w:rPr>
              <w:t>Borychev Sergey Nikolaevich</w:t>
            </w:r>
          </w:p>
          <w:p w:rsidR="00A5771B" w:rsidRPr="009B718E" w:rsidRDefault="00A5771B" w:rsidP="0001120A">
            <w:pPr>
              <w:spacing w:after="0" w:line="240" w:lineRule="auto"/>
              <w:rPr>
                <w:rFonts w:ascii="Times New Roman" w:hAnsi="Times New Roman"/>
                <w:sz w:val="20"/>
                <w:szCs w:val="20"/>
                <w:lang w:val="en-US" w:eastAsia="en-US"/>
              </w:rPr>
            </w:pPr>
            <w:r w:rsidRPr="009B718E">
              <w:rPr>
                <w:rFonts w:ascii="Times New Roman" w:hAnsi="Times New Roman"/>
                <w:sz w:val="20"/>
                <w:szCs w:val="20"/>
                <w:lang w:val="en-US" w:eastAsia="en-US"/>
              </w:rPr>
              <w:t>Dr.Sci.Tech, Professor</w:t>
            </w:r>
          </w:p>
        </w:tc>
      </w:tr>
      <w:tr w:rsidR="00A5771B" w:rsidRPr="0001120A" w:rsidTr="008A11DF">
        <w:tc>
          <w:tcPr>
            <w:tcW w:w="4643" w:type="dxa"/>
          </w:tcPr>
          <w:p w:rsidR="00A5771B" w:rsidRPr="009B718E" w:rsidRDefault="00A5771B" w:rsidP="0001120A">
            <w:pPr>
              <w:spacing w:after="0" w:line="240" w:lineRule="auto"/>
              <w:rPr>
                <w:rFonts w:ascii="Times New Roman" w:hAnsi="Times New Roman"/>
                <w:i/>
                <w:sz w:val="20"/>
                <w:szCs w:val="20"/>
                <w:lang w:eastAsia="en-US"/>
              </w:rPr>
            </w:pPr>
            <w:r w:rsidRPr="009B718E">
              <w:rPr>
                <w:rFonts w:ascii="Times New Roman" w:hAnsi="Times New Roman"/>
                <w:i/>
                <w:sz w:val="20"/>
                <w:szCs w:val="20"/>
                <w:lang w:eastAsia="en-US"/>
              </w:rPr>
              <w:t>Федеральное государственное бюджетное образовательное учреждение высшего профессионального образования «Рязанский государственный агротехнологический университет имени П.А. Костычева»</w:t>
            </w:r>
          </w:p>
          <w:p w:rsidR="00A5771B" w:rsidRPr="009B718E" w:rsidRDefault="00A5771B" w:rsidP="0001120A">
            <w:pPr>
              <w:spacing w:after="0" w:line="240" w:lineRule="auto"/>
              <w:rPr>
                <w:rFonts w:ascii="Times New Roman" w:hAnsi="Times New Roman"/>
                <w:i/>
                <w:sz w:val="20"/>
                <w:szCs w:val="20"/>
                <w:lang w:eastAsia="en-US"/>
              </w:rPr>
            </w:pPr>
            <w:r w:rsidRPr="009B718E">
              <w:rPr>
                <w:rFonts w:ascii="Times New Roman" w:hAnsi="Times New Roman"/>
                <w:i/>
                <w:sz w:val="20"/>
                <w:szCs w:val="20"/>
                <w:lang w:eastAsia="en-US"/>
              </w:rPr>
              <w:t>(ФГБОУ ВПО РГАТУ)</w:t>
            </w:r>
          </w:p>
          <w:p w:rsidR="00A5771B" w:rsidRPr="009B718E" w:rsidRDefault="00A5771B" w:rsidP="0001120A">
            <w:pPr>
              <w:spacing w:after="0" w:line="240" w:lineRule="auto"/>
              <w:rPr>
                <w:rFonts w:ascii="Times New Roman" w:hAnsi="Times New Roman"/>
                <w:i/>
                <w:sz w:val="20"/>
                <w:szCs w:val="20"/>
                <w:lang w:eastAsia="en-US"/>
              </w:rPr>
            </w:pPr>
            <w:r w:rsidRPr="009B718E">
              <w:rPr>
                <w:rFonts w:ascii="Times New Roman" w:hAnsi="Times New Roman"/>
                <w:i/>
                <w:sz w:val="20"/>
                <w:szCs w:val="20"/>
                <w:lang w:eastAsia="en-US"/>
              </w:rPr>
              <w:t>РФ, г. Рязань</w:t>
            </w:r>
          </w:p>
          <w:p w:rsidR="00A5771B" w:rsidRPr="009B718E" w:rsidRDefault="00A5771B" w:rsidP="0001120A">
            <w:pPr>
              <w:spacing w:after="0" w:line="240" w:lineRule="auto"/>
              <w:rPr>
                <w:rFonts w:ascii="Times New Roman" w:hAnsi="Times New Roman"/>
                <w:sz w:val="20"/>
                <w:szCs w:val="20"/>
                <w:lang w:eastAsia="en-US"/>
              </w:rPr>
            </w:pPr>
          </w:p>
        </w:tc>
        <w:tc>
          <w:tcPr>
            <w:tcW w:w="4643" w:type="dxa"/>
          </w:tcPr>
          <w:p w:rsidR="00A5771B" w:rsidRPr="009B718E" w:rsidRDefault="00A5771B" w:rsidP="0001120A">
            <w:pPr>
              <w:spacing w:after="0" w:line="240" w:lineRule="auto"/>
              <w:rPr>
                <w:rFonts w:ascii="Times New Roman" w:hAnsi="Times New Roman"/>
                <w:i/>
                <w:sz w:val="20"/>
                <w:szCs w:val="20"/>
                <w:lang w:val="en-US" w:eastAsia="en-US"/>
              </w:rPr>
            </w:pPr>
            <w:smartTag w:uri="urn:schemas-microsoft-com:office:smarttags" w:element="PlaceName">
              <w:r w:rsidRPr="009B718E">
                <w:rPr>
                  <w:rFonts w:ascii="Times New Roman" w:hAnsi="Times New Roman"/>
                  <w:i/>
                  <w:sz w:val="20"/>
                  <w:szCs w:val="20"/>
                  <w:lang w:val="en-US" w:eastAsia="en-US"/>
                </w:rPr>
                <w:t>Federal</w:t>
              </w:r>
            </w:smartTag>
            <w:r w:rsidRPr="009B718E">
              <w:rPr>
                <w:rFonts w:ascii="Times New Roman" w:hAnsi="Times New Roman"/>
                <w:i/>
                <w:sz w:val="20"/>
                <w:szCs w:val="20"/>
                <w:lang w:val="en-US" w:eastAsia="en-US"/>
              </w:rPr>
              <w:t xml:space="preserve"> </w:t>
            </w:r>
            <w:smartTag w:uri="urn:schemas-microsoft-com:office:smarttags" w:element="PlaceType">
              <w:r w:rsidRPr="009B718E">
                <w:rPr>
                  <w:rFonts w:ascii="Times New Roman" w:hAnsi="Times New Roman"/>
                  <w:i/>
                  <w:sz w:val="20"/>
                  <w:szCs w:val="20"/>
                  <w:lang w:val="en-US" w:eastAsia="en-US"/>
                </w:rPr>
                <w:t>State</w:t>
              </w:r>
            </w:smartTag>
            <w:r w:rsidRPr="009B718E">
              <w:rPr>
                <w:rFonts w:ascii="Times New Roman" w:hAnsi="Times New Roman"/>
                <w:i/>
                <w:sz w:val="20"/>
                <w:szCs w:val="20"/>
                <w:lang w:val="en-US" w:eastAsia="en-US"/>
              </w:rPr>
              <w:t xml:space="preserve"> Budgetary Educational Institution of Higher Professional Education "</w:t>
            </w:r>
            <w:smartTag w:uri="urn:schemas-microsoft-com:office:smarttags" w:element="PlaceName">
              <w:r w:rsidRPr="009B718E">
                <w:rPr>
                  <w:rFonts w:ascii="Times New Roman" w:hAnsi="Times New Roman"/>
                  <w:i/>
                  <w:sz w:val="20"/>
                  <w:szCs w:val="20"/>
                  <w:lang w:val="en-US" w:eastAsia="en-US"/>
                </w:rPr>
                <w:t>Ryazan</w:t>
              </w:r>
            </w:smartTag>
            <w:r w:rsidRPr="009B718E">
              <w:rPr>
                <w:rFonts w:ascii="Times New Roman" w:hAnsi="Times New Roman"/>
                <w:i/>
                <w:sz w:val="20"/>
                <w:szCs w:val="20"/>
                <w:lang w:val="en-US" w:eastAsia="en-US"/>
              </w:rPr>
              <w:t xml:space="preserve"> </w:t>
            </w:r>
            <w:smartTag w:uri="urn:schemas-microsoft-com:office:smarttags" w:element="PlaceType">
              <w:r w:rsidRPr="009B718E">
                <w:rPr>
                  <w:rFonts w:ascii="Times New Roman" w:hAnsi="Times New Roman"/>
                  <w:i/>
                  <w:sz w:val="20"/>
                  <w:szCs w:val="20"/>
                  <w:lang w:val="en-US" w:eastAsia="en-US"/>
                </w:rPr>
                <w:t>State</w:t>
              </w:r>
            </w:smartTag>
            <w:r w:rsidRPr="009B718E">
              <w:rPr>
                <w:rFonts w:ascii="Times New Roman" w:hAnsi="Times New Roman"/>
                <w:i/>
                <w:sz w:val="20"/>
                <w:szCs w:val="20"/>
                <w:lang w:val="en-US" w:eastAsia="en-US"/>
              </w:rPr>
              <w:t xml:space="preserve"> </w:t>
            </w:r>
            <w:smartTag w:uri="urn:schemas-microsoft-com:office:smarttags" w:element="PlaceName">
              <w:r w:rsidRPr="009B718E">
                <w:rPr>
                  <w:rFonts w:ascii="Times New Roman" w:hAnsi="Times New Roman"/>
                  <w:i/>
                  <w:sz w:val="20"/>
                  <w:szCs w:val="20"/>
                  <w:lang w:val="en-US" w:eastAsia="en-US"/>
                </w:rPr>
                <w:t>Agrotechnological</w:t>
              </w:r>
            </w:smartTag>
            <w:r w:rsidRPr="009B718E">
              <w:rPr>
                <w:rFonts w:ascii="Times New Roman" w:hAnsi="Times New Roman"/>
                <w:i/>
                <w:sz w:val="20"/>
                <w:szCs w:val="20"/>
                <w:lang w:val="en-US" w:eastAsia="en-US"/>
              </w:rPr>
              <w:t xml:space="preserve"> </w:t>
            </w:r>
            <w:smartTag w:uri="urn:schemas-microsoft-com:office:smarttags" w:element="PlaceType">
              <w:r w:rsidRPr="009B718E">
                <w:rPr>
                  <w:rFonts w:ascii="Times New Roman" w:hAnsi="Times New Roman"/>
                  <w:i/>
                  <w:sz w:val="20"/>
                  <w:szCs w:val="20"/>
                  <w:lang w:val="en-US" w:eastAsia="en-US"/>
                </w:rPr>
                <w:t>University</w:t>
              </w:r>
            </w:smartTag>
            <w:r w:rsidRPr="009B718E">
              <w:rPr>
                <w:rFonts w:ascii="Times New Roman" w:hAnsi="Times New Roman"/>
                <w:i/>
                <w:sz w:val="20"/>
                <w:szCs w:val="20"/>
                <w:lang w:val="en-US" w:eastAsia="en-US"/>
              </w:rPr>
              <w:t xml:space="preserve"> named after P. A. Kostychev", The </w:t>
            </w:r>
            <w:smartTag w:uri="urn:schemas-microsoft-com:office:smarttags" w:element="country-region">
              <w:r w:rsidRPr="009B718E">
                <w:rPr>
                  <w:rFonts w:ascii="Times New Roman" w:hAnsi="Times New Roman"/>
                  <w:i/>
                  <w:sz w:val="20"/>
                  <w:szCs w:val="20"/>
                  <w:lang w:val="en-US" w:eastAsia="en-US"/>
                </w:rPr>
                <w:t>Russian Federation</w:t>
              </w:r>
            </w:smartTag>
            <w:r w:rsidRPr="009B718E">
              <w:rPr>
                <w:rFonts w:ascii="Times New Roman" w:hAnsi="Times New Roman"/>
                <w:i/>
                <w:sz w:val="20"/>
                <w:szCs w:val="20"/>
                <w:lang w:val="en-US" w:eastAsia="en-US"/>
              </w:rPr>
              <w:t xml:space="preserve">, </w:t>
            </w:r>
            <w:smartTag w:uri="urn:schemas-microsoft-com:office:smarttags" w:element="place">
              <w:smartTag w:uri="urn:schemas-microsoft-com:office:smarttags" w:element="City">
                <w:r w:rsidRPr="009B718E">
                  <w:rPr>
                    <w:rFonts w:ascii="Times New Roman" w:hAnsi="Times New Roman"/>
                    <w:i/>
                    <w:sz w:val="20"/>
                    <w:szCs w:val="20"/>
                    <w:lang w:val="en-US" w:eastAsia="en-US"/>
                  </w:rPr>
                  <w:t>Ryazan</w:t>
                </w:r>
              </w:smartTag>
            </w:smartTag>
          </w:p>
        </w:tc>
      </w:tr>
      <w:tr w:rsidR="00A5771B" w:rsidRPr="0001120A" w:rsidTr="008A11DF">
        <w:tc>
          <w:tcPr>
            <w:tcW w:w="4643" w:type="dxa"/>
          </w:tcPr>
          <w:p w:rsidR="00A5771B" w:rsidRPr="009B718E" w:rsidRDefault="00A5771B" w:rsidP="0001120A">
            <w:pPr>
              <w:spacing w:after="0" w:line="240" w:lineRule="auto"/>
              <w:rPr>
                <w:rFonts w:ascii="Times New Roman" w:hAnsi="Times New Roman"/>
                <w:sz w:val="20"/>
                <w:szCs w:val="20"/>
                <w:lang w:eastAsia="en-US"/>
              </w:rPr>
            </w:pPr>
            <w:r w:rsidRPr="009B718E">
              <w:rPr>
                <w:rFonts w:ascii="Times New Roman" w:hAnsi="Times New Roman"/>
                <w:sz w:val="20"/>
                <w:szCs w:val="20"/>
                <w:lang w:eastAsia="en-US"/>
              </w:rPr>
              <w:t>Абанкина Татьяна Всеволодовна</w:t>
            </w:r>
          </w:p>
          <w:p w:rsidR="00A5771B" w:rsidRPr="009B718E" w:rsidRDefault="00A5771B" w:rsidP="0001120A">
            <w:pPr>
              <w:spacing w:after="0" w:line="240" w:lineRule="auto"/>
              <w:rPr>
                <w:rFonts w:ascii="Times New Roman" w:hAnsi="Times New Roman"/>
                <w:sz w:val="20"/>
                <w:szCs w:val="20"/>
                <w:lang w:eastAsia="en-US"/>
              </w:rPr>
            </w:pPr>
            <w:r w:rsidRPr="009B718E">
              <w:rPr>
                <w:rFonts w:ascii="Times New Roman" w:hAnsi="Times New Roman"/>
                <w:sz w:val="20"/>
                <w:szCs w:val="20"/>
                <w:lang w:eastAsia="en-US"/>
              </w:rPr>
              <w:t>к.э.н., профессор</w:t>
            </w:r>
          </w:p>
        </w:tc>
        <w:tc>
          <w:tcPr>
            <w:tcW w:w="4643" w:type="dxa"/>
          </w:tcPr>
          <w:p w:rsidR="00A5771B" w:rsidRPr="009B718E" w:rsidRDefault="00A5771B" w:rsidP="0001120A">
            <w:pPr>
              <w:spacing w:after="0" w:line="240" w:lineRule="auto"/>
              <w:rPr>
                <w:rFonts w:ascii="Times New Roman" w:hAnsi="Times New Roman"/>
                <w:sz w:val="20"/>
                <w:szCs w:val="20"/>
                <w:lang w:val="en-US" w:eastAsia="en-US"/>
              </w:rPr>
            </w:pPr>
            <w:r w:rsidRPr="009B718E">
              <w:rPr>
                <w:rFonts w:ascii="Times New Roman" w:hAnsi="Times New Roman"/>
                <w:sz w:val="20"/>
                <w:szCs w:val="20"/>
                <w:lang w:val="en-US" w:eastAsia="en-US"/>
              </w:rPr>
              <w:t>Abankina Tatiana Vsevolodovna</w:t>
            </w:r>
          </w:p>
          <w:p w:rsidR="00A5771B" w:rsidRPr="009B718E" w:rsidRDefault="00A5771B" w:rsidP="0001120A">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Cand.Econ.Sci.</w:t>
            </w:r>
            <w:r w:rsidRPr="009B718E">
              <w:rPr>
                <w:rFonts w:ascii="Times New Roman" w:hAnsi="Times New Roman"/>
                <w:sz w:val="20"/>
                <w:szCs w:val="20"/>
                <w:lang w:val="en-US" w:eastAsia="en-US"/>
              </w:rPr>
              <w:t xml:space="preserve">, </w:t>
            </w:r>
            <w:r>
              <w:rPr>
                <w:rFonts w:ascii="Times New Roman" w:hAnsi="Times New Roman"/>
                <w:sz w:val="20"/>
                <w:szCs w:val="20"/>
                <w:lang w:val="en-US" w:eastAsia="en-US"/>
              </w:rPr>
              <w:t>p</w:t>
            </w:r>
            <w:r w:rsidRPr="009B718E">
              <w:rPr>
                <w:rFonts w:ascii="Times New Roman" w:hAnsi="Times New Roman"/>
                <w:sz w:val="20"/>
                <w:szCs w:val="20"/>
                <w:lang w:val="en-US" w:eastAsia="en-US"/>
              </w:rPr>
              <w:t>rofessor</w:t>
            </w:r>
          </w:p>
        </w:tc>
      </w:tr>
      <w:tr w:rsidR="00A5771B" w:rsidRPr="0001120A" w:rsidTr="008A11DF">
        <w:tc>
          <w:tcPr>
            <w:tcW w:w="4643" w:type="dxa"/>
          </w:tcPr>
          <w:p w:rsidR="00A5771B" w:rsidRPr="009B718E" w:rsidRDefault="00A5771B" w:rsidP="0001120A">
            <w:pPr>
              <w:spacing w:after="0" w:line="240" w:lineRule="auto"/>
              <w:rPr>
                <w:rFonts w:ascii="Times New Roman" w:hAnsi="Times New Roman"/>
                <w:i/>
                <w:sz w:val="20"/>
                <w:szCs w:val="20"/>
                <w:lang w:eastAsia="en-US"/>
              </w:rPr>
            </w:pPr>
            <w:r w:rsidRPr="009B718E">
              <w:rPr>
                <w:rFonts w:ascii="Times New Roman" w:hAnsi="Times New Roman"/>
                <w:i/>
                <w:sz w:val="20"/>
                <w:szCs w:val="20"/>
                <w:lang w:eastAsia="en-US"/>
              </w:rPr>
              <w:t xml:space="preserve">Национальный исследовательский университет «Высшая школа экономики» </w:t>
            </w:r>
          </w:p>
          <w:p w:rsidR="00A5771B" w:rsidRPr="009B718E" w:rsidRDefault="00A5771B" w:rsidP="0001120A">
            <w:pPr>
              <w:spacing w:after="0" w:line="240" w:lineRule="auto"/>
              <w:rPr>
                <w:rFonts w:ascii="Times New Roman" w:hAnsi="Times New Roman"/>
                <w:i/>
                <w:sz w:val="20"/>
                <w:szCs w:val="20"/>
                <w:lang w:eastAsia="en-US"/>
              </w:rPr>
            </w:pPr>
            <w:r w:rsidRPr="009B718E">
              <w:rPr>
                <w:rFonts w:ascii="Times New Roman" w:hAnsi="Times New Roman"/>
                <w:i/>
                <w:sz w:val="20"/>
                <w:szCs w:val="20"/>
                <w:lang w:eastAsia="en-US"/>
              </w:rPr>
              <w:t>РФ, г. Москва</w:t>
            </w:r>
          </w:p>
          <w:p w:rsidR="00A5771B" w:rsidRPr="009B718E" w:rsidRDefault="00A5771B" w:rsidP="0001120A">
            <w:pPr>
              <w:spacing w:after="0" w:line="240" w:lineRule="auto"/>
              <w:rPr>
                <w:rFonts w:ascii="Times New Roman" w:hAnsi="Times New Roman"/>
                <w:sz w:val="20"/>
                <w:szCs w:val="20"/>
                <w:lang w:eastAsia="en-US"/>
              </w:rPr>
            </w:pPr>
          </w:p>
        </w:tc>
        <w:tc>
          <w:tcPr>
            <w:tcW w:w="4643" w:type="dxa"/>
          </w:tcPr>
          <w:p w:rsidR="00A5771B" w:rsidRPr="009B718E" w:rsidRDefault="00A5771B" w:rsidP="0001120A">
            <w:pPr>
              <w:spacing w:after="0" w:line="240" w:lineRule="auto"/>
              <w:rPr>
                <w:rFonts w:ascii="Times New Roman" w:hAnsi="Times New Roman"/>
                <w:i/>
                <w:sz w:val="20"/>
                <w:szCs w:val="20"/>
                <w:lang w:val="en-US" w:eastAsia="en-US"/>
              </w:rPr>
            </w:pPr>
            <w:r w:rsidRPr="009B718E">
              <w:rPr>
                <w:rFonts w:ascii="Times New Roman" w:hAnsi="Times New Roman"/>
                <w:i/>
                <w:sz w:val="20"/>
                <w:szCs w:val="20"/>
                <w:lang w:val="en-US" w:eastAsia="en-US"/>
              </w:rPr>
              <w:t xml:space="preserve">National research University "Higher </w:t>
            </w:r>
            <w:smartTag w:uri="urn:schemas-microsoft-com:office:smarttags" w:element="PlaceType">
              <w:r w:rsidRPr="009B718E">
                <w:rPr>
                  <w:rFonts w:ascii="Times New Roman" w:hAnsi="Times New Roman"/>
                  <w:i/>
                  <w:sz w:val="20"/>
                  <w:szCs w:val="20"/>
                  <w:lang w:val="en-US" w:eastAsia="en-US"/>
                </w:rPr>
                <w:t>School</w:t>
              </w:r>
            </w:smartTag>
            <w:r w:rsidRPr="009B718E">
              <w:rPr>
                <w:rFonts w:ascii="Times New Roman" w:hAnsi="Times New Roman"/>
                <w:i/>
                <w:sz w:val="20"/>
                <w:szCs w:val="20"/>
                <w:lang w:val="en-US" w:eastAsia="en-US"/>
              </w:rPr>
              <w:t xml:space="preserve"> of  </w:t>
            </w:r>
            <w:smartTag w:uri="urn:schemas-microsoft-com:office:smarttags" w:element="PlaceName">
              <w:r w:rsidRPr="009B718E">
                <w:rPr>
                  <w:rFonts w:ascii="Times New Roman" w:hAnsi="Times New Roman"/>
                  <w:i/>
                  <w:sz w:val="20"/>
                  <w:szCs w:val="20"/>
                  <w:lang w:val="en-US" w:eastAsia="en-US"/>
                </w:rPr>
                <w:t>Economics</w:t>
              </w:r>
            </w:smartTag>
            <w:r w:rsidRPr="009B718E">
              <w:rPr>
                <w:rFonts w:ascii="Times New Roman" w:hAnsi="Times New Roman"/>
                <w:i/>
                <w:sz w:val="20"/>
                <w:szCs w:val="20"/>
                <w:lang w:val="en-US" w:eastAsia="en-US"/>
              </w:rPr>
              <w:t xml:space="preserve">", The </w:t>
            </w:r>
            <w:smartTag w:uri="urn:schemas-microsoft-com:office:smarttags" w:element="country-region">
              <w:r w:rsidRPr="009B718E">
                <w:rPr>
                  <w:rFonts w:ascii="Times New Roman" w:hAnsi="Times New Roman"/>
                  <w:i/>
                  <w:sz w:val="20"/>
                  <w:szCs w:val="20"/>
                  <w:lang w:val="en-US" w:eastAsia="en-US"/>
                </w:rPr>
                <w:t>Russian Federation</w:t>
              </w:r>
            </w:smartTag>
            <w:r w:rsidRPr="009B718E">
              <w:rPr>
                <w:rFonts w:ascii="Times New Roman" w:hAnsi="Times New Roman"/>
                <w:i/>
                <w:sz w:val="20"/>
                <w:szCs w:val="20"/>
                <w:lang w:val="en-US" w:eastAsia="en-US"/>
              </w:rPr>
              <w:t xml:space="preserve">, </w:t>
            </w:r>
            <w:smartTag w:uri="urn:schemas-microsoft-com:office:smarttags" w:element="place">
              <w:smartTag w:uri="urn:schemas-microsoft-com:office:smarttags" w:element="City">
                <w:r w:rsidRPr="009B718E">
                  <w:rPr>
                    <w:rFonts w:ascii="Times New Roman" w:hAnsi="Times New Roman"/>
                    <w:i/>
                    <w:sz w:val="20"/>
                    <w:szCs w:val="20"/>
                    <w:lang w:val="en-US" w:eastAsia="en-US"/>
                  </w:rPr>
                  <w:t>Moscow</w:t>
                </w:r>
              </w:smartTag>
            </w:smartTag>
          </w:p>
        </w:tc>
      </w:tr>
      <w:tr w:rsidR="00A5771B" w:rsidRPr="0001120A" w:rsidTr="008A11DF">
        <w:tc>
          <w:tcPr>
            <w:tcW w:w="4643" w:type="dxa"/>
          </w:tcPr>
          <w:p w:rsidR="00A5771B" w:rsidRPr="00B61EAE" w:rsidRDefault="00A5771B" w:rsidP="0001120A">
            <w:pPr>
              <w:spacing w:after="0" w:line="240" w:lineRule="auto"/>
              <w:rPr>
                <w:rFonts w:ascii="Times New Roman" w:hAnsi="Times New Roman"/>
                <w:b/>
                <w:sz w:val="20"/>
                <w:szCs w:val="20"/>
                <w:lang w:eastAsia="en-US"/>
              </w:rPr>
            </w:pPr>
            <w:r w:rsidRPr="00B61EAE">
              <w:rPr>
                <w:rFonts w:ascii="Times New Roman" w:hAnsi="Times New Roman"/>
                <w:spacing w:val="-4"/>
                <w:sz w:val="20"/>
                <w:szCs w:val="20"/>
                <w:lang w:eastAsia="en-US"/>
              </w:rPr>
              <w:t xml:space="preserve">Оценка деятельности системы образования потребителями образовательных услуг через развитие механизмов независимой оценки качества образования является важным и актуальным вопросом. В статье приведены исследования по </w:t>
            </w:r>
            <w:r w:rsidRPr="00B61EAE">
              <w:rPr>
                <w:rFonts w:ascii="Times New Roman" w:hAnsi="Times New Roman"/>
                <w:sz w:val="20"/>
                <w:szCs w:val="20"/>
                <w:lang w:eastAsia="en-US"/>
              </w:rPr>
              <w:t>определению основных  участников  образовательного процесса</w:t>
            </w:r>
            <w:r w:rsidRPr="00B61EAE">
              <w:rPr>
                <w:rFonts w:ascii="Times New Roman" w:hAnsi="Times New Roman"/>
                <w:spacing w:val="-4"/>
                <w:sz w:val="20"/>
                <w:szCs w:val="20"/>
                <w:lang w:eastAsia="en-US"/>
              </w:rPr>
              <w:t xml:space="preserve"> с </w:t>
            </w:r>
            <w:r w:rsidRPr="00B61EAE">
              <w:rPr>
                <w:rFonts w:ascii="Times New Roman" w:hAnsi="Times New Roman"/>
                <w:sz w:val="20"/>
                <w:szCs w:val="20"/>
                <w:lang w:eastAsia="en-US"/>
              </w:rPr>
              <w:t>учетом веса каждого стейкхолдера по результатам ранжирования</w:t>
            </w:r>
          </w:p>
          <w:p w:rsidR="00A5771B" w:rsidRPr="00B61EAE" w:rsidRDefault="00A5771B" w:rsidP="0001120A">
            <w:pPr>
              <w:spacing w:after="0" w:line="240" w:lineRule="auto"/>
              <w:rPr>
                <w:rFonts w:ascii="Times New Roman" w:hAnsi="Times New Roman"/>
                <w:sz w:val="20"/>
                <w:szCs w:val="20"/>
                <w:lang w:eastAsia="en-US"/>
              </w:rPr>
            </w:pPr>
          </w:p>
        </w:tc>
        <w:tc>
          <w:tcPr>
            <w:tcW w:w="4643" w:type="dxa"/>
          </w:tcPr>
          <w:p w:rsidR="00A5771B" w:rsidRPr="00AE4F7B" w:rsidRDefault="00A5771B" w:rsidP="0001120A">
            <w:pPr>
              <w:spacing w:after="0" w:line="240" w:lineRule="auto"/>
              <w:rPr>
                <w:rFonts w:ascii="Times New Roman" w:hAnsi="Times New Roman"/>
                <w:sz w:val="20"/>
                <w:szCs w:val="20"/>
                <w:lang w:val="en-US" w:eastAsia="en-US"/>
              </w:rPr>
            </w:pPr>
            <w:r w:rsidRPr="00B61EAE">
              <w:rPr>
                <w:rFonts w:ascii="Times New Roman" w:hAnsi="Times New Roman"/>
                <w:sz w:val="20"/>
                <w:szCs w:val="20"/>
                <w:lang w:val="en-US" w:eastAsia="en-US"/>
              </w:rPr>
              <w:t>Engagement of educational services consumers in assessment of educational system activities through development of mechanisms for independent assessment of education quality is an important and urgent issue. The article provides review of methods for assessment of consumer satisfa</w:t>
            </w:r>
            <w:r>
              <w:rPr>
                <w:rFonts w:ascii="Times New Roman" w:hAnsi="Times New Roman"/>
                <w:sz w:val="20"/>
                <w:szCs w:val="20"/>
                <w:lang w:val="en-US" w:eastAsia="en-US"/>
              </w:rPr>
              <w:t>ction with educational programs</w:t>
            </w:r>
          </w:p>
        </w:tc>
      </w:tr>
      <w:tr w:rsidR="00A5771B" w:rsidRPr="0001120A" w:rsidTr="008A11DF">
        <w:tc>
          <w:tcPr>
            <w:tcW w:w="4643" w:type="dxa"/>
          </w:tcPr>
          <w:p w:rsidR="00A5771B" w:rsidRPr="00AE4F7B" w:rsidRDefault="00A5771B" w:rsidP="0001120A">
            <w:pPr>
              <w:spacing w:after="0" w:line="240" w:lineRule="auto"/>
              <w:rPr>
                <w:rFonts w:ascii="Times New Roman" w:hAnsi="Times New Roman"/>
                <w:sz w:val="20"/>
                <w:szCs w:val="20"/>
                <w:lang w:eastAsia="en-US"/>
              </w:rPr>
            </w:pPr>
            <w:r w:rsidRPr="00B61EAE">
              <w:rPr>
                <w:rFonts w:ascii="Times New Roman" w:hAnsi="Times New Roman"/>
                <w:spacing w:val="-4"/>
                <w:sz w:val="20"/>
                <w:szCs w:val="20"/>
                <w:lang w:eastAsia="en-US"/>
              </w:rPr>
              <w:t>Ключевые слова:</w:t>
            </w:r>
            <w:r w:rsidRPr="00B61EAE">
              <w:rPr>
                <w:rFonts w:ascii="Times New Roman" w:hAnsi="Times New Roman"/>
                <w:sz w:val="20"/>
                <w:szCs w:val="20"/>
                <w:lang w:eastAsia="en-US"/>
              </w:rPr>
              <w:t xml:space="preserve"> ОБРАЗОВАТЕЛЬНЫЕ УСЛУГИ,</w:t>
            </w:r>
            <w:r w:rsidRPr="00B61EAE">
              <w:rPr>
                <w:rFonts w:ascii="Times New Roman" w:hAnsi="Times New Roman"/>
                <w:spacing w:val="-4"/>
                <w:sz w:val="20"/>
                <w:szCs w:val="20"/>
                <w:lang w:eastAsia="en-US"/>
              </w:rPr>
              <w:t xml:space="preserve"> ОЦЕНКА КАЧЕСТВА ОБРАЗОВАНИЯ,</w:t>
            </w:r>
            <w:r w:rsidRPr="00B61EAE">
              <w:rPr>
                <w:rFonts w:ascii="Times New Roman" w:hAnsi="Times New Roman"/>
                <w:sz w:val="20"/>
                <w:szCs w:val="20"/>
                <w:lang w:eastAsia="en-US"/>
              </w:rPr>
              <w:t xml:space="preserve"> ОЦЕНКА УДОВЛЕТВОРЕННОСТИ ПОТРЕБИТЕЛЯ, ТЕСТОВЫЕ МЕТОДИКИ, МОНИТОРИНГ, КРИТЕРИИ КАЧЕСТВА, ИНТЕГРАЛЬНЫЙ ИНДЕКС, КОЭФФИЦИЕНТЫ ВЕСОМОСТИ</w:t>
            </w:r>
          </w:p>
        </w:tc>
        <w:tc>
          <w:tcPr>
            <w:tcW w:w="4643" w:type="dxa"/>
          </w:tcPr>
          <w:p w:rsidR="00A5771B" w:rsidRPr="00B61EAE" w:rsidRDefault="00A5771B" w:rsidP="0001120A">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Key</w:t>
            </w:r>
            <w:r w:rsidRPr="00B61EAE">
              <w:rPr>
                <w:rFonts w:ascii="Times New Roman" w:hAnsi="Times New Roman"/>
                <w:sz w:val="20"/>
                <w:szCs w:val="20"/>
                <w:lang w:val="en-US" w:eastAsia="en-US"/>
              </w:rPr>
              <w:t>words: EDUCATIONAL SERVICES, ASSESSMENT OF EDUCATION QUALITY, ASSESSMENT OF CONSUMER SATISFACTION, TEST METHODS, MONITORING, QUALITY CRITERIA, INTEGRAL INDEX, IMPORTANCE RATIONS</w:t>
            </w:r>
          </w:p>
        </w:tc>
      </w:tr>
    </w:tbl>
    <w:p w:rsidR="00A5771B" w:rsidRPr="00BE38F0" w:rsidRDefault="00A5771B" w:rsidP="00E20659">
      <w:pPr>
        <w:spacing w:after="0" w:line="360" w:lineRule="auto"/>
        <w:jc w:val="center"/>
        <w:rPr>
          <w:rFonts w:ascii="Times New Roman" w:hAnsi="Times New Roman"/>
          <w:sz w:val="28"/>
          <w:szCs w:val="28"/>
          <w:lang w:val="en-US"/>
        </w:rPr>
      </w:pPr>
    </w:p>
    <w:p w:rsidR="00A5771B" w:rsidRPr="00E20659" w:rsidRDefault="00A5771B" w:rsidP="00B74596">
      <w:pPr>
        <w:spacing w:after="0" w:line="360" w:lineRule="auto"/>
        <w:jc w:val="both"/>
        <w:rPr>
          <w:rFonts w:ascii="Times New Roman" w:hAnsi="Times New Roman"/>
          <w:b/>
          <w:sz w:val="28"/>
          <w:szCs w:val="28"/>
        </w:rPr>
      </w:pPr>
      <w:r w:rsidRPr="00F32532">
        <w:rPr>
          <w:rFonts w:ascii="Times New Roman" w:hAnsi="Times New Roman"/>
          <w:sz w:val="28"/>
          <w:szCs w:val="28"/>
          <w:lang w:val="en-US"/>
        </w:rPr>
        <w:t xml:space="preserve">      </w:t>
      </w:r>
      <w:r w:rsidRPr="00E20659">
        <w:rPr>
          <w:rFonts w:ascii="Times New Roman" w:hAnsi="Times New Roman"/>
          <w:sz w:val="28"/>
          <w:szCs w:val="28"/>
        </w:rPr>
        <w:t>Стратегической целью современной государственной политики в области образования в соответствии с концепцией долгосрочного социально-экономического развития Российской Федерации на период до 2020 года является повышение доступности качественного образования, которое должно соответствовать современным потребностям общества и каждого гражданина, а также находиться в соответствии с требованиями инновационного развития экономики.</w:t>
      </w:r>
    </w:p>
    <w:p w:rsidR="00A5771B" w:rsidRPr="00E20659" w:rsidRDefault="00A5771B" w:rsidP="00E20659">
      <w:pPr>
        <w:spacing w:after="0" w:line="360" w:lineRule="auto"/>
        <w:ind w:firstLine="567"/>
        <w:jc w:val="both"/>
        <w:rPr>
          <w:rFonts w:ascii="Times New Roman" w:hAnsi="Times New Roman"/>
          <w:spacing w:val="-4"/>
          <w:sz w:val="28"/>
          <w:szCs w:val="28"/>
        </w:rPr>
      </w:pPr>
      <w:r w:rsidRPr="00E20659">
        <w:rPr>
          <w:rFonts w:ascii="Times New Roman" w:hAnsi="Times New Roman"/>
          <w:spacing w:val="-4"/>
          <w:sz w:val="28"/>
          <w:szCs w:val="28"/>
        </w:rPr>
        <w:t>Одной из задач подпрограммы 3 «Развитие системы качества образования и информационной прозрачности системы образования» государственной программы Российской Федерации «Развитие образования на 2013 – 2020 годы, принятой Постановлением правительства от 15 апреля 2014 года № 295, является «… включение потребителей образовательных услуг в оценку деятельности системы образования через развитие механизмов независимой оценки качества образования…»[1]. Учитывая вышесказанное при оценке качества образования, мнение потребителей образовательных услуг крайне важно.</w:t>
      </w:r>
    </w:p>
    <w:p w:rsidR="00A5771B" w:rsidRDefault="00A5771B" w:rsidP="00E20659">
      <w:pPr>
        <w:spacing w:line="360" w:lineRule="auto"/>
        <w:ind w:firstLine="567"/>
        <w:jc w:val="both"/>
        <w:rPr>
          <w:rFonts w:ascii="Times New Roman" w:hAnsi="Times New Roman"/>
          <w:color w:val="000000"/>
          <w:sz w:val="28"/>
          <w:szCs w:val="28"/>
        </w:rPr>
      </w:pPr>
      <w:r w:rsidRPr="00E20659">
        <w:rPr>
          <w:rFonts w:ascii="Times New Roman" w:hAnsi="Times New Roman"/>
          <w:spacing w:val="-4"/>
          <w:sz w:val="28"/>
          <w:szCs w:val="28"/>
        </w:rPr>
        <w:t xml:space="preserve">Существуют различные подходы к измерению удовлетворенности потребителя. Для оценки данного показателя в государственном масштабе разработаны национальные индексы удовлетворенности клиентов (американский, швейцарский и европейский). В рамках подготовки к вступлению в ВТО создан российский индекс удовлетворенности потребителя [2]. В России действует </w:t>
      </w:r>
      <w:r w:rsidRPr="00E20659">
        <w:rPr>
          <w:rFonts w:ascii="Times New Roman" w:hAnsi="Times New Roman"/>
          <w:color w:val="000000"/>
          <w:sz w:val="28"/>
          <w:szCs w:val="28"/>
        </w:rPr>
        <w:t xml:space="preserve">EPSI RUS – подразделение международной исследовательской компании EPSI Research Services, основной специализацией которой является измерение нефинансовых показателей деятельности компаний и организаций разных отраслей и профилей. Проект EPSI  </w:t>
      </w:r>
      <w:r w:rsidRPr="00E20659">
        <w:rPr>
          <w:rFonts w:ascii="Times New Roman" w:hAnsi="Times New Roman"/>
          <w:color w:val="000000"/>
          <w:sz w:val="28"/>
          <w:szCs w:val="28"/>
          <w:lang w:val="en-US"/>
        </w:rPr>
        <w:t>Rating</w:t>
      </w:r>
      <w:r w:rsidRPr="00E20659">
        <w:rPr>
          <w:rFonts w:ascii="Times New Roman" w:hAnsi="Times New Roman"/>
          <w:color w:val="000000"/>
          <w:sz w:val="28"/>
          <w:szCs w:val="28"/>
        </w:rPr>
        <w:t xml:space="preserve"> данной организации направлен на измерение удовлетворенности потребителей.  </w:t>
      </w:r>
    </w:p>
    <w:p w:rsidR="00A5771B" w:rsidRPr="00AA2F87" w:rsidRDefault="00A5771B" w:rsidP="00232EDC">
      <w:pPr>
        <w:spacing w:after="0" w:line="360" w:lineRule="auto"/>
        <w:ind w:firstLine="708"/>
        <w:jc w:val="both"/>
        <w:rPr>
          <w:rFonts w:ascii="Times New Roman" w:hAnsi="Times New Roman"/>
          <w:sz w:val="28"/>
          <w:szCs w:val="28"/>
        </w:rPr>
      </w:pPr>
      <w:r w:rsidRPr="00AA2F87">
        <w:rPr>
          <w:rFonts w:ascii="Times New Roman" w:hAnsi="Times New Roman"/>
          <w:sz w:val="28"/>
          <w:szCs w:val="28"/>
        </w:rPr>
        <w:t>В институциональных исследованиях, позволяющих определить релевантную группу, наиболее популярными являются методы пороговый, на основе кластерного анализа, экспертной панели и гибридный [</w:t>
      </w:r>
      <w:r>
        <w:rPr>
          <w:rFonts w:ascii="Times New Roman" w:hAnsi="Times New Roman"/>
          <w:sz w:val="28"/>
          <w:szCs w:val="28"/>
        </w:rPr>
        <w:t>7</w:t>
      </w:r>
      <w:r w:rsidRPr="00AA2F87">
        <w:rPr>
          <w:rFonts w:ascii="Times New Roman" w:hAnsi="Times New Roman"/>
          <w:sz w:val="28"/>
          <w:szCs w:val="28"/>
        </w:rPr>
        <w:t>]. Пороговый метод (или метод «ближайшего соседа») предполагает определение допустимых интервалов для значений параметров сравнения,  с использованием параметров с интервальными шкалами, такими как бюджет вуза, количество студентов и т.п. Могут использоваться и номинальные шкалы, такие как регион расположения, государственный или</w:t>
      </w:r>
      <w:r>
        <w:rPr>
          <w:rFonts w:ascii="Times New Roman" w:hAnsi="Times New Roman"/>
          <w:sz w:val="28"/>
          <w:szCs w:val="28"/>
        </w:rPr>
        <w:t xml:space="preserve"> не государственный вуз и т.п. П</w:t>
      </w:r>
      <w:r w:rsidRPr="00AA2F87">
        <w:rPr>
          <w:rFonts w:ascii="Times New Roman" w:hAnsi="Times New Roman"/>
          <w:sz w:val="28"/>
          <w:szCs w:val="28"/>
        </w:rPr>
        <w:t>ри относительной простоте реализации метода, в качестве недостатка</w:t>
      </w:r>
      <w:r>
        <w:rPr>
          <w:rFonts w:ascii="Times New Roman" w:hAnsi="Times New Roman"/>
          <w:sz w:val="28"/>
          <w:szCs w:val="28"/>
        </w:rPr>
        <w:t>,</w:t>
      </w:r>
      <w:r w:rsidRPr="00E50D0C">
        <w:rPr>
          <w:rFonts w:ascii="Times New Roman" w:hAnsi="Times New Roman"/>
          <w:sz w:val="28"/>
          <w:szCs w:val="28"/>
        </w:rPr>
        <w:t xml:space="preserve"> </w:t>
      </w:r>
      <w:r w:rsidRPr="00AA2F87">
        <w:rPr>
          <w:rFonts w:ascii="Times New Roman" w:hAnsi="Times New Roman"/>
          <w:sz w:val="28"/>
          <w:szCs w:val="28"/>
        </w:rPr>
        <w:t>подчеркивают</w:t>
      </w:r>
      <w:r w:rsidRPr="00E50D0C">
        <w:rPr>
          <w:rFonts w:ascii="Times New Roman" w:hAnsi="Times New Roman"/>
          <w:sz w:val="28"/>
          <w:szCs w:val="28"/>
        </w:rPr>
        <w:t xml:space="preserve"> </w:t>
      </w:r>
      <w:r>
        <w:rPr>
          <w:rFonts w:ascii="Times New Roman" w:hAnsi="Times New Roman"/>
          <w:sz w:val="28"/>
          <w:szCs w:val="28"/>
        </w:rPr>
        <w:t>а</w:t>
      </w:r>
      <w:r w:rsidRPr="00AA2F87">
        <w:rPr>
          <w:rFonts w:ascii="Times New Roman" w:hAnsi="Times New Roman"/>
          <w:sz w:val="28"/>
          <w:szCs w:val="28"/>
        </w:rPr>
        <w:t>вторы</w:t>
      </w:r>
      <w:r>
        <w:rPr>
          <w:rFonts w:ascii="Times New Roman" w:hAnsi="Times New Roman"/>
          <w:sz w:val="28"/>
          <w:szCs w:val="28"/>
        </w:rPr>
        <w:t>,</w:t>
      </w:r>
      <w:r w:rsidRPr="00AA2F87">
        <w:rPr>
          <w:rFonts w:ascii="Times New Roman" w:hAnsi="Times New Roman"/>
          <w:sz w:val="28"/>
          <w:szCs w:val="28"/>
        </w:rPr>
        <w:t xml:space="preserve"> – произвольность выбора характеристик для сравнения. Наиболее корректным</w:t>
      </w:r>
      <w:r w:rsidRPr="00654AFC">
        <w:rPr>
          <w:rFonts w:ascii="Times New Roman" w:hAnsi="Times New Roman"/>
          <w:sz w:val="28"/>
          <w:szCs w:val="28"/>
        </w:rPr>
        <w:t>,</w:t>
      </w:r>
      <w:r w:rsidRPr="00AA2F87">
        <w:rPr>
          <w:rFonts w:ascii="Times New Roman" w:hAnsi="Times New Roman"/>
          <w:sz w:val="28"/>
          <w:szCs w:val="28"/>
        </w:rPr>
        <w:t xml:space="preserve"> с точки зрения объективности получаемых результатов</w:t>
      </w:r>
      <w:r w:rsidRPr="00654AFC">
        <w:rPr>
          <w:rFonts w:ascii="Times New Roman" w:hAnsi="Times New Roman"/>
          <w:sz w:val="28"/>
          <w:szCs w:val="28"/>
        </w:rPr>
        <w:t xml:space="preserve">, </w:t>
      </w:r>
      <w:r>
        <w:rPr>
          <w:rFonts w:ascii="Times New Roman" w:hAnsi="Times New Roman"/>
          <w:sz w:val="28"/>
          <w:szCs w:val="28"/>
        </w:rPr>
        <w:t xml:space="preserve">является </w:t>
      </w:r>
      <w:r w:rsidRPr="00AA2F87">
        <w:rPr>
          <w:rFonts w:ascii="Times New Roman" w:hAnsi="Times New Roman"/>
          <w:sz w:val="28"/>
          <w:szCs w:val="28"/>
        </w:rPr>
        <w:t>метод кластерного анализа, подразумевающий использование статистических процедур для выделения кластеров релевантных вузов. Одн</w:t>
      </w:r>
      <w:r>
        <w:rPr>
          <w:rFonts w:ascii="Times New Roman" w:hAnsi="Times New Roman"/>
          <w:sz w:val="28"/>
          <w:szCs w:val="28"/>
        </w:rPr>
        <w:t>ако данный метод требует наличия</w:t>
      </w:r>
      <w:r w:rsidRPr="00AA2F87">
        <w:rPr>
          <w:rFonts w:ascii="Times New Roman" w:hAnsi="Times New Roman"/>
          <w:sz w:val="28"/>
          <w:szCs w:val="28"/>
        </w:rPr>
        <w:t xml:space="preserve"> единой базы данных с характеристиками вузов для анализа. Выводы зачастую не всегда имеют простое обоснование, что затрудняет их принятие всеми вузовскими стйкхолдерами. Метод экспертной панели предполагает выбор вузов на основании консенсуса между группой выбранных экспертов. Метод используется в международных сравнительных институциональных исследованиях, подразумевает отсутствие открытой базы количественных данных для сравнения между параметрами вузов. Многие авторы среди оптимальных методов для выбора релевантной группы вузов указывают на  гибридный метод, однако отмечают его трудозатратность [</w:t>
      </w:r>
      <w:r>
        <w:rPr>
          <w:rFonts w:ascii="Times New Roman" w:hAnsi="Times New Roman"/>
          <w:sz w:val="28"/>
          <w:szCs w:val="28"/>
        </w:rPr>
        <w:t>7</w:t>
      </w:r>
      <w:r w:rsidRPr="00AA2F87">
        <w:rPr>
          <w:rFonts w:ascii="Times New Roman" w:hAnsi="Times New Roman"/>
          <w:sz w:val="28"/>
          <w:szCs w:val="28"/>
        </w:rPr>
        <w:t>].</w:t>
      </w:r>
    </w:p>
    <w:p w:rsidR="00A5771B" w:rsidRPr="00AA2F87" w:rsidRDefault="00A5771B" w:rsidP="00232EDC">
      <w:pPr>
        <w:spacing w:after="0" w:line="360" w:lineRule="auto"/>
        <w:ind w:firstLine="708"/>
        <w:jc w:val="both"/>
        <w:rPr>
          <w:rFonts w:ascii="Times New Roman" w:hAnsi="Times New Roman"/>
          <w:sz w:val="28"/>
          <w:szCs w:val="28"/>
        </w:rPr>
      </w:pPr>
      <w:r w:rsidRPr="00AA2F87">
        <w:rPr>
          <w:rFonts w:ascii="Times New Roman" w:hAnsi="Times New Roman"/>
          <w:sz w:val="28"/>
          <w:szCs w:val="28"/>
        </w:rPr>
        <w:t>Анализируя мнения отечественных и зарубежных авторов</w:t>
      </w:r>
      <w:r>
        <w:rPr>
          <w:rFonts w:ascii="Times New Roman" w:hAnsi="Times New Roman"/>
          <w:sz w:val="28"/>
          <w:szCs w:val="28"/>
        </w:rPr>
        <w:t>,</w:t>
      </w:r>
      <w:r w:rsidRPr="00AA2F87">
        <w:rPr>
          <w:rFonts w:ascii="Times New Roman" w:hAnsi="Times New Roman"/>
          <w:sz w:val="28"/>
          <w:szCs w:val="28"/>
        </w:rPr>
        <w:t xml:space="preserve"> очевидно</w:t>
      </w:r>
      <w:r>
        <w:rPr>
          <w:rFonts w:ascii="Times New Roman" w:hAnsi="Times New Roman"/>
          <w:sz w:val="28"/>
          <w:szCs w:val="28"/>
        </w:rPr>
        <w:t>,</w:t>
      </w:r>
      <w:r w:rsidRPr="00AA2F87">
        <w:rPr>
          <w:rFonts w:ascii="Times New Roman" w:hAnsi="Times New Roman"/>
          <w:sz w:val="28"/>
          <w:szCs w:val="28"/>
        </w:rPr>
        <w:t xml:space="preserve"> что сопоставления между вузами при сравнительных инст</w:t>
      </w:r>
      <w:r>
        <w:rPr>
          <w:rFonts w:ascii="Times New Roman" w:hAnsi="Times New Roman"/>
          <w:sz w:val="28"/>
          <w:szCs w:val="28"/>
        </w:rPr>
        <w:t>ит</w:t>
      </w:r>
      <w:r w:rsidRPr="00AA2F87">
        <w:rPr>
          <w:rFonts w:ascii="Times New Roman" w:hAnsi="Times New Roman"/>
          <w:sz w:val="28"/>
          <w:szCs w:val="28"/>
        </w:rPr>
        <w:t>уциональных исследованиях, подразумевающих опрос студентов и оценку параметров учебного процесса</w:t>
      </w:r>
      <w:r>
        <w:rPr>
          <w:rFonts w:ascii="Times New Roman" w:hAnsi="Times New Roman"/>
          <w:sz w:val="28"/>
          <w:szCs w:val="28"/>
        </w:rPr>
        <w:t>,</w:t>
      </w:r>
      <w:r w:rsidRPr="00AA2F87">
        <w:rPr>
          <w:rFonts w:ascii="Times New Roman" w:hAnsi="Times New Roman"/>
          <w:sz w:val="28"/>
          <w:szCs w:val="28"/>
        </w:rPr>
        <w:t xml:space="preserve"> не совсем корректно. Это объясняется тем, что различные вузы имеют неодинаковый набор и компоновку факультетов, что является важным моментом при  межвузовском сравнении, а так же различия между содержанием рабочих программ, методиками преподавания, характеристиками студентов, выбирающих те или иные программы, что влияет на распределение ответов. Более адекватным решением в данной ситуации является предлагаемое многими авторами сравнение образовательных программ [</w:t>
      </w:r>
      <w:r>
        <w:rPr>
          <w:rFonts w:ascii="Times New Roman" w:hAnsi="Times New Roman"/>
          <w:sz w:val="28"/>
          <w:szCs w:val="28"/>
        </w:rPr>
        <w:t>3,7</w:t>
      </w:r>
      <w:r w:rsidRPr="00AA2F87">
        <w:rPr>
          <w:rFonts w:ascii="Times New Roman" w:hAnsi="Times New Roman"/>
          <w:sz w:val="28"/>
          <w:szCs w:val="28"/>
        </w:rPr>
        <w:t>].</w:t>
      </w:r>
    </w:p>
    <w:p w:rsidR="00A5771B" w:rsidRPr="00E20659" w:rsidRDefault="00A5771B" w:rsidP="00E20659">
      <w:pPr>
        <w:spacing w:line="360" w:lineRule="auto"/>
        <w:ind w:firstLine="567"/>
        <w:jc w:val="both"/>
        <w:rPr>
          <w:rFonts w:ascii="Times New Roman" w:hAnsi="Times New Roman"/>
          <w:spacing w:val="-4"/>
          <w:sz w:val="28"/>
          <w:szCs w:val="28"/>
        </w:rPr>
      </w:pP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Необходимость учитывать мнение потребителей образовательных услуг – студентов, выпускников, работодателей – отмечают многие авторы. Е.В. Кузнецова считает, что изучение и анализ их мнения, своевременная реакция  в виде корректирующих действий – одно из важных звеньев функционирования системы [3]. Такого мнения придерживается большинство авторов. Например, при апробации методики выявления и учета удовлетворенности потребителей процессами образовательной деятельности в ВоГТУ потребители были разделены на внешних и внутренних. К внешним потребителям были отнесены абитуриенты, студенты, выпускники, родители, попечители, работодатели, государство; а к внутренним – работники университета (профессорско-преподавательский состав, высшее руководство, административно-управленческий персонал, учебно-вспомогательный персонал) [4]. Популярны тестовые методики,  позволяющие провести мониторинг и оценку не только конечного результата, но и самого процесса обучения [5].</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Анализируя мнения отечественных и зарубежных авторов, очевидно, что сопоставления между вузами при сравнительных институциональных исследованиях, подразумевающих опрос студентов и оценку параметров учебного процесса, не совсем корректно. Это объясняется тем, что различные вузы имеют неодинаковый набор и компоновку факультетов, что является важным моментом при  межвузовском сравнении, а так же различия между содержанием рабочих программ, методиками преподавания, характеристиками студентов, выбирающих те или иные программы, что влияет на распределение ответов. Более адекватным решением в данной ситуации является предлагаемое многими авторами сравнение образовательных программ [4, 6].</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При реализации  вертикально интегрированных программ необходимо учитывать мнение потребителей образовательных услуг – студентов, выпускников, работодателей. Е.В. Кузнецова считает, что изучение и анализ их мнения, своевременная реакция  в виде корректирующих действий – одно из важных звеньев функционирования системы [3]. Такого мнения придерживается большинство авторов. Например, при апробации методики выявления и учета удовлетворенности потребителей процессами образовательной деятельности в ВоГТУ потребители были разделены на внешних и внутренних. К внешним потребителям были отнесены абитуриенты, студенты, выпускники, родители, попечители, работодатели, государство; а к внутренним – работники университета (профессорско-преподавательский состав, высшее руководство, административно- управленческий  персонал, учебно-вспомогательный персонал) [4]. Популярны тестовые методики,  позволяющие провести мониторинг и оценку не только конечного результата, но и самого процесса обучения [3].</w:t>
      </w:r>
    </w:p>
    <w:p w:rsidR="00A5771B" w:rsidRPr="00E20659" w:rsidRDefault="00A5771B" w:rsidP="00E20659">
      <w:pPr>
        <w:spacing w:after="0" w:line="360" w:lineRule="auto"/>
        <w:ind w:firstLine="708"/>
        <w:jc w:val="both"/>
        <w:rPr>
          <w:rFonts w:ascii="Times New Roman" w:hAnsi="Times New Roman"/>
          <w:sz w:val="28"/>
          <w:szCs w:val="28"/>
        </w:rPr>
      </w:pP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 xml:space="preserve">Как показывает анализ литературы, в настоящее время отсутствует единый подход и не существует единого мнения в определении того, какой уровень удовлетворенности можно считать приемлемым, к вычислению обобщающей характеристики, отражающей удовлетворенность потребителей предоставляемыми им услугами[6].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t>Возникает необходимость в обобщении опыта исследователей в данном направлении и разработке объективной методики оценки образовательных программ, учитывающей интересы всех стейкхолдеров образовательного процесса.</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Для того чтобы учитывать требования и критерии потребителя необходимо, прежде всего определить основных  стейкхолдеров процесса, учитывая специфику региона, экономическую ситуацию, проблемы рынка труда, а так же важно определить вес каждого стейкхолдера в процессе.</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 xml:space="preserve">Исследования проводились в аграрном региональном университете. На основании анализа литературы в данном направлении было проведено первичное определение участников образовательного процесса (студенты, работодатели - ведущие сельскохозяйственные предприятий Рязанской области, преподаватели университета; сотрудники министерств труда и сельского хозяйства, учебно-вспомогательный персонал, родители студентов.)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r>
      <w:r w:rsidRPr="00E20659">
        <w:rPr>
          <w:rFonts w:ascii="Times New Roman" w:hAnsi="Times New Roman"/>
          <w:sz w:val="28"/>
          <w:szCs w:val="28"/>
        </w:rPr>
        <w:tab/>
        <w:t xml:space="preserve">Данные анализа учтены при разработке анкеты для интервьюирования участников образовательного процесса. Однако, учитывая специфику региона, экономическую ситуацию, проблемы рынка труда, необходимо учитывать мнение всех участников образовательного процесса, поэтому, в анкеты были включены дополнительные вопросы: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1. Кто, по Вашему мнению, является основным стейкхолдером образовательного процесса. Нужное подчеркнуть (студенты, выпускники, работодатели, сотрудники вуза, сотрудники министерств труда и сельского хозяйства, родители, другие стейкхолдеры (указать).</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2. Кто в Рязанской области заинтересован в выпускниках по образовательной программе «Агроинженерия».</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 xml:space="preserve">3. Кто в Рязанской области заинтересован в реализации программы по «Агроинженерии» в Рязанской области.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4. Укажите основные требования к образовательной программе «Агроинженерия».</w:t>
      </w:r>
    </w:p>
    <w:p w:rsidR="00A5771B"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Участники образовательного процесса могли вписать  дополнительных стейкхолдеров образовательного процесса.  Условием включения в исследования новых стейкхолдеров являлось упоминание в опроснике данного стейкхолдера в количестве 5% и выше.</w:t>
      </w:r>
    </w:p>
    <w:p w:rsidR="00A5771B" w:rsidRPr="00E20659" w:rsidRDefault="00A5771B" w:rsidP="00486134">
      <w:pPr>
        <w:spacing w:after="0" w:line="360" w:lineRule="auto"/>
        <w:ind w:firstLine="708"/>
        <w:jc w:val="both"/>
        <w:rPr>
          <w:rFonts w:ascii="Times New Roman" w:hAnsi="Times New Roman"/>
          <w:sz w:val="28"/>
          <w:szCs w:val="28"/>
        </w:rPr>
      </w:pPr>
      <w:r w:rsidRPr="00E20659">
        <w:rPr>
          <w:rFonts w:ascii="Times New Roman" w:hAnsi="Times New Roman"/>
          <w:sz w:val="28"/>
          <w:szCs w:val="28"/>
        </w:rPr>
        <w:t xml:space="preserve">Анализ полученных результатов проводился на основе  статистической обработки полученных интервью.  </w:t>
      </w:r>
    </w:p>
    <w:p w:rsidR="00A5771B" w:rsidRPr="00E20659" w:rsidRDefault="00A5771B" w:rsidP="00486134">
      <w:pPr>
        <w:spacing w:after="0" w:line="360" w:lineRule="auto"/>
        <w:ind w:firstLine="708"/>
        <w:jc w:val="both"/>
        <w:rPr>
          <w:rFonts w:ascii="Times New Roman" w:hAnsi="Times New Roman"/>
          <w:sz w:val="28"/>
          <w:szCs w:val="28"/>
        </w:rPr>
      </w:pPr>
      <w:r w:rsidRPr="00E20659">
        <w:rPr>
          <w:rFonts w:ascii="Times New Roman" w:hAnsi="Times New Roman"/>
          <w:sz w:val="28"/>
          <w:szCs w:val="28"/>
        </w:rPr>
        <w:t xml:space="preserve">Анализ анкетирования </w:t>
      </w:r>
      <w:r w:rsidRPr="00E20659">
        <w:rPr>
          <w:rFonts w:ascii="Times New Roman" w:hAnsi="Times New Roman"/>
          <w:bCs/>
          <w:sz w:val="28"/>
          <w:szCs w:val="28"/>
        </w:rPr>
        <w:t>с учетом  результатов интервью участников рынка образовательных услуг</w:t>
      </w:r>
      <w:r w:rsidRPr="00E20659">
        <w:rPr>
          <w:rFonts w:ascii="Times New Roman" w:hAnsi="Times New Roman"/>
          <w:sz w:val="28"/>
          <w:szCs w:val="28"/>
        </w:rPr>
        <w:t xml:space="preserve"> в процессе исследования выявил </w:t>
      </w:r>
      <w:r w:rsidRPr="00E20659">
        <w:rPr>
          <w:rFonts w:ascii="Times New Roman" w:hAnsi="Times New Roman"/>
          <w:bCs/>
          <w:sz w:val="28"/>
          <w:szCs w:val="28"/>
        </w:rPr>
        <w:t>основных стейкхолдеров – экспертов образовательных программ:</w:t>
      </w:r>
      <w:r w:rsidRPr="00E20659">
        <w:rPr>
          <w:rFonts w:ascii="Times New Roman" w:hAnsi="Times New Roman"/>
          <w:sz w:val="28"/>
          <w:szCs w:val="28"/>
        </w:rPr>
        <w:t xml:space="preserve"> стейкхолдер № 1 (студенты), стейкхолдер № 2 (выпускники), стейкхолдер № 3 (работодатели), стейкхолдер № 4 (сотрудники вуза), стейкхолдер № 5 (сотрудники структуры исполнительной власти) (министерства, администрация и т.д.), стейкхолдер № 6 (родители студентов).</w:t>
      </w:r>
    </w:p>
    <w:p w:rsidR="00A5771B" w:rsidRPr="00E20659" w:rsidRDefault="00A5771B" w:rsidP="00486134">
      <w:pPr>
        <w:spacing w:after="0" w:line="360" w:lineRule="auto"/>
        <w:jc w:val="both"/>
        <w:rPr>
          <w:rFonts w:ascii="Times New Roman" w:hAnsi="Times New Roman"/>
          <w:sz w:val="28"/>
          <w:szCs w:val="28"/>
        </w:rPr>
      </w:pPr>
      <w:r w:rsidRPr="00E20659">
        <w:rPr>
          <w:rFonts w:ascii="Times New Roman" w:hAnsi="Times New Roman"/>
          <w:sz w:val="28"/>
          <w:szCs w:val="28"/>
        </w:rPr>
        <w:t xml:space="preserve">В ходе исследования были определены новые стейкхолдеры: группа студенты разделилась на студентов и выпускников.  </w:t>
      </w:r>
    </w:p>
    <w:p w:rsidR="00A5771B" w:rsidRPr="00E20659" w:rsidRDefault="00A5771B" w:rsidP="00E20659">
      <w:pPr>
        <w:spacing w:after="0" w:line="360" w:lineRule="auto"/>
        <w:ind w:firstLine="708"/>
        <w:jc w:val="both"/>
        <w:rPr>
          <w:rFonts w:ascii="Times New Roman" w:hAnsi="Times New Roman"/>
          <w:bCs/>
          <w:sz w:val="28"/>
          <w:szCs w:val="28"/>
        </w:rPr>
      </w:pP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t>Для анкетирования стейкхолдеров была проведена выборка экспертов. Для того чтобы получить значимые результаты необходима выборка составляющая 10% от основной массы. Поэтому количество студентов и выпускников в группе – стейкхолдер №1 и №2 по традиционным и вертикально-интегрированным программам составляет по 50 человек.</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 xml:space="preserve">Стейкхолдер № 1 (студенты) - 50 человек осваивающие традиционные образовательные программы, 50 человек осваивающие вертикально-интегрированные образовательные программы.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 xml:space="preserve">Стейкхолдер № 2 (выпускники) - 50 человек освоившие традиционные образовательные программы, 50 человек освоившие вертикально-интегрированные образовательные программы.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t xml:space="preserve">Географическое положение предположительно влияет на результат, поэтому выборка охватывает большинство районов Рязанской области. Это крупнейшие хозяйства, вклад которых в экономику Рязанской области не менее 10%. Выборка стейкхолдер № 3 (работодатели)  - ведущие </w:t>
      </w:r>
      <w:r>
        <w:rPr>
          <w:rFonts w:ascii="Times New Roman" w:hAnsi="Times New Roman"/>
          <w:sz w:val="28"/>
          <w:szCs w:val="28"/>
        </w:rPr>
        <w:t>сельскохозяйственные предприятия</w:t>
      </w:r>
      <w:r w:rsidRPr="00E20659">
        <w:rPr>
          <w:rFonts w:ascii="Times New Roman" w:hAnsi="Times New Roman"/>
          <w:sz w:val="28"/>
          <w:szCs w:val="28"/>
        </w:rPr>
        <w:t xml:space="preserve"> Рязанской области с учетом географического положения – 10 хозяйств.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 xml:space="preserve">Стейкхолдер № 4 (сотрудники вуза) (ППС и учебно-вспомагательный персонал) -30 человек, с программы «Агроинженерия» СПО и ВПО. Данная выборка произведена, исходя из 10 % от штатного расписания. </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Стейкхолдер № 5 (сотрудники структуры исполнительной власти) (министерства, администрация и т.д.) – 5 руководителей среднего звена. Данная выборка обеспечивает наиболее</w:t>
      </w:r>
      <w:r>
        <w:rPr>
          <w:rFonts w:ascii="Times New Roman" w:hAnsi="Times New Roman"/>
          <w:sz w:val="28"/>
          <w:szCs w:val="28"/>
        </w:rPr>
        <w:t xml:space="preserve"> полный охват основных отделов М</w:t>
      </w:r>
      <w:r w:rsidRPr="00E20659">
        <w:rPr>
          <w:rFonts w:ascii="Times New Roman" w:hAnsi="Times New Roman"/>
          <w:sz w:val="28"/>
          <w:szCs w:val="28"/>
        </w:rPr>
        <w:t xml:space="preserve">инистерства сельского хозяйства и </w:t>
      </w:r>
      <w:r>
        <w:rPr>
          <w:rFonts w:ascii="Times New Roman" w:hAnsi="Times New Roman"/>
          <w:sz w:val="28"/>
          <w:szCs w:val="28"/>
        </w:rPr>
        <w:t>продовольствия</w:t>
      </w:r>
      <w:r w:rsidRPr="00E20659">
        <w:rPr>
          <w:rFonts w:ascii="Times New Roman" w:hAnsi="Times New Roman"/>
          <w:sz w:val="28"/>
          <w:szCs w:val="28"/>
        </w:rPr>
        <w:t xml:space="preserve"> Рязанской области, формирующих политику министерства  в сельскохозяйственной отрасли региона.</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Стейкхолдер № 6 (родители студентов) – 50 человек.</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Одновременно с интервьюированием участники образовательного процесса оценивали вес основных стейкхолдеров.</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t>После проведения статистической обработки данных анкетирования проведено формирование единого списка веса стейкхолдеров при взаимной оценки друг друга. Основных стейкхолдеры процесса выявлены на основе данных интервью и согласно непараметрическим критериям статистики каждому стейкхолдеру присвоены ранговые критерии по предпочтениям Кендалла.</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t>На основании ранжирования определен коэффициент веса стейкхолдеров (К</w:t>
      </w:r>
      <w:r w:rsidRPr="00E20659">
        <w:rPr>
          <w:rFonts w:ascii="Times New Roman" w:hAnsi="Times New Roman"/>
          <w:sz w:val="28"/>
          <w:szCs w:val="28"/>
          <w:vertAlign w:val="subscript"/>
        </w:rPr>
        <w:t>1</w:t>
      </w:r>
      <w:r w:rsidRPr="00E20659">
        <w:rPr>
          <w:rFonts w:ascii="Times New Roman" w:hAnsi="Times New Roman"/>
          <w:sz w:val="28"/>
          <w:szCs w:val="28"/>
        </w:rPr>
        <w:t>,К</w:t>
      </w:r>
      <w:r w:rsidRPr="00E20659">
        <w:rPr>
          <w:rFonts w:ascii="Times New Roman" w:hAnsi="Times New Roman"/>
          <w:sz w:val="28"/>
          <w:szCs w:val="28"/>
          <w:vertAlign w:val="subscript"/>
        </w:rPr>
        <w:t>2</w:t>
      </w:r>
      <w:r w:rsidRPr="00E20659">
        <w:rPr>
          <w:rFonts w:ascii="Times New Roman" w:hAnsi="Times New Roman"/>
          <w:sz w:val="28"/>
          <w:szCs w:val="28"/>
        </w:rPr>
        <w:t>, К</w:t>
      </w:r>
      <w:r w:rsidRPr="00E20659">
        <w:rPr>
          <w:rFonts w:ascii="Times New Roman" w:hAnsi="Times New Roman"/>
          <w:sz w:val="28"/>
          <w:szCs w:val="28"/>
          <w:vertAlign w:val="subscript"/>
        </w:rPr>
        <w:t>3</w:t>
      </w:r>
      <w:r w:rsidRPr="00E20659">
        <w:rPr>
          <w:rFonts w:ascii="Times New Roman" w:hAnsi="Times New Roman"/>
          <w:sz w:val="28"/>
          <w:szCs w:val="28"/>
        </w:rPr>
        <w:t>, К</w:t>
      </w:r>
      <w:r w:rsidRPr="00E20659">
        <w:rPr>
          <w:rFonts w:ascii="Times New Roman" w:hAnsi="Times New Roman"/>
          <w:sz w:val="28"/>
          <w:szCs w:val="28"/>
          <w:vertAlign w:val="subscript"/>
        </w:rPr>
        <w:t>4</w:t>
      </w:r>
      <w:r w:rsidRPr="00E20659">
        <w:rPr>
          <w:rFonts w:ascii="Times New Roman" w:hAnsi="Times New Roman"/>
          <w:sz w:val="28"/>
          <w:szCs w:val="28"/>
        </w:rPr>
        <w:t>…К</w:t>
      </w:r>
      <w:r w:rsidRPr="00E20659">
        <w:rPr>
          <w:rFonts w:ascii="Times New Roman" w:hAnsi="Times New Roman"/>
          <w:sz w:val="28"/>
          <w:szCs w:val="28"/>
          <w:vertAlign w:val="subscript"/>
          <w:lang w:val="en-US"/>
        </w:rPr>
        <w:t>n</w:t>
      </w:r>
      <w:r w:rsidRPr="00E20659">
        <w:rPr>
          <w:rFonts w:ascii="Times New Roman" w:hAnsi="Times New Roman"/>
          <w:sz w:val="28"/>
          <w:szCs w:val="28"/>
        </w:rPr>
        <w:t xml:space="preserve">) ;        0&lt; К </w:t>
      </w:r>
      <w:r w:rsidRPr="00E20659">
        <w:rPr>
          <w:rFonts w:ascii="Times New Roman" w:hAnsi="Times New Roman"/>
          <w:sz w:val="28"/>
          <w:szCs w:val="28"/>
          <w:vertAlign w:val="subscript"/>
          <w:lang w:val="en-US"/>
        </w:rPr>
        <w:t>n</w:t>
      </w:r>
      <w:r w:rsidRPr="00E20659">
        <w:rPr>
          <w:rFonts w:ascii="Times New Roman" w:hAnsi="Times New Roman"/>
          <w:sz w:val="28"/>
          <w:szCs w:val="28"/>
        </w:rPr>
        <w:t xml:space="preserve"> &lt;1</w:t>
      </w:r>
    </w:p>
    <w:p w:rsidR="00A5771B" w:rsidRPr="00C0631C"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Анализ результатов анкетирования основных стейкхолдеров показал, что при ранжировании основные участники образовательного процесса приоритет отдали стейкхолдеру 3 (работодатели). На втором месте по значимости  стейкхолдер  4 (</w:t>
      </w:r>
      <w:r>
        <w:rPr>
          <w:rFonts w:ascii="Times New Roman" w:hAnsi="Times New Roman"/>
          <w:sz w:val="28"/>
          <w:szCs w:val="28"/>
        </w:rPr>
        <w:t>М</w:t>
      </w:r>
      <w:r w:rsidRPr="00E20659">
        <w:rPr>
          <w:rFonts w:ascii="Times New Roman" w:hAnsi="Times New Roman"/>
          <w:sz w:val="28"/>
          <w:szCs w:val="28"/>
        </w:rPr>
        <w:t>инистерств</w:t>
      </w:r>
      <w:r>
        <w:rPr>
          <w:rFonts w:ascii="Times New Roman" w:hAnsi="Times New Roman"/>
          <w:sz w:val="28"/>
          <w:szCs w:val="28"/>
        </w:rPr>
        <w:t>о</w:t>
      </w:r>
      <w:r w:rsidRPr="00E20659">
        <w:rPr>
          <w:rFonts w:ascii="Times New Roman" w:hAnsi="Times New Roman"/>
          <w:sz w:val="28"/>
          <w:szCs w:val="28"/>
        </w:rPr>
        <w:t xml:space="preserve"> сельского хозяйства и </w:t>
      </w:r>
      <w:r>
        <w:rPr>
          <w:rFonts w:ascii="Times New Roman" w:hAnsi="Times New Roman"/>
          <w:sz w:val="28"/>
          <w:szCs w:val="28"/>
        </w:rPr>
        <w:t>продовольствия</w:t>
      </w:r>
      <w:r w:rsidRPr="00E20659">
        <w:rPr>
          <w:rFonts w:ascii="Times New Roman" w:hAnsi="Times New Roman"/>
          <w:sz w:val="28"/>
          <w:szCs w:val="28"/>
        </w:rPr>
        <w:t xml:space="preserve"> Рязанской области). Затем в порядке ранжирования следуют  выпускники, студенты и преподаватели - стейкхолдеры 2,1 и 5 соответственно (Таблица). </w:t>
      </w:r>
    </w:p>
    <w:p w:rsidR="00A5771B" w:rsidRPr="00E20659" w:rsidRDefault="00A5771B" w:rsidP="006A7E63">
      <w:pPr>
        <w:spacing w:after="0" w:line="360" w:lineRule="auto"/>
        <w:jc w:val="both"/>
        <w:rPr>
          <w:rFonts w:ascii="Times New Roman" w:hAnsi="Times New Roman"/>
          <w:sz w:val="28"/>
          <w:szCs w:val="28"/>
        </w:rPr>
      </w:pPr>
      <w:r w:rsidRPr="00E20659">
        <w:rPr>
          <w:rFonts w:ascii="Times New Roman" w:hAnsi="Times New Roman"/>
          <w:sz w:val="28"/>
          <w:szCs w:val="28"/>
        </w:rPr>
        <w:t xml:space="preserve">Таблица  - Коэффициент веса основных стейкхолдеров  </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4255"/>
        <w:gridCol w:w="4256"/>
      </w:tblGrid>
      <w:tr w:rsidR="00A5771B" w:rsidRPr="00E0317A" w:rsidTr="00E0317A">
        <w:tc>
          <w:tcPr>
            <w:tcW w:w="534"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п/№</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Стейкхолдеры  процесса</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Результат ранжирования (К)</w:t>
            </w:r>
          </w:p>
        </w:tc>
      </w:tr>
      <w:tr w:rsidR="00A5771B" w:rsidRPr="00E0317A" w:rsidTr="00E0317A">
        <w:tc>
          <w:tcPr>
            <w:tcW w:w="534"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1</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 1 (студенты)</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0,14</w:t>
            </w:r>
          </w:p>
        </w:tc>
      </w:tr>
      <w:tr w:rsidR="00A5771B" w:rsidRPr="00E0317A" w:rsidTr="00E0317A">
        <w:tc>
          <w:tcPr>
            <w:tcW w:w="534"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2</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 2  (выпускники)</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0,19</w:t>
            </w:r>
          </w:p>
        </w:tc>
      </w:tr>
      <w:tr w:rsidR="00A5771B" w:rsidRPr="00E0317A" w:rsidTr="00E0317A">
        <w:tc>
          <w:tcPr>
            <w:tcW w:w="534" w:type="dxa"/>
            <w:vAlign w:val="center"/>
          </w:tcPr>
          <w:p w:rsidR="00A5771B" w:rsidRPr="00E0317A" w:rsidRDefault="00A5771B" w:rsidP="00E0317A">
            <w:pPr>
              <w:spacing w:after="0" w:line="240" w:lineRule="auto"/>
              <w:rPr>
                <w:rFonts w:ascii="Times New Roman" w:hAnsi="Times New Roman"/>
                <w:sz w:val="24"/>
                <w:szCs w:val="24"/>
                <w:lang w:eastAsia="en-US"/>
              </w:rPr>
            </w:pPr>
            <w:r w:rsidRPr="00E0317A">
              <w:rPr>
                <w:rFonts w:ascii="Times New Roman" w:hAnsi="Times New Roman"/>
                <w:sz w:val="24"/>
                <w:szCs w:val="24"/>
                <w:lang w:eastAsia="en-US"/>
              </w:rPr>
              <w:t xml:space="preserve"> 3</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 3(работодатели)</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0,44</w:t>
            </w:r>
          </w:p>
        </w:tc>
      </w:tr>
      <w:tr w:rsidR="00A5771B" w:rsidRPr="00E0317A" w:rsidTr="00E0317A">
        <w:tc>
          <w:tcPr>
            <w:tcW w:w="534"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4</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 4 (сотрудники университета)</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0,06</w:t>
            </w:r>
          </w:p>
        </w:tc>
      </w:tr>
      <w:tr w:rsidR="00A5771B" w:rsidRPr="00E0317A" w:rsidTr="00E0317A">
        <w:tc>
          <w:tcPr>
            <w:tcW w:w="534"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5</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 5(сотрудники структуры исполнительной власти)</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0,15</w:t>
            </w:r>
          </w:p>
        </w:tc>
      </w:tr>
      <w:tr w:rsidR="00A5771B" w:rsidRPr="00E0317A" w:rsidTr="00E0317A">
        <w:tc>
          <w:tcPr>
            <w:tcW w:w="534"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6</w:t>
            </w:r>
          </w:p>
        </w:tc>
        <w:tc>
          <w:tcPr>
            <w:tcW w:w="4255"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Стейкхолдер 6( родители студентов)</w:t>
            </w:r>
          </w:p>
        </w:tc>
        <w:tc>
          <w:tcPr>
            <w:tcW w:w="4256" w:type="dxa"/>
            <w:vAlign w:val="center"/>
          </w:tcPr>
          <w:p w:rsidR="00A5771B" w:rsidRPr="00E0317A" w:rsidRDefault="00A5771B" w:rsidP="00E0317A">
            <w:pPr>
              <w:spacing w:after="0" w:line="240" w:lineRule="auto"/>
              <w:jc w:val="center"/>
              <w:rPr>
                <w:rFonts w:ascii="Times New Roman" w:hAnsi="Times New Roman"/>
                <w:sz w:val="24"/>
                <w:szCs w:val="24"/>
                <w:lang w:eastAsia="en-US"/>
              </w:rPr>
            </w:pPr>
            <w:r w:rsidRPr="00E0317A">
              <w:rPr>
                <w:rFonts w:ascii="Times New Roman" w:hAnsi="Times New Roman"/>
                <w:sz w:val="24"/>
                <w:szCs w:val="24"/>
                <w:lang w:eastAsia="en-US"/>
              </w:rPr>
              <w:t>0,02</w:t>
            </w:r>
          </w:p>
        </w:tc>
      </w:tr>
    </w:tbl>
    <w:p w:rsidR="00A5771B" w:rsidRPr="00E20659" w:rsidRDefault="00A5771B" w:rsidP="006A7E63">
      <w:pPr>
        <w:spacing w:after="0" w:line="360" w:lineRule="auto"/>
        <w:jc w:val="both"/>
        <w:rPr>
          <w:rFonts w:ascii="Times New Roman" w:hAnsi="Times New Roman"/>
          <w:sz w:val="28"/>
          <w:szCs w:val="28"/>
        </w:rPr>
      </w:pPr>
      <w:r w:rsidRPr="00E20659">
        <w:rPr>
          <w:rFonts w:ascii="Times New Roman" w:hAnsi="Times New Roman"/>
          <w:sz w:val="28"/>
          <w:szCs w:val="28"/>
        </w:rPr>
        <w:t>К*- коэффициент веса стейкхолдеров (К</w:t>
      </w:r>
      <w:r w:rsidRPr="00E20659">
        <w:rPr>
          <w:rFonts w:ascii="Times New Roman" w:hAnsi="Times New Roman"/>
          <w:sz w:val="28"/>
          <w:szCs w:val="28"/>
          <w:vertAlign w:val="subscript"/>
        </w:rPr>
        <w:t>1</w:t>
      </w:r>
      <w:r w:rsidRPr="00E20659">
        <w:rPr>
          <w:rFonts w:ascii="Times New Roman" w:hAnsi="Times New Roman"/>
          <w:sz w:val="28"/>
          <w:szCs w:val="28"/>
        </w:rPr>
        <w:t>,К</w:t>
      </w:r>
      <w:r w:rsidRPr="00E20659">
        <w:rPr>
          <w:rFonts w:ascii="Times New Roman" w:hAnsi="Times New Roman"/>
          <w:sz w:val="28"/>
          <w:szCs w:val="28"/>
          <w:vertAlign w:val="subscript"/>
        </w:rPr>
        <w:t>2</w:t>
      </w:r>
      <w:r w:rsidRPr="00E20659">
        <w:rPr>
          <w:rFonts w:ascii="Times New Roman" w:hAnsi="Times New Roman"/>
          <w:sz w:val="28"/>
          <w:szCs w:val="28"/>
        </w:rPr>
        <w:t>, К</w:t>
      </w:r>
      <w:r w:rsidRPr="00E20659">
        <w:rPr>
          <w:rFonts w:ascii="Times New Roman" w:hAnsi="Times New Roman"/>
          <w:sz w:val="28"/>
          <w:szCs w:val="28"/>
          <w:vertAlign w:val="subscript"/>
        </w:rPr>
        <w:t>3</w:t>
      </w:r>
      <w:r w:rsidRPr="00E20659">
        <w:rPr>
          <w:rFonts w:ascii="Times New Roman" w:hAnsi="Times New Roman"/>
          <w:sz w:val="28"/>
          <w:szCs w:val="28"/>
        </w:rPr>
        <w:t>, К</w:t>
      </w:r>
      <w:r w:rsidRPr="00E20659">
        <w:rPr>
          <w:rFonts w:ascii="Times New Roman" w:hAnsi="Times New Roman"/>
          <w:sz w:val="28"/>
          <w:szCs w:val="28"/>
          <w:vertAlign w:val="subscript"/>
        </w:rPr>
        <w:t>4</w:t>
      </w:r>
      <w:r w:rsidRPr="00E20659">
        <w:rPr>
          <w:rFonts w:ascii="Times New Roman" w:hAnsi="Times New Roman"/>
          <w:sz w:val="28"/>
          <w:szCs w:val="28"/>
        </w:rPr>
        <w:t>…К</w:t>
      </w:r>
      <w:r w:rsidRPr="00E20659">
        <w:rPr>
          <w:rFonts w:ascii="Times New Roman" w:hAnsi="Times New Roman"/>
          <w:sz w:val="28"/>
          <w:szCs w:val="28"/>
          <w:vertAlign w:val="subscript"/>
          <w:lang w:val="en-US"/>
        </w:rPr>
        <w:t>n</w:t>
      </w:r>
      <w:r w:rsidRPr="00E20659">
        <w:rPr>
          <w:rFonts w:ascii="Times New Roman" w:hAnsi="Times New Roman"/>
          <w:sz w:val="28"/>
          <w:szCs w:val="28"/>
        </w:rPr>
        <w:t xml:space="preserve">) ;        0&lt; К </w:t>
      </w:r>
      <w:r w:rsidRPr="00E20659">
        <w:rPr>
          <w:rFonts w:ascii="Times New Roman" w:hAnsi="Times New Roman"/>
          <w:sz w:val="28"/>
          <w:szCs w:val="28"/>
          <w:vertAlign w:val="subscript"/>
          <w:lang w:val="en-US"/>
        </w:rPr>
        <w:t>n</w:t>
      </w:r>
      <w:r w:rsidRPr="00E20659">
        <w:rPr>
          <w:rFonts w:ascii="Times New Roman" w:hAnsi="Times New Roman"/>
          <w:sz w:val="28"/>
          <w:szCs w:val="28"/>
        </w:rPr>
        <w:t xml:space="preserve"> &lt;1</w:t>
      </w:r>
    </w:p>
    <w:p w:rsidR="00A5771B" w:rsidRPr="00E20659" w:rsidRDefault="00A5771B" w:rsidP="00E20659">
      <w:pPr>
        <w:spacing w:after="0" w:line="360" w:lineRule="auto"/>
        <w:jc w:val="both"/>
        <w:rPr>
          <w:rFonts w:ascii="Times New Roman" w:hAnsi="Times New Roman"/>
          <w:sz w:val="28"/>
          <w:szCs w:val="28"/>
        </w:rPr>
      </w:pPr>
      <w:r w:rsidRPr="00E20659">
        <w:rPr>
          <w:rFonts w:ascii="Times New Roman" w:hAnsi="Times New Roman"/>
          <w:sz w:val="28"/>
          <w:szCs w:val="28"/>
        </w:rPr>
        <w:tab/>
        <w:t>Выбор основного стейкхолдера</w:t>
      </w:r>
      <w:r>
        <w:rPr>
          <w:rFonts w:ascii="Times New Roman" w:hAnsi="Times New Roman"/>
          <w:sz w:val="28"/>
          <w:szCs w:val="28"/>
        </w:rPr>
        <w:t xml:space="preserve"> 3</w:t>
      </w:r>
      <w:r w:rsidRPr="00E20659">
        <w:rPr>
          <w:rFonts w:ascii="Times New Roman" w:hAnsi="Times New Roman"/>
          <w:sz w:val="28"/>
          <w:szCs w:val="28"/>
        </w:rPr>
        <w:t xml:space="preserve"> (работодатели) не случаен, участники анкетирования объяснили свой выбор тем, что спрос на рынке труда быстро меняется, образование должно адаптироваться к изменяющейся конъюнктуре спроса на рынке труда и способствовать реализации индивидуальной подготовки специалистов различных квалификационных уровней. Именно эта задача поставлена в подпрограмме «Развитие профессионального образования» государственной программы Российской Федерации «Развитие образования» на 2013–2020 годы - «…формирование системы непрерывного образования, позволяющей выстраивать гибкие (модульные) траектории освоения новых компетенций, как по запросам населения, так и по заказу организаций…»[1]. </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Выбор  при ранжировании по значимости второго стейкхолдера – Минист</w:t>
      </w:r>
      <w:r>
        <w:rPr>
          <w:rFonts w:ascii="Times New Roman" w:hAnsi="Times New Roman"/>
          <w:sz w:val="28"/>
          <w:szCs w:val="28"/>
        </w:rPr>
        <w:t xml:space="preserve">ерство </w:t>
      </w:r>
      <w:r w:rsidRPr="00E20659">
        <w:rPr>
          <w:rFonts w:ascii="Times New Roman" w:hAnsi="Times New Roman"/>
          <w:sz w:val="28"/>
          <w:szCs w:val="28"/>
        </w:rPr>
        <w:t xml:space="preserve">сельского хозяйства и </w:t>
      </w:r>
      <w:r>
        <w:rPr>
          <w:rFonts w:ascii="Times New Roman" w:hAnsi="Times New Roman"/>
          <w:sz w:val="28"/>
          <w:szCs w:val="28"/>
        </w:rPr>
        <w:t>продовольствия</w:t>
      </w:r>
      <w:r w:rsidRPr="00E20659">
        <w:rPr>
          <w:rFonts w:ascii="Times New Roman" w:hAnsi="Times New Roman"/>
          <w:sz w:val="28"/>
          <w:szCs w:val="28"/>
        </w:rPr>
        <w:t xml:space="preserve"> Рязанской области респонденты объяснили тем, что именно эта структура законодательно обеспечивает процесс подготовки специалистов, а так же качественный и количественный состав выпускников для рынка труда, что поможет снизить несогласованность на рынке труда и на рынке образовательных услуг.</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Выпускники являются основным образовательным продуктом, компетенции которых оцениваются работодателями на рынке труда, поэтому  при ранжировании по значимости этот стейкхолдер занял третье место.</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Качественный студент обеспечивает качественного выпускника, поэтому по значимости на следующей ступени стейкхолдер 1( студенты).</w:t>
      </w:r>
    </w:p>
    <w:p w:rsidR="00A5771B" w:rsidRPr="00E20659"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Опрос респондентов выявил следующую точку зрения: преподаватели должны так построить образовательный процесс, что бы удовлетворить требования всех стейкхолдеров – участников образовательного процесса, потребителей образовательных услуг, создать благоприятные условия для реализации индивидуальной подготовки специалистов различных квалификационных уровней, обеспечить реализацию профессионального образования в соответствии с новыми экономическими реалиями и перспективами. Поэтому при ранжировании данный стейкхолдер расположен после всех участников образовательного процесса. К основным стейкхолдерам были так же отнесены родители студентов, поскольку во время обучения именно они обеспечивают социально- бытовые условия, а так же являются участниками воспитательного процесса обучающихся.</w:t>
      </w:r>
    </w:p>
    <w:p w:rsidR="00A5771B" w:rsidRPr="00C11B1F" w:rsidRDefault="00A5771B" w:rsidP="00E20659">
      <w:pPr>
        <w:spacing w:after="0" w:line="360" w:lineRule="auto"/>
        <w:ind w:firstLine="708"/>
        <w:jc w:val="both"/>
        <w:rPr>
          <w:rFonts w:ascii="Times New Roman" w:hAnsi="Times New Roman"/>
          <w:sz w:val="28"/>
          <w:szCs w:val="28"/>
        </w:rPr>
      </w:pPr>
      <w:r w:rsidRPr="00E20659">
        <w:rPr>
          <w:rFonts w:ascii="Times New Roman" w:hAnsi="Times New Roman"/>
          <w:sz w:val="28"/>
          <w:szCs w:val="28"/>
        </w:rPr>
        <w:t>Анализ результатов анкетирования основных стейкхолдеров показал, что при ранжировании основные участники образовательного процесса приоритет отдали стейкхолдеру 3 (работодатели). На втором месте по значимости  стейкхолдер  4 (</w:t>
      </w:r>
      <w:r>
        <w:rPr>
          <w:rFonts w:ascii="Times New Roman" w:hAnsi="Times New Roman"/>
          <w:sz w:val="28"/>
          <w:szCs w:val="28"/>
        </w:rPr>
        <w:t>М</w:t>
      </w:r>
      <w:r w:rsidRPr="00E20659">
        <w:rPr>
          <w:rFonts w:ascii="Times New Roman" w:hAnsi="Times New Roman"/>
          <w:sz w:val="28"/>
          <w:szCs w:val="28"/>
        </w:rPr>
        <w:t>инистерств</w:t>
      </w:r>
      <w:r>
        <w:rPr>
          <w:rFonts w:ascii="Times New Roman" w:hAnsi="Times New Roman"/>
          <w:sz w:val="28"/>
          <w:szCs w:val="28"/>
        </w:rPr>
        <w:t>о</w:t>
      </w:r>
      <w:r w:rsidRPr="00E20659">
        <w:rPr>
          <w:rFonts w:ascii="Times New Roman" w:hAnsi="Times New Roman"/>
          <w:sz w:val="28"/>
          <w:szCs w:val="28"/>
        </w:rPr>
        <w:t xml:space="preserve"> сельского хозяйства и </w:t>
      </w:r>
      <w:r>
        <w:rPr>
          <w:rFonts w:ascii="Times New Roman" w:hAnsi="Times New Roman"/>
          <w:sz w:val="28"/>
          <w:szCs w:val="28"/>
        </w:rPr>
        <w:t>продовольствия</w:t>
      </w:r>
      <w:r w:rsidRPr="00E20659">
        <w:rPr>
          <w:rFonts w:ascii="Times New Roman" w:hAnsi="Times New Roman"/>
          <w:sz w:val="28"/>
          <w:szCs w:val="28"/>
        </w:rPr>
        <w:t xml:space="preserve"> Рязанской области). Затем в порядке ранжирования следуют  выпускники, студенты и преподаватели - стейкхолдеры 2,1 и 5 соответственно.</w:t>
      </w:r>
    </w:p>
    <w:p w:rsidR="00A5771B" w:rsidRDefault="00A5771B" w:rsidP="00AA11DF">
      <w:pPr>
        <w:spacing w:line="240" w:lineRule="auto"/>
        <w:rPr>
          <w:rFonts w:ascii="Times New Roman" w:hAnsi="Times New Roman"/>
          <w:sz w:val="28"/>
          <w:szCs w:val="28"/>
        </w:rPr>
      </w:pPr>
    </w:p>
    <w:p w:rsidR="00A5771B" w:rsidRPr="0040537B" w:rsidRDefault="00A5771B" w:rsidP="008A11DF">
      <w:pPr>
        <w:tabs>
          <w:tab w:val="left" w:pos="900"/>
        </w:tabs>
        <w:spacing w:line="240" w:lineRule="auto"/>
        <w:ind w:firstLine="540"/>
        <w:rPr>
          <w:rFonts w:ascii="Times New Roman" w:hAnsi="Times New Roman"/>
          <w:b/>
          <w:iCs/>
          <w:sz w:val="24"/>
          <w:szCs w:val="24"/>
        </w:rPr>
      </w:pPr>
      <w:r w:rsidRPr="0040537B">
        <w:rPr>
          <w:rFonts w:ascii="Times New Roman" w:hAnsi="Times New Roman"/>
          <w:b/>
          <w:iCs/>
          <w:sz w:val="24"/>
          <w:szCs w:val="24"/>
        </w:rPr>
        <w:t>Список использованной литературы</w:t>
      </w:r>
    </w:p>
    <w:p w:rsidR="00A5771B" w:rsidRPr="0040537B" w:rsidRDefault="00A5771B" w:rsidP="008A11DF">
      <w:pPr>
        <w:pStyle w:val="ListParagraph"/>
        <w:numPr>
          <w:ilvl w:val="0"/>
          <w:numId w:val="1"/>
        </w:numPr>
        <w:tabs>
          <w:tab w:val="left" w:pos="900"/>
        </w:tabs>
        <w:spacing w:after="0" w:line="240" w:lineRule="auto"/>
        <w:ind w:left="0" w:firstLine="540"/>
        <w:jc w:val="both"/>
        <w:outlineLvl w:val="0"/>
        <w:rPr>
          <w:rFonts w:ascii="Times New Roman" w:hAnsi="Times New Roman"/>
          <w:bCs/>
          <w:kern w:val="36"/>
          <w:sz w:val="24"/>
          <w:szCs w:val="24"/>
        </w:rPr>
      </w:pPr>
      <w:r w:rsidRPr="0040537B">
        <w:rPr>
          <w:rFonts w:ascii="Times New Roman" w:hAnsi="Times New Roman"/>
          <w:sz w:val="24"/>
          <w:szCs w:val="24"/>
        </w:rPr>
        <w:t>Государственная программа Российской Федерации «Развитие образования на 2013-2020 годы» /Постановление Правительства РФ от 15.04.2014 г. №295 // Собрание законодательства Российской Федерации. – 2013.- №21.- ст. 2671</w:t>
      </w:r>
    </w:p>
    <w:p w:rsidR="00A5771B" w:rsidRPr="0040537B" w:rsidRDefault="00A5771B" w:rsidP="008A11DF">
      <w:pPr>
        <w:pStyle w:val="NormalWeb"/>
        <w:numPr>
          <w:ilvl w:val="0"/>
          <w:numId w:val="1"/>
        </w:numPr>
        <w:tabs>
          <w:tab w:val="left" w:pos="900"/>
        </w:tabs>
        <w:spacing w:after="0" w:afterAutospacing="0"/>
        <w:ind w:left="0" w:firstLine="540"/>
        <w:jc w:val="both"/>
      </w:pPr>
      <w:r w:rsidRPr="0040537B">
        <w:t>Мингазова, Д.Н. Оценка качества услуг с позиции удовлетворенности потребителей [Текст] / Д.Н. Мингазова // Вестник брянского государственного технического университета. – 2010. -  №3.</w:t>
      </w:r>
    </w:p>
    <w:p w:rsidR="00A5771B" w:rsidRPr="0040537B" w:rsidRDefault="00A5771B" w:rsidP="008A11DF">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40537B">
        <w:rPr>
          <w:rFonts w:ascii="Times New Roman" w:hAnsi="Times New Roman"/>
          <w:sz w:val="24"/>
          <w:szCs w:val="24"/>
        </w:rPr>
        <w:t>Кузнецова, Е.В. Внутренний мониторинг качества реализации образовательных программ в вузе [Текст] / Е.В Кузнецова // Сибирский педагогический журнал. - 2011.- № 3.- С. 37-44.</w:t>
      </w:r>
    </w:p>
    <w:p w:rsidR="00A5771B" w:rsidRPr="0040537B" w:rsidRDefault="00A5771B" w:rsidP="008A11DF">
      <w:pPr>
        <w:pStyle w:val="ListParagraph"/>
        <w:numPr>
          <w:ilvl w:val="0"/>
          <w:numId w:val="1"/>
        </w:numPr>
        <w:tabs>
          <w:tab w:val="left" w:pos="900"/>
        </w:tabs>
        <w:spacing w:line="240" w:lineRule="auto"/>
        <w:ind w:left="0" w:firstLine="540"/>
        <w:jc w:val="both"/>
        <w:rPr>
          <w:rFonts w:ascii="Times New Roman" w:hAnsi="Times New Roman"/>
          <w:sz w:val="24"/>
          <w:szCs w:val="24"/>
        </w:rPr>
      </w:pPr>
      <w:r w:rsidRPr="0040537B">
        <w:rPr>
          <w:rFonts w:ascii="Times New Roman" w:hAnsi="Times New Roman"/>
          <w:sz w:val="24"/>
          <w:szCs w:val="24"/>
        </w:rPr>
        <w:t>Тритенко, А.Н. СМК вуза: практика выявления удовлетворенности потребителей. Компетентность / А.Н.Тритенко,  О.В. Сафронова // Менеджмент. - 2012.- №3</w:t>
      </w:r>
    </w:p>
    <w:p w:rsidR="00A5771B" w:rsidRPr="0040537B" w:rsidRDefault="00A5771B" w:rsidP="008A11DF">
      <w:pPr>
        <w:pStyle w:val="ListParagraph"/>
        <w:numPr>
          <w:ilvl w:val="0"/>
          <w:numId w:val="1"/>
        </w:numPr>
        <w:tabs>
          <w:tab w:val="left" w:pos="900"/>
        </w:tabs>
        <w:spacing w:after="0" w:line="240" w:lineRule="auto"/>
        <w:ind w:left="0" w:firstLine="540"/>
        <w:jc w:val="both"/>
        <w:rPr>
          <w:rFonts w:ascii="Times New Roman" w:hAnsi="Times New Roman"/>
          <w:sz w:val="24"/>
          <w:szCs w:val="24"/>
          <w:u w:val="single"/>
        </w:rPr>
      </w:pPr>
      <w:r w:rsidRPr="0040537B">
        <w:rPr>
          <w:rFonts w:ascii="Times New Roman" w:hAnsi="Times New Roman"/>
          <w:sz w:val="24"/>
          <w:szCs w:val="24"/>
        </w:rPr>
        <w:t xml:space="preserve">Земсков А. Опыт оценки эффективности программ обучения [Электронный ресурс]  - Режим доступа: </w:t>
      </w:r>
      <w:r w:rsidRPr="0040537B">
        <w:rPr>
          <w:rFonts w:ascii="Times New Roman" w:hAnsi="Times New Roman"/>
          <w:sz w:val="24"/>
          <w:szCs w:val="24"/>
          <w:u w:val="single"/>
          <w:lang w:val="en-US"/>
        </w:rPr>
        <w:t>www</w:t>
      </w:r>
      <w:r w:rsidRPr="0040537B">
        <w:rPr>
          <w:rFonts w:ascii="Times New Roman" w:hAnsi="Times New Roman"/>
          <w:sz w:val="24"/>
          <w:szCs w:val="24"/>
          <w:u w:val="single"/>
        </w:rPr>
        <w:t xml:space="preserve">. </w:t>
      </w:r>
      <w:r w:rsidRPr="0040537B">
        <w:rPr>
          <w:rFonts w:ascii="Times New Roman" w:hAnsi="Times New Roman"/>
          <w:sz w:val="24"/>
          <w:szCs w:val="24"/>
          <w:u w:val="single"/>
          <w:lang w:val="en-US"/>
        </w:rPr>
        <w:t>radar</w:t>
      </w:r>
      <w:r w:rsidRPr="0040537B">
        <w:rPr>
          <w:rFonts w:ascii="Times New Roman" w:hAnsi="Times New Roman"/>
          <w:sz w:val="24"/>
          <w:szCs w:val="24"/>
          <w:u w:val="single"/>
        </w:rPr>
        <w:t xml:space="preserve"> – </w:t>
      </w:r>
      <w:r w:rsidRPr="0040537B">
        <w:rPr>
          <w:rFonts w:ascii="Times New Roman" w:hAnsi="Times New Roman"/>
          <w:sz w:val="24"/>
          <w:szCs w:val="24"/>
          <w:u w:val="single"/>
          <w:lang w:val="en-US"/>
        </w:rPr>
        <w:t>research</w:t>
      </w:r>
      <w:r w:rsidRPr="0040537B">
        <w:rPr>
          <w:rFonts w:ascii="Times New Roman" w:hAnsi="Times New Roman"/>
          <w:sz w:val="24"/>
          <w:szCs w:val="24"/>
          <w:u w:val="single"/>
        </w:rPr>
        <w:t>/</w:t>
      </w:r>
      <w:r w:rsidRPr="0040537B">
        <w:rPr>
          <w:rFonts w:ascii="Times New Roman" w:hAnsi="Times New Roman"/>
          <w:sz w:val="24"/>
          <w:szCs w:val="24"/>
          <w:u w:val="single"/>
          <w:lang w:val="en-US"/>
        </w:rPr>
        <w:t>ru</w:t>
      </w:r>
    </w:p>
    <w:p w:rsidR="00A5771B" w:rsidRDefault="00A5771B" w:rsidP="008A11DF">
      <w:pPr>
        <w:pStyle w:val="ListParagraph"/>
        <w:numPr>
          <w:ilvl w:val="0"/>
          <w:numId w:val="1"/>
        </w:numPr>
        <w:tabs>
          <w:tab w:val="left" w:pos="900"/>
        </w:tabs>
        <w:spacing w:line="240" w:lineRule="auto"/>
        <w:ind w:left="0" w:firstLine="540"/>
        <w:jc w:val="both"/>
        <w:rPr>
          <w:rFonts w:ascii="Times New Roman" w:hAnsi="Times New Roman"/>
          <w:sz w:val="24"/>
          <w:szCs w:val="24"/>
        </w:rPr>
      </w:pPr>
      <w:r w:rsidRPr="0040537B">
        <w:rPr>
          <w:rFonts w:ascii="Times New Roman" w:hAnsi="Times New Roman"/>
          <w:sz w:val="24"/>
          <w:szCs w:val="24"/>
        </w:rPr>
        <w:t>Борычев, С.Н. Анализ моделей кластерного образования в России и за рубежом/ С.Н. Борычев // Инициативы 20 века. - 2013.- № 3.- С. 29-31.</w:t>
      </w:r>
    </w:p>
    <w:p w:rsidR="00A5771B" w:rsidRPr="008A11DF" w:rsidRDefault="00A5771B" w:rsidP="008A11DF">
      <w:pPr>
        <w:pStyle w:val="ListParagraph"/>
        <w:numPr>
          <w:ilvl w:val="0"/>
          <w:numId w:val="1"/>
        </w:numPr>
        <w:tabs>
          <w:tab w:val="left" w:pos="900"/>
        </w:tabs>
        <w:spacing w:after="0" w:line="240" w:lineRule="auto"/>
        <w:ind w:left="0" w:firstLine="540"/>
        <w:jc w:val="both"/>
        <w:outlineLvl w:val="0"/>
        <w:rPr>
          <w:rFonts w:ascii="Times New Roman" w:hAnsi="Times New Roman"/>
          <w:sz w:val="24"/>
          <w:szCs w:val="24"/>
          <w:lang w:val="en-US"/>
        </w:rPr>
      </w:pPr>
      <w:r w:rsidRPr="00232EDC">
        <w:rPr>
          <w:rFonts w:ascii="Times New Roman" w:hAnsi="Times New Roman"/>
          <w:sz w:val="24"/>
          <w:szCs w:val="24"/>
          <w:lang w:val="en-US"/>
        </w:rPr>
        <w:t>James G. 2012. Developing Institutional Compariso ns. In: Hovard R.D, McLaughlin G.W., Knight W.E.(eds) The Handbook of Institutional Research/ San-Francisco: Jossey-Bass;644-656.</w:t>
      </w:r>
    </w:p>
    <w:p w:rsidR="00A5771B" w:rsidRPr="0001120A"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p>
    <w:p w:rsidR="00A5771B" w:rsidRPr="00654AFC" w:rsidRDefault="00A5771B" w:rsidP="008A11DF">
      <w:pPr>
        <w:pStyle w:val="ListParagraph"/>
        <w:tabs>
          <w:tab w:val="left" w:pos="900"/>
        </w:tabs>
        <w:spacing w:after="0" w:line="240" w:lineRule="auto"/>
        <w:ind w:left="0" w:firstLine="540"/>
        <w:jc w:val="both"/>
        <w:outlineLvl w:val="0"/>
        <w:rPr>
          <w:rFonts w:ascii="Times New Roman" w:hAnsi="Times New Roman"/>
          <w:b/>
          <w:sz w:val="24"/>
          <w:szCs w:val="24"/>
          <w:lang w:val="en-US"/>
        </w:rPr>
      </w:pPr>
      <w:r>
        <w:rPr>
          <w:rFonts w:ascii="Times New Roman" w:hAnsi="Times New Roman"/>
          <w:b/>
          <w:sz w:val="24"/>
          <w:szCs w:val="24"/>
          <w:lang w:val="en-US"/>
        </w:rPr>
        <w:t>References</w:t>
      </w:r>
    </w:p>
    <w:p w:rsidR="00A5771B" w:rsidRPr="0001120A" w:rsidRDefault="00A5771B" w:rsidP="008A11DF">
      <w:pPr>
        <w:pStyle w:val="ListParagraph"/>
        <w:tabs>
          <w:tab w:val="left" w:pos="900"/>
        </w:tabs>
        <w:spacing w:after="0" w:line="240" w:lineRule="auto"/>
        <w:ind w:left="0" w:firstLine="540"/>
        <w:jc w:val="both"/>
        <w:outlineLvl w:val="0"/>
        <w:rPr>
          <w:rFonts w:ascii="Times New Roman" w:hAnsi="Times New Roman"/>
          <w:b/>
          <w:sz w:val="24"/>
          <w:szCs w:val="24"/>
          <w:lang w:val="en-US"/>
        </w:rPr>
      </w:pP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1.</w:t>
      </w:r>
      <w:r w:rsidRPr="008A11DF">
        <w:rPr>
          <w:rFonts w:ascii="Times New Roman" w:hAnsi="Times New Roman"/>
          <w:sz w:val="24"/>
          <w:szCs w:val="24"/>
          <w:lang w:val="en-US"/>
        </w:rPr>
        <w:tab/>
        <w:t>Gosudarstvennaja programma Rossijskoj Federacii «Razvitie obrazovanija na 2013-2020 gody» /Postanovlenie Pravitel'stva RF ot 15.04.2014 g. №295 // Sobranie zakonodatel'stva Rossijskoj Federacii. – 2013.- №21.- st. 2671</w:t>
      </w: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2.</w:t>
      </w:r>
      <w:r w:rsidRPr="008A11DF">
        <w:rPr>
          <w:rFonts w:ascii="Times New Roman" w:hAnsi="Times New Roman"/>
          <w:sz w:val="24"/>
          <w:szCs w:val="24"/>
          <w:lang w:val="en-US"/>
        </w:rPr>
        <w:tab/>
        <w:t>Mingazova, D.N. Ocenka kachestva uslug s pozicii udovletvorennosti potrebitelej [Tekst] / D.N. Mingazova // Vestnik brjanskogo gosudarstvennogo tehnicheskogo universiteta. – 2010. -  №3.</w:t>
      </w: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3.</w:t>
      </w:r>
      <w:r w:rsidRPr="008A11DF">
        <w:rPr>
          <w:rFonts w:ascii="Times New Roman" w:hAnsi="Times New Roman"/>
          <w:sz w:val="24"/>
          <w:szCs w:val="24"/>
          <w:lang w:val="en-US"/>
        </w:rPr>
        <w:tab/>
        <w:t>Kuznecova, E.V. Vnutrennij monitoring kachestva realizacii obrazovatel'nyh programm v vuze [Tekst] / E.V Kuznecova // Sibirskij pedagogicheskij zhurnal. - 2011.- № 3.- S. 37-44.</w:t>
      </w: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4.</w:t>
      </w:r>
      <w:r w:rsidRPr="008A11DF">
        <w:rPr>
          <w:rFonts w:ascii="Times New Roman" w:hAnsi="Times New Roman"/>
          <w:sz w:val="24"/>
          <w:szCs w:val="24"/>
          <w:lang w:val="en-US"/>
        </w:rPr>
        <w:tab/>
        <w:t>Tritenko, A.N. SMK vuza: praktika vyjavlenija udovletvorennosti potrebitelej. Kompetentnost' / A.N.Tritenko,  O.V. Safronova // Menedzhment. - 2012.- №3</w:t>
      </w: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5.</w:t>
      </w:r>
      <w:r w:rsidRPr="008A11DF">
        <w:rPr>
          <w:rFonts w:ascii="Times New Roman" w:hAnsi="Times New Roman"/>
          <w:sz w:val="24"/>
          <w:szCs w:val="24"/>
          <w:lang w:val="en-US"/>
        </w:rPr>
        <w:tab/>
        <w:t>Zemskov A. Opyt ocenki jeffektivnosti programm obuchenija [Jelektronnyj resurs]  - Rezhim dostupa: www. radar – research/ru</w:t>
      </w: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6.</w:t>
      </w:r>
      <w:r w:rsidRPr="008A11DF">
        <w:rPr>
          <w:rFonts w:ascii="Times New Roman" w:hAnsi="Times New Roman"/>
          <w:sz w:val="24"/>
          <w:szCs w:val="24"/>
          <w:lang w:val="en-US"/>
        </w:rPr>
        <w:tab/>
        <w:t>Borychev, S.N. Analiz modelej klasternogo obrazovanija v Rossii i za rubezhom/ S.N. Borychev // Iniciativy 20 veka. - 2013.- № 3.- S. 29-31.</w:t>
      </w:r>
    </w:p>
    <w:p w:rsidR="00A5771B" w:rsidRPr="008A11DF" w:rsidRDefault="00A5771B" w:rsidP="008A11DF">
      <w:pPr>
        <w:pStyle w:val="ListParagraph"/>
        <w:tabs>
          <w:tab w:val="left" w:pos="900"/>
        </w:tabs>
        <w:spacing w:after="0" w:line="240" w:lineRule="auto"/>
        <w:ind w:left="0" w:firstLine="540"/>
        <w:jc w:val="both"/>
        <w:outlineLvl w:val="0"/>
        <w:rPr>
          <w:rFonts w:ascii="Times New Roman" w:hAnsi="Times New Roman"/>
          <w:sz w:val="24"/>
          <w:szCs w:val="24"/>
          <w:lang w:val="en-US"/>
        </w:rPr>
      </w:pPr>
      <w:r w:rsidRPr="008A11DF">
        <w:rPr>
          <w:rFonts w:ascii="Times New Roman" w:hAnsi="Times New Roman"/>
          <w:sz w:val="24"/>
          <w:szCs w:val="24"/>
          <w:lang w:val="en-US"/>
        </w:rPr>
        <w:t>7.</w:t>
      </w:r>
      <w:r w:rsidRPr="008A11DF">
        <w:rPr>
          <w:rFonts w:ascii="Times New Roman" w:hAnsi="Times New Roman"/>
          <w:sz w:val="24"/>
          <w:szCs w:val="24"/>
          <w:lang w:val="en-US"/>
        </w:rPr>
        <w:tab/>
        <w:t>James G. 2012. Developing Institutional Compariso ns. In: Hovard R.D, McLaughlin G.W., Knight W.E.(eds) The Handbook of Institutional Research/ San-Francisco: Jossey-Bass;644-656.</w:t>
      </w:r>
    </w:p>
    <w:sectPr w:rsidR="00A5771B" w:rsidRPr="008A11DF" w:rsidSect="00E20659">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71B" w:rsidRDefault="00A5771B" w:rsidP="008D5341">
      <w:pPr>
        <w:spacing w:after="0" w:line="240" w:lineRule="auto"/>
      </w:pPr>
      <w:r>
        <w:separator/>
      </w:r>
    </w:p>
  </w:endnote>
  <w:endnote w:type="continuationSeparator" w:id="1">
    <w:p w:rsidR="00A5771B" w:rsidRDefault="00A5771B" w:rsidP="008D53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71B" w:rsidRPr="006A1A48" w:rsidRDefault="00A5771B">
    <w:pPr>
      <w:pStyle w:val="Footer"/>
      <w:rPr>
        <w:lang w:val="en-US"/>
      </w:rPr>
    </w:pPr>
    <w:r w:rsidRPr="00AF24D9">
      <w:rPr>
        <w:rFonts w:ascii="Times New Roman" w:hAnsi="Times New Roman"/>
        <w:sz w:val="24"/>
        <w:szCs w:val="24"/>
      </w:rPr>
      <w:t>http://ej.kubagro.ru/201</w:t>
    </w:r>
    <w:r w:rsidRPr="00AF24D9">
      <w:rPr>
        <w:rFonts w:ascii="Times New Roman" w:hAnsi="Times New Roman"/>
        <w:sz w:val="24"/>
        <w:szCs w:val="24"/>
        <w:lang w:val="en-US"/>
      </w:rPr>
      <w:t>4</w:t>
    </w:r>
    <w:r w:rsidRPr="00AF24D9">
      <w:rPr>
        <w:rFonts w:ascii="Times New Roman" w:hAnsi="Times New Roman"/>
        <w:sz w:val="24"/>
        <w:szCs w:val="24"/>
      </w:rPr>
      <w:t>/</w:t>
    </w:r>
    <w:r w:rsidRPr="00AF24D9">
      <w:rPr>
        <w:rFonts w:ascii="Times New Roman" w:hAnsi="Times New Roman"/>
        <w:sz w:val="24"/>
        <w:szCs w:val="24"/>
        <w:lang w:val="en-US"/>
      </w:rPr>
      <w:t>10</w:t>
    </w:r>
    <w:r w:rsidRPr="00AF24D9">
      <w:rPr>
        <w:rFonts w:ascii="Times New Roman" w:hAnsi="Times New Roman"/>
        <w:sz w:val="24"/>
        <w:szCs w:val="24"/>
      </w:rPr>
      <w:t>/pdf/</w:t>
    </w:r>
    <w:r>
      <w:rPr>
        <w:rFonts w:ascii="Times New Roman" w:hAnsi="Times New Roman"/>
        <w:sz w:val="24"/>
        <w:szCs w:val="24"/>
        <w:lang w:val="en-US"/>
      </w:rPr>
      <w:t>121</w:t>
    </w:r>
    <w:r w:rsidRPr="00AF24D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71B" w:rsidRDefault="00A5771B" w:rsidP="008D5341">
      <w:pPr>
        <w:spacing w:after="0" w:line="240" w:lineRule="auto"/>
      </w:pPr>
      <w:r>
        <w:separator/>
      </w:r>
    </w:p>
  </w:footnote>
  <w:footnote w:type="continuationSeparator" w:id="1">
    <w:p w:rsidR="00A5771B" w:rsidRDefault="00A5771B" w:rsidP="008D53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71B" w:rsidRDefault="00A5771B" w:rsidP="00B2693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71B" w:rsidRDefault="00A5771B" w:rsidP="0001120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71B" w:rsidRPr="0001120A" w:rsidRDefault="00A5771B" w:rsidP="00B26930">
    <w:pPr>
      <w:pStyle w:val="Header"/>
      <w:framePr w:wrap="around" w:vAnchor="text" w:hAnchor="margin" w:xAlign="right" w:y="1"/>
      <w:rPr>
        <w:rStyle w:val="PageNumber"/>
        <w:rFonts w:ascii="Times New Roman" w:hAnsi="Times New Roman"/>
        <w:sz w:val="28"/>
        <w:szCs w:val="28"/>
      </w:rPr>
    </w:pPr>
    <w:r w:rsidRPr="0001120A">
      <w:rPr>
        <w:rStyle w:val="PageNumber"/>
        <w:rFonts w:ascii="Times New Roman" w:hAnsi="Times New Roman"/>
        <w:sz w:val="28"/>
        <w:szCs w:val="28"/>
      </w:rPr>
      <w:fldChar w:fldCharType="begin"/>
    </w:r>
    <w:r w:rsidRPr="0001120A">
      <w:rPr>
        <w:rStyle w:val="PageNumber"/>
        <w:rFonts w:ascii="Times New Roman" w:hAnsi="Times New Roman"/>
        <w:sz w:val="28"/>
        <w:szCs w:val="28"/>
      </w:rPr>
      <w:instrText xml:space="preserve">PAGE  </w:instrText>
    </w:r>
    <w:r w:rsidRPr="0001120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1120A">
      <w:rPr>
        <w:rStyle w:val="PageNumber"/>
        <w:rFonts w:ascii="Times New Roman" w:hAnsi="Times New Roman"/>
        <w:sz w:val="28"/>
        <w:szCs w:val="28"/>
      </w:rPr>
      <w:fldChar w:fldCharType="end"/>
    </w:r>
  </w:p>
  <w:p w:rsidR="00A5771B" w:rsidRPr="0001120A" w:rsidRDefault="00A5771B" w:rsidP="0001120A">
    <w:pPr>
      <w:pStyle w:val="Header"/>
      <w:ind w:right="360"/>
      <w:rPr>
        <w:lang w:val="en-US"/>
      </w:rPr>
    </w:pPr>
    <w:r w:rsidRPr="002168FD">
      <w:rPr>
        <w:rFonts w:ascii="Times New Roman" w:hAnsi="Times New Roman"/>
        <w:sz w:val="24"/>
        <w:szCs w:val="24"/>
      </w:rPr>
      <w:t>Научный журнал КубГАУ, №10</w:t>
    </w:r>
    <w:r w:rsidRPr="002168FD">
      <w:rPr>
        <w:rFonts w:ascii="Times New Roman" w:hAnsi="Times New Roman"/>
        <w:sz w:val="24"/>
        <w:szCs w:val="24"/>
        <w:lang w:val="en-US"/>
      </w:rPr>
      <w:t>4</w:t>
    </w:r>
    <w:r w:rsidRPr="002168FD">
      <w:rPr>
        <w:rFonts w:ascii="Times New Roman" w:hAnsi="Times New Roman"/>
        <w:sz w:val="24"/>
        <w:szCs w:val="24"/>
      </w:rPr>
      <w:t>(</w:t>
    </w:r>
    <w:r w:rsidRPr="002168FD">
      <w:rPr>
        <w:rFonts w:ascii="Times New Roman" w:hAnsi="Times New Roman"/>
        <w:sz w:val="24"/>
        <w:szCs w:val="24"/>
        <w:lang w:val="en-US"/>
      </w:rPr>
      <w:t>1</w:t>
    </w:r>
    <w:r w:rsidRPr="002168FD">
      <w:rPr>
        <w:rFonts w:ascii="Times New Roman" w:hAnsi="Times New Roman"/>
        <w:sz w:val="24"/>
        <w:szCs w:val="24"/>
      </w:rPr>
      <w:t>0), 2014 года</w:t>
    </w:r>
  </w:p>
  <w:p w:rsidR="00A5771B" w:rsidRDefault="00A577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511061"/>
    <w:multiLevelType w:val="hybridMultilevel"/>
    <w:tmpl w:val="E21CE86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67AC6D63"/>
    <w:multiLevelType w:val="hybridMultilevel"/>
    <w:tmpl w:val="692C58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654C"/>
    <w:rsid w:val="0001120A"/>
    <w:rsid w:val="00014CF3"/>
    <w:rsid w:val="000D6711"/>
    <w:rsid w:val="000E427E"/>
    <w:rsid w:val="00105A3C"/>
    <w:rsid w:val="00114A67"/>
    <w:rsid w:val="0012023F"/>
    <w:rsid w:val="001510C3"/>
    <w:rsid w:val="001B5797"/>
    <w:rsid w:val="001F35CD"/>
    <w:rsid w:val="00206910"/>
    <w:rsid w:val="00210FB5"/>
    <w:rsid w:val="002168FD"/>
    <w:rsid w:val="00232EDC"/>
    <w:rsid w:val="00256652"/>
    <w:rsid w:val="0026328D"/>
    <w:rsid w:val="00271EDB"/>
    <w:rsid w:val="002A7A01"/>
    <w:rsid w:val="002D48C9"/>
    <w:rsid w:val="00331188"/>
    <w:rsid w:val="00376149"/>
    <w:rsid w:val="00381CFB"/>
    <w:rsid w:val="003B6AFF"/>
    <w:rsid w:val="003E1E18"/>
    <w:rsid w:val="0040537B"/>
    <w:rsid w:val="0041087A"/>
    <w:rsid w:val="00411104"/>
    <w:rsid w:val="0044440D"/>
    <w:rsid w:val="00470AB4"/>
    <w:rsid w:val="00486134"/>
    <w:rsid w:val="004A4B5C"/>
    <w:rsid w:val="004C427B"/>
    <w:rsid w:val="004C61FE"/>
    <w:rsid w:val="00501298"/>
    <w:rsid w:val="00525C00"/>
    <w:rsid w:val="005606A6"/>
    <w:rsid w:val="0056620E"/>
    <w:rsid w:val="00596300"/>
    <w:rsid w:val="00597277"/>
    <w:rsid w:val="005B07A5"/>
    <w:rsid w:val="005E108C"/>
    <w:rsid w:val="005E2932"/>
    <w:rsid w:val="005E3E59"/>
    <w:rsid w:val="006011A6"/>
    <w:rsid w:val="006108B7"/>
    <w:rsid w:val="00654AFC"/>
    <w:rsid w:val="006A1A48"/>
    <w:rsid w:val="006A7E63"/>
    <w:rsid w:val="006D3D86"/>
    <w:rsid w:val="00726556"/>
    <w:rsid w:val="00746B7F"/>
    <w:rsid w:val="007F4DDB"/>
    <w:rsid w:val="00802A42"/>
    <w:rsid w:val="00827C59"/>
    <w:rsid w:val="008A11DF"/>
    <w:rsid w:val="008B3304"/>
    <w:rsid w:val="008D5341"/>
    <w:rsid w:val="008E4291"/>
    <w:rsid w:val="00912371"/>
    <w:rsid w:val="009529F5"/>
    <w:rsid w:val="0095709B"/>
    <w:rsid w:val="00974FC4"/>
    <w:rsid w:val="00976591"/>
    <w:rsid w:val="00985CA8"/>
    <w:rsid w:val="009B718E"/>
    <w:rsid w:val="009E654C"/>
    <w:rsid w:val="009F1DE8"/>
    <w:rsid w:val="00A130CE"/>
    <w:rsid w:val="00A36C70"/>
    <w:rsid w:val="00A50416"/>
    <w:rsid w:val="00A5771B"/>
    <w:rsid w:val="00A96DE2"/>
    <w:rsid w:val="00AA11DF"/>
    <w:rsid w:val="00AA2F87"/>
    <w:rsid w:val="00AA3757"/>
    <w:rsid w:val="00AA7EE0"/>
    <w:rsid w:val="00AE4F7B"/>
    <w:rsid w:val="00AF24D9"/>
    <w:rsid w:val="00B26930"/>
    <w:rsid w:val="00B32E0B"/>
    <w:rsid w:val="00B55445"/>
    <w:rsid w:val="00B61EAE"/>
    <w:rsid w:val="00B74596"/>
    <w:rsid w:val="00BA309B"/>
    <w:rsid w:val="00BA5BA4"/>
    <w:rsid w:val="00BE38F0"/>
    <w:rsid w:val="00BF2E07"/>
    <w:rsid w:val="00C0631C"/>
    <w:rsid w:val="00C11B1F"/>
    <w:rsid w:val="00C44FB0"/>
    <w:rsid w:val="00C5379B"/>
    <w:rsid w:val="00C75E21"/>
    <w:rsid w:val="00C77F2A"/>
    <w:rsid w:val="00C921A2"/>
    <w:rsid w:val="00D00188"/>
    <w:rsid w:val="00D12CD4"/>
    <w:rsid w:val="00D50546"/>
    <w:rsid w:val="00D667B9"/>
    <w:rsid w:val="00D762B1"/>
    <w:rsid w:val="00D76A9B"/>
    <w:rsid w:val="00DA2563"/>
    <w:rsid w:val="00DA3863"/>
    <w:rsid w:val="00DF538B"/>
    <w:rsid w:val="00E0317A"/>
    <w:rsid w:val="00E20659"/>
    <w:rsid w:val="00E47106"/>
    <w:rsid w:val="00E50D0C"/>
    <w:rsid w:val="00EA7BA0"/>
    <w:rsid w:val="00ED6A3F"/>
    <w:rsid w:val="00F2120A"/>
    <w:rsid w:val="00F22827"/>
    <w:rsid w:val="00F32532"/>
    <w:rsid w:val="00F47EC0"/>
    <w:rsid w:val="00F67223"/>
    <w:rsid w:val="00F834D9"/>
    <w:rsid w:val="00F92F68"/>
    <w:rsid w:val="00F97C99"/>
    <w:rsid w:val="00FF30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71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E654C"/>
    <w:rPr>
      <w:rFonts w:cs="Times New Roman"/>
      <w:color w:val="0000FF"/>
      <w:u w:val="single"/>
    </w:rPr>
  </w:style>
  <w:style w:type="paragraph" w:styleId="ListParagraph">
    <w:name w:val="List Paragraph"/>
    <w:basedOn w:val="Normal"/>
    <w:uiPriority w:val="99"/>
    <w:qFormat/>
    <w:rsid w:val="009E654C"/>
    <w:pPr>
      <w:ind w:left="720"/>
      <w:contextualSpacing/>
    </w:pPr>
  </w:style>
  <w:style w:type="paragraph" w:styleId="NormalWeb">
    <w:name w:val="Normal (Web)"/>
    <w:basedOn w:val="Normal"/>
    <w:uiPriority w:val="99"/>
    <w:rsid w:val="009E654C"/>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9E654C"/>
    <w:rPr>
      <w:rFonts w:cs="Times New Roman"/>
      <w:i/>
      <w:iCs/>
    </w:rPr>
  </w:style>
  <w:style w:type="table" w:styleId="TableGrid">
    <w:name w:val="Table Grid"/>
    <w:basedOn w:val="TableNormal"/>
    <w:uiPriority w:val="99"/>
    <w:rsid w:val="009E654C"/>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C4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427B"/>
    <w:rPr>
      <w:rFonts w:ascii="Tahoma" w:hAnsi="Tahoma" w:cs="Tahoma"/>
      <w:sz w:val="16"/>
      <w:szCs w:val="16"/>
    </w:rPr>
  </w:style>
  <w:style w:type="paragraph" w:styleId="Header">
    <w:name w:val="header"/>
    <w:basedOn w:val="Normal"/>
    <w:link w:val="HeaderChar"/>
    <w:uiPriority w:val="99"/>
    <w:rsid w:val="008D534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D5341"/>
    <w:rPr>
      <w:rFonts w:cs="Times New Roman"/>
    </w:rPr>
  </w:style>
  <w:style w:type="paragraph" w:styleId="Footer">
    <w:name w:val="footer"/>
    <w:basedOn w:val="Normal"/>
    <w:link w:val="FooterChar"/>
    <w:uiPriority w:val="99"/>
    <w:semiHidden/>
    <w:rsid w:val="008D5341"/>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D5341"/>
    <w:rPr>
      <w:rFonts w:cs="Times New Roman"/>
    </w:rPr>
  </w:style>
  <w:style w:type="character" w:styleId="PageNumber">
    <w:name w:val="page number"/>
    <w:basedOn w:val="DefaultParagraphFont"/>
    <w:uiPriority w:val="99"/>
    <w:rsid w:val="0001120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634</TotalTime>
  <Pages>11</Pages>
  <Words>2927</Words>
  <Characters>16686</Characters>
  <Application>Microsoft Office Outlook</Application>
  <DocSecurity>0</DocSecurity>
  <Lines>0</Lines>
  <Paragraphs>0</Paragraphs>
  <ScaleCrop>false</ScaleCrop>
  <Company>Work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disert</dc:creator>
  <cp:keywords/>
  <dc:description/>
  <cp:lastModifiedBy>admin</cp:lastModifiedBy>
  <cp:revision>67</cp:revision>
  <cp:lastPrinted>2014-12-04T06:34:00Z</cp:lastPrinted>
  <dcterms:created xsi:type="dcterms:W3CDTF">2014-10-31T05:47:00Z</dcterms:created>
  <dcterms:modified xsi:type="dcterms:W3CDTF">2015-01-06T09:04:00Z</dcterms:modified>
</cp:coreProperties>
</file>