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2"/>
        <w:gridCol w:w="4643"/>
      </w:tblGrid>
      <w:tr w:rsidR="005F6587" w:rsidRPr="00F11339" w:rsidTr="00875182">
        <w:tc>
          <w:tcPr>
            <w:tcW w:w="4642" w:type="dxa"/>
          </w:tcPr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bookmarkStart w:id="0" w:name="OLE_LINK40"/>
            <w:bookmarkStart w:id="1" w:name="OLE_LINK41"/>
            <w:bookmarkStart w:id="2" w:name="OLE_LINK42"/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УДК 581.198:631.95</w:t>
            </w:r>
            <w:bookmarkEnd w:id="0"/>
            <w:bookmarkEnd w:id="1"/>
            <w:bookmarkEnd w:id="2"/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ИЗМЕНЕНИЕ ФИЗИОЛОГО-БИОХИМИЧЕСКИХ ПОКАЗАТЕЛЕЙ ИММУННОГО ОТВЕТА РАСТЕНИЙ ВИНОГРАДА РАЗЛИЧНОГО ФИТОСАНИТАРНОГО СОСТОЯНИЯ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bookmarkStart w:id="3" w:name="OLE_LINK3"/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Сундырева Мария Андреевна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канд. с.-х. наук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Талаш Анна Ивановна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канд. с.-х. наук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Колмыков Артем Евгеньевич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аспирант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Ненько Наталия Ивановна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д-р с.-х. наук</w:t>
            </w:r>
            <w:bookmarkEnd w:id="3"/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i/>
                <w:sz w:val="20"/>
                <w:szCs w:val="20"/>
                <w:lang w:eastAsia="ar-SA"/>
              </w:rPr>
              <w:t>ФГБНУ Северо-Кавказский зональный научно-исследовательский институт садоводства и виноградарства, Краснодар, Россия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B17C9B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bookmarkStart w:id="4" w:name="OLE_LINK43"/>
            <w:bookmarkStart w:id="5" w:name="OLE_LINK44"/>
            <w:bookmarkStart w:id="6" w:name="OLE_LINK45"/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 статье приведены результаты изучения  динамики физиолого-биохимических показателей иммунного ответа винограда различной устойчивости к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воздействию грибных патогенов</w:t>
            </w:r>
            <w:bookmarkEnd w:id="4"/>
            <w:bookmarkEnd w:id="5"/>
            <w:bookmarkEnd w:id="6"/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eastAsia="ar-SA"/>
              </w:rPr>
              <w:t>Ключевые слова: ВИНОГРАД, ИММУНИТЕТ, ПОРАЖАЕМОСТЬ, ГРИБНЫЕ ПАТОГЕНЫ</w:t>
            </w:r>
          </w:p>
        </w:tc>
        <w:tc>
          <w:tcPr>
            <w:tcW w:w="4643" w:type="dxa"/>
          </w:tcPr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UDC 581.198:631.95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b/>
                <w:sz w:val="20"/>
                <w:szCs w:val="20"/>
                <w:lang w:val="en-US" w:eastAsia="ar-SA"/>
              </w:rPr>
              <w:t>CHANGING THE PHYSIOLOGICAL AND BIOCHEMICAL PARAMETERS OF THE IMMUNE RESP</w:t>
            </w:r>
            <w:bookmarkStart w:id="7" w:name="_GoBack"/>
            <w:bookmarkEnd w:id="7"/>
            <w:r w:rsidRPr="00875182">
              <w:rPr>
                <w:rFonts w:ascii="Times New Roman" w:hAnsi="Times New Roman"/>
                <w:b/>
                <w:sz w:val="20"/>
                <w:szCs w:val="20"/>
                <w:lang w:val="en-US" w:eastAsia="ar-SA"/>
              </w:rPr>
              <w:t>ONSE OF GRAPE PLANTS OF DIFFERENT PHYTO</w:t>
            </w:r>
            <w:r w:rsidRPr="00B17C9B">
              <w:rPr>
                <w:rFonts w:ascii="Times New Roman" w:hAnsi="Times New Roman"/>
                <w:b/>
                <w:sz w:val="20"/>
                <w:szCs w:val="20"/>
                <w:lang w:val="en-US" w:eastAsia="ar-SA"/>
              </w:rPr>
              <w:t>-</w:t>
            </w:r>
            <w:r w:rsidRPr="00875182">
              <w:rPr>
                <w:rFonts w:ascii="Times New Roman" w:hAnsi="Times New Roman"/>
                <w:b/>
                <w:sz w:val="20"/>
                <w:szCs w:val="20"/>
                <w:lang w:val="en-US" w:eastAsia="ar-SA"/>
              </w:rPr>
              <w:t>SANITARY CONDITION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Sundyreva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Mariya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Andreevna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Cand.Agr.Sci.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Talash Anna Ivanovna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Cand.Agr.Sci.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Kolmykov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Artem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Evgen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y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evich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graduate student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Nenko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Nataliya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Ivanovna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Dr.Agr.Sci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i/>
                <w:sz w:val="20"/>
                <w:szCs w:val="20"/>
                <w:lang w:val="en-US" w:eastAsia="ar-SA"/>
              </w:rPr>
              <w:t>Federal State Institution North-Caucasian Zonal Research Institute of Horticulture and Viticulture, Krasnodar, Russia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The results of the study of the dynamics of physiological and biochemical parameters of the immune response of grapes to fungal path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ogens are given in the article</w:t>
            </w: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  <w:p w:rsidR="005F6587" w:rsidRPr="00875182" w:rsidRDefault="005F6587" w:rsidP="00F113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5182">
              <w:rPr>
                <w:rFonts w:ascii="Times New Roman" w:hAnsi="Times New Roman"/>
                <w:sz w:val="20"/>
                <w:szCs w:val="20"/>
                <w:lang w:val="en-US" w:eastAsia="ar-SA"/>
              </w:rPr>
              <w:t>Keywords: GRAPES, IMMUNITY, AFFECTION, FUNGAL PATHOGENS</w:t>
            </w:r>
          </w:p>
        </w:tc>
      </w:tr>
    </w:tbl>
    <w:p w:rsidR="005F6587" w:rsidRDefault="005F6587" w:rsidP="00897232">
      <w:pPr>
        <w:jc w:val="both"/>
        <w:rPr>
          <w:rFonts w:ascii="Times New Roman" w:hAnsi="Times New Roman"/>
          <w:sz w:val="28"/>
          <w:szCs w:val="28"/>
          <w:lang w:val="en-US" w:eastAsia="ar-SA"/>
        </w:rPr>
      </w:pPr>
    </w:p>
    <w:p w:rsidR="005F6587" w:rsidRPr="00500017" w:rsidRDefault="005F6587" w:rsidP="00897232">
      <w:pPr>
        <w:tabs>
          <w:tab w:val="left" w:pos="9214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Воздействие биотических стрессоров на растения винограда способно значительно снизить продуктивность виноградника и время его эксплуатации. Большое значение при этом имеет сопротивляемость растения воздействию патогенов. Фитоиммунитет обеспечивается множеством </w:t>
      </w:r>
      <w:r>
        <w:rPr>
          <w:rFonts w:ascii="Times New Roman" w:hAnsi="Times New Roman"/>
          <w:sz w:val="28"/>
          <w:szCs w:val="28"/>
          <w:lang w:eastAsia="ar-SA"/>
        </w:rPr>
        <w:t xml:space="preserve">физиологических 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механизмов, изучение которых позволит </w:t>
      </w:r>
      <w:r>
        <w:rPr>
          <w:rFonts w:ascii="Times New Roman" w:hAnsi="Times New Roman"/>
          <w:sz w:val="28"/>
          <w:szCs w:val="28"/>
          <w:lang w:eastAsia="ar-SA"/>
        </w:rPr>
        <w:t xml:space="preserve">в дальнейшем </w:t>
      </w:r>
      <w:r w:rsidRPr="00500017">
        <w:rPr>
          <w:rFonts w:ascii="Times New Roman" w:hAnsi="Times New Roman"/>
          <w:sz w:val="28"/>
          <w:szCs w:val="28"/>
          <w:lang w:eastAsia="ar-SA"/>
        </w:rPr>
        <w:t>контролировать динамику системы «многолетнее растение – природная среда» и снизить</w:t>
      </w:r>
      <w:r>
        <w:rPr>
          <w:rFonts w:ascii="Times New Roman" w:hAnsi="Times New Roman"/>
          <w:sz w:val="28"/>
          <w:szCs w:val="28"/>
          <w:lang w:eastAsia="ar-SA"/>
        </w:rPr>
        <w:t xml:space="preserve"> экологическую нагрузкуи </w:t>
      </w:r>
      <w:r w:rsidRPr="00500017">
        <w:rPr>
          <w:rFonts w:ascii="Times New Roman" w:hAnsi="Times New Roman"/>
          <w:sz w:val="28"/>
          <w:szCs w:val="28"/>
          <w:lang w:eastAsia="ar-SA"/>
        </w:rPr>
        <w:t>затраты на возделывание культуры.</w:t>
      </w:r>
    </w:p>
    <w:p w:rsidR="005F6587" w:rsidRPr="00500017" w:rsidRDefault="005F6587" w:rsidP="00897232">
      <w:pPr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Физиологический о</w:t>
      </w: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>твет растения на воздействие патогена начинается с восприятия стрессового сигнала. В результате активируются сигнальные системы, индуцирующие развитие набора активных механизмов устойчивости растения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. </w:t>
      </w: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>При взаимодействии растений с неспециализированными паразитами существенны механизмы пассивного иммунитета. При взаимодействии растений со специализированными паразитами, обладающими способностью преодолевать механизмы пассивного иммунитета, срабатывают механизмы активного иммунитета</w:t>
      </w:r>
      <w:r w:rsidRPr="00ED6888">
        <w:rPr>
          <w:rFonts w:ascii="Times New Roman" w:hAnsi="Times New Roman"/>
          <w:spacing w:val="-4"/>
          <w:sz w:val="28"/>
          <w:szCs w:val="28"/>
          <w:lang w:eastAsia="ru-RU"/>
        </w:rPr>
        <w:t>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5</w:t>
      </w:r>
      <w:r w:rsidRPr="00ED6888">
        <w:rPr>
          <w:rFonts w:ascii="Times New Roman" w:hAnsi="Times New Roman"/>
          <w:spacing w:val="-4"/>
          <w:sz w:val="28"/>
          <w:szCs w:val="28"/>
          <w:lang w:eastAsia="ru-RU"/>
        </w:rPr>
        <w:t>, 7]</w:t>
      </w: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К ним можно отнести немедленные ответы, сопровождающиеся реакцией сверхчувствительности, формирование локальной и системной устойчивости, при которых происходит синтез особых белков, фитоалексинов</w:t>
      </w:r>
      <w:r w:rsidRPr="00F6142F">
        <w:rPr>
          <w:rFonts w:ascii="Times New Roman" w:hAnsi="Times New Roman"/>
          <w:spacing w:val="-4"/>
          <w:sz w:val="28"/>
          <w:szCs w:val="28"/>
          <w:lang w:eastAsia="ru-RU"/>
        </w:rPr>
        <w:t>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8, 9, 10</w:t>
      </w:r>
      <w:r w:rsidRPr="00F6142F">
        <w:rPr>
          <w:rFonts w:ascii="Times New Roman" w:hAnsi="Times New Roman"/>
          <w:spacing w:val="-4"/>
          <w:sz w:val="28"/>
          <w:szCs w:val="28"/>
          <w:lang w:eastAsia="ru-RU"/>
        </w:rPr>
        <w:t>]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</w:p>
    <w:p w:rsidR="005F6587" w:rsidRDefault="005F6587" w:rsidP="00897232">
      <w:pPr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 xml:space="preserve">Длительность и скорость наступления каждой из фаз иммунного ответа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растений, </w:t>
      </w: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>согласно литературным источникам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,</w:t>
      </w:r>
      <w:r w:rsidRPr="00500017">
        <w:rPr>
          <w:rFonts w:ascii="Times New Roman" w:hAnsi="Times New Roman"/>
          <w:spacing w:val="-4"/>
          <w:sz w:val="28"/>
          <w:szCs w:val="28"/>
          <w:lang w:eastAsia="ru-RU"/>
        </w:rPr>
        <w:t xml:space="preserve"> определяется биологией паразита и хозяина и является видоспецифичной. </w:t>
      </w:r>
    </w:p>
    <w:p w:rsidR="005F6587" w:rsidRDefault="005F6587" w:rsidP="00897232">
      <w:pPr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Нами проводились параллельные физиолого-биохимические исследования и учеты поражения милдью растений винограда различной устойчивости к этому патогену. Целью работ было выяснение роли различных физиолого-биохимических компонентов иммунного ответа в интенсивности поражения винограда милдью у различающихся по устойчивости форм.</w:t>
      </w:r>
    </w:p>
    <w:p w:rsidR="005F6587" w:rsidRPr="00F6142F" w:rsidRDefault="005F6587" w:rsidP="00897232">
      <w:pPr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7B4077">
        <w:rPr>
          <w:rFonts w:ascii="Times New Roman" w:hAnsi="Times New Roman"/>
          <w:b/>
          <w:spacing w:val="-4"/>
          <w:sz w:val="28"/>
          <w:szCs w:val="28"/>
          <w:lang w:eastAsia="ru-RU"/>
        </w:rPr>
        <w:t>Методика исследований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. Учет поражения растений милдью проводили по методике, разработанной 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 xml:space="preserve"> ВИЗР 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1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]. Учет проводился по 5-ти балльной шкале.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С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одержание аминокислот, фенолкарбоновых кислот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, ресвератрола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— методом капиллярного электрофореза на приборе Капель 104Т 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4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], содержание пигментов – по Гавриленко 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]. Стабильность мембранного комплекса листьев (коэффициент повреждения мембран) изучаемых сорто-подвойных комбинаций винограда оценивали в модельном опыте по изменению проводимости дистиллированной воды, в которую помещались листья исследуемых растений. Выход электролитов измерялся кондуктометром Агат 2М после воздействия температуры 55 °С, 100 °С и при комнатной температуре. Расчет коэффициента повреждения мембран проводился  по методике Н.Н. Кожушко 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644E5F">
        <w:rPr>
          <w:rFonts w:ascii="Times New Roman" w:hAnsi="Times New Roman"/>
          <w:spacing w:val="-4"/>
          <w:sz w:val="28"/>
          <w:szCs w:val="28"/>
          <w:lang w:eastAsia="ru-RU"/>
        </w:rPr>
        <w:t>].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Эффективность первичных процессов фотосинтеза рассчитывалась по формуле, представленной в </w:t>
      </w:r>
      <w:r w:rsidRPr="00F11339">
        <w:rPr>
          <w:rFonts w:ascii="Times New Roman" w:hAnsi="Times New Roman"/>
          <w:spacing w:val="-4"/>
          <w:sz w:val="28"/>
          <w:szCs w:val="28"/>
          <w:lang w:eastAsia="ru-RU"/>
        </w:rPr>
        <w:t>[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6</w:t>
      </w:r>
      <w:r w:rsidRPr="00F11339">
        <w:rPr>
          <w:rFonts w:ascii="Times New Roman" w:hAnsi="Times New Roman"/>
          <w:spacing w:val="-4"/>
          <w:sz w:val="28"/>
          <w:szCs w:val="28"/>
          <w:lang w:eastAsia="ru-RU"/>
        </w:rPr>
        <w:t>]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4077">
        <w:rPr>
          <w:rFonts w:ascii="Times New Roman" w:hAnsi="Times New Roman"/>
          <w:b/>
          <w:sz w:val="28"/>
          <w:szCs w:val="28"/>
          <w:lang w:eastAsia="ar-SA"/>
        </w:rPr>
        <w:t>Результаты исследований и их обсуждение.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Исследования проводились на вегетационной площадке СКЗНИИСиВ в г. Краснодар. Объектами исследований являлись гибридные формы винограда: ТАНА 33, ТАНА 42, ТАНА 68 различного видового происхождения, обладающие различной степенью устойчивости к грибным заболеваниям винограда. Кусты 2010 года посадки, плодоносящие, формировка – высокоштамбовый </w:t>
      </w:r>
      <w:r>
        <w:rPr>
          <w:rFonts w:ascii="Times New Roman" w:hAnsi="Times New Roman"/>
          <w:sz w:val="28"/>
          <w:szCs w:val="28"/>
          <w:lang w:eastAsia="ar-SA"/>
        </w:rPr>
        <w:t>одно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сторонний кордон. Обработки от грибных болезней на участке не проводятся. </w:t>
      </w:r>
    </w:p>
    <w:p w:rsidR="005F6587" w:rsidRPr="00897232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7232">
        <w:rPr>
          <w:rFonts w:ascii="Times New Roman" w:hAnsi="Times New Roman"/>
          <w:sz w:val="28"/>
          <w:szCs w:val="28"/>
          <w:lang w:eastAsia="ar-SA"/>
        </w:rPr>
        <w:t>Учеты по развитию и распространению милдью проводили с интервалом в 14 дней. До 08.07. учет милдью проводили на листьях основных побегов, а с 21.07 учитывали развитие болезни на листьях пасынковых побегов.</w:t>
      </w:r>
    </w:p>
    <w:p w:rsidR="005F6587" w:rsidRPr="00897232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7232">
        <w:rPr>
          <w:rFonts w:ascii="Times New Roman" w:hAnsi="Times New Roman"/>
          <w:sz w:val="28"/>
          <w:szCs w:val="28"/>
          <w:lang w:eastAsia="ar-SA"/>
        </w:rPr>
        <w:t>Первые признаки заболевания появились 10 июня 2014 года. Наиболее активно болезнь развивалась на сорте Тана 33, распространение составило 48,9% (</w:t>
      </w:r>
      <w:r>
        <w:rPr>
          <w:rFonts w:ascii="Times New Roman" w:hAnsi="Times New Roman"/>
          <w:sz w:val="28"/>
          <w:szCs w:val="28"/>
          <w:lang w:eastAsia="ar-SA"/>
        </w:rPr>
        <w:t>рис.</w:t>
      </w:r>
      <w:r w:rsidRPr="00897232">
        <w:rPr>
          <w:rFonts w:ascii="Times New Roman" w:hAnsi="Times New Roman"/>
          <w:sz w:val="28"/>
          <w:szCs w:val="28"/>
          <w:lang w:eastAsia="ar-SA"/>
        </w:rPr>
        <w:t xml:space="preserve"> 1). Учет от 25 июня показал относительную устойчивость к этому времени у сорта Тана 42.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9.4pt;height:174pt;visibility:visible">
            <v:imagedata r:id="rId7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1 – Интенсивность развития милдью</w:t>
      </w:r>
    </w:p>
    <w:p w:rsidR="005F6587" w:rsidRDefault="005F6587" w:rsidP="0067488B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67488B" w:rsidRDefault="005F6587" w:rsidP="0067488B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7488B">
        <w:rPr>
          <w:rFonts w:ascii="Times New Roman" w:hAnsi="Times New Roman"/>
          <w:sz w:val="28"/>
          <w:szCs w:val="28"/>
          <w:lang w:eastAsia="ar-SA"/>
        </w:rPr>
        <w:t>Дожди 5 и 25 июля дали дополнительную возможность для эпифитотийного развития милдью. Интенсивность развития заболевания в период с 8 июля по 19 августа увеличилась с 25,8 до 71,1%. Как и в период с 10 по 25 июня сорт Тана 42 оставался более устойчив, в сравнении с сортами Тана 33 и Тана 68.</w:t>
      </w:r>
    </w:p>
    <w:p w:rsidR="005F6587" w:rsidRDefault="005F6587" w:rsidP="0067488B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7488B">
        <w:rPr>
          <w:rFonts w:ascii="Times New Roman" w:hAnsi="Times New Roman"/>
          <w:sz w:val="28"/>
          <w:szCs w:val="28"/>
          <w:lang w:eastAsia="ar-SA"/>
        </w:rPr>
        <w:t>Большая интенсивность развития и распространения милдью связана с двумя причинами: месторасположение участка (виноградник закрыт со всех сторон, не проветривался) и отсутствие обработок против болезни.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В наибольшей степени милдью поражались растения гибридной формы ТАНА 33, наиболее устойчивыми были растения ТАНА 42.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Нами определялось содержание лигнина, фенолкарбоновых кислот, ресвератрола, пигментов, стабильность мембран в течение вегетации для выявления физиолого-биохимических критериев, определяющих иммунный статус винограда.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Содержание «сырого лигнина» в листьях винограда </w:t>
      </w:r>
      <w:r>
        <w:rPr>
          <w:rFonts w:ascii="Times New Roman" w:hAnsi="Times New Roman"/>
          <w:sz w:val="28"/>
          <w:szCs w:val="28"/>
          <w:lang w:eastAsia="ar-SA"/>
        </w:rPr>
        <w:t xml:space="preserve">приведено на рисунке 2. </w:t>
      </w:r>
    </w:p>
    <w:p w:rsidR="005F6587" w:rsidRPr="00500017" w:rsidRDefault="005F6587" w:rsidP="00897232">
      <w:pPr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344.4pt;height:193.8pt;visibility:visible">
            <v:imagedata r:id="rId8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2 – Содержание лигнина в листьях винограда</w:t>
      </w:r>
    </w:p>
    <w:p w:rsidR="005F658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2088">
        <w:rPr>
          <w:rFonts w:ascii="Times New Roman" w:hAnsi="Times New Roman"/>
          <w:sz w:val="28"/>
          <w:szCs w:val="28"/>
          <w:lang w:eastAsia="ar-SA"/>
        </w:rPr>
        <w:t>Содержание «сырого лигнина» в листьях винограда возрастало в первой декаде июня, потом постепенно снижалось до минимума в первой декаде августа. В третьей декаде августа было отмечено резкое увеличение содержание лигнина в листьях. Наиболее устойчивая форма ТАНА 42 отличалась самыми низкими показателями содержания лигнина в листьях в начале августа. У всех изучаемых форм лигнификация тканей листа была более интенсивной в пораженных листьях, чем в непораженных (основных) листьях (рис. 2).</w:t>
      </w:r>
    </w:p>
    <w:p w:rsidR="005F658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Содержание хлорогеновой кислоты в листьях изучаемых форм возрастало в третьей декаде июля-первой декаде августа. В непораженных (основных) листьях менее устойчивой формы ТАНА 33 максимальное содержание хлорогеновой кислоты отмечено в начале августа, а в пораженных листьях накопление хлорогеновой кислоты происход</w:t>
      </w:r>
      <w:r>
        <w:rPr>
          <w:rFonts w:ascii="Times New Roman" w:hAnsi="Times New Roman"/>
          <w:sz w:val="28"/>
          <w:szCs w:val="28"/>
          <w:lang w:eastAsia="ar-SA"/>
        </w:rPr>
        <w:t>ло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 в конце июля, а затем снижа</w:t>
      </w:r>
      <w:r>
        <w:rPr>
          <w:rFonts w:ascii="Times New Roman" w:hAnsi="Times New Roman"/>
          <w:sz w:val="28"/>
          <w:szCs w:val="28"/>
          <w:lang w:eastAsia="ar-SA"/>
        </w:rPr>
        <w:t>лось</w:t>
      </w:r>
      <w:r w:rsidRPr="00500017">
        <w:rPr>
          <w:rFonts w:ascii="Times New Roman" w:hAnsi="Times New Roman"/>
          <w:sz w:val="28"/>
          <w:szCs w:val="28"/>
          <w:lang w:eastAsia="ar-SA"/>
        </w:rPr>
        <w:t>, что, вероятно, связано сееметаболизацией. У устойчивой формы ТАНА 42 в начале августа происходит значительное увеличение содержания хлорогеновой кислоты в листьях. В непораженных листьях содержание хлорогеновой кислоты ниже, чем в пораженных листьях. У формы ТАНА 68 в третьей декаде июля увеличивается, а затем снижается в непораженных листьях, а в больных листьях отмечено постепенное увеличение содержания хлорогеновой кислоты</w:t>
      </w:r>
      <w:r>
        <w:rPr>
          <w:rFonts w:ascii="Times New Roman" w:hAnsi="Times New Roman"/>
          <w:sz w:val="28"/>
          <w:szCs w:val="28"/>
          <w:lang w:eastAsia="ar-SA"/>
        </w:rPr>
        <w:t xml:space="preserve"> (рис. 3)</w:t>
      </w:r>
      <w:r w:rsidRPr="00500017">
        <w:rPr>
          <w:rFonts w:ascii="Times New Roman" w:hAnsi="Times New Roman"/>
          <w:sz w:val="28"/>
          <w:szCs w:val="28"/>
          <w:lang w:eastAsia="ar-SA"/>
        </w:rPr>
        <w:t>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7" type="#_x0000_t75" style="width:324.6pt;height:207pt;visibility:visible">
            <v:imagedata r:id="rId9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3 – Содержание хлорогеновой кислоты в листьях винограда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Динамика повреждаемости мембран листьев у всех изучаемых гибридных форм была одинаковой: коэффициент повреждения мембран снижался в первой-третьей декаде июня, возрастал в начале июля и значительно снижался в третьей декаде июля. Наибольшую стабильность мембран проявляли растения ТАНА 68 и ТАНА 33 (рис. 4).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8" type="#_x0000_t75" style="width:354pt;height:212.4pt;visibility:visible">
            <v:imagedata r:id="rId10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4 – Коэффициент повреждения мембран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Содержание хлорофиллов в листьях изучаемых форм винограда постепенно уменьшалось с первой декады июня, кроме формы ТАНА 33, у которой содержание зеленых пигментов в непораженных листьях возрастало до начала июля, а затем снижалось. С первой декады июля непораженные листья форм ТАНА 68 и ТАНА 42 содержали больше хлорофиллов, чем пораженные. В период максимальной интенсивности распространения грибных болезней (первая декада августа) больше пигментов содержалось в листьях неустойчивой формы ТАНА 33. У наиболее устойчивой формы ТАНА 42 содержание зеленых пигментов в пораженных и непораженных листьях в этот период отличалось незначительно (рис. 5).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29" type="#_x0000_t75" style="width:321pt;height:193.2pt;visibility:visible">
            <v:imagedata r:id="rId11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5 – Содержание хлорофиллов в листьях винограда</w:t>
      </w:r>
    </w:p>
    <w:p w:rsidR="005F658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Эффективность первичных фотосинтетических процессов у растений винограда колебалась в течение вегетации (рис. 6)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518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30" type="#_x0000_t75" style="width:328.8pt;height:197.4pt;visibility:visible">
            <v:imagedata r:id="rId12" o:title=""/>
          </v:shape>
        </w:pict>
      </w:r>
    </w:p>
    <w:p w:rsidR="005F6587" w:rsidRPr="00500017" w:rsidRDefault="005F6587" w:rsidP="00897232">
      <w:pPr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Рисунок 6 – Эффективность первичных процессов фотосинтеза винограда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С первой декады июля до третьей декады июля, когда наблюдается резкий скачок в интенсивности развития грибных патогенов на растениях винограда, у форм ТАНА 68 и ТАНА 33 проявляется увеличение эффективности первичных фотосинтетических процессов в пораженных листьях в сравнении с непораженными. В начале августа, когда отмечается максимальная интенсивность развития патогенов на листьях винограда, у формы ТАНА 33 эффективность первичных фотосинтетических процессов в непораженных листьях становится значительно выше, чем в пораженных, у формы ТАНА 68 сохраняется описанная выше тенденция. У наиболее устойчивой формы ТАНА 42 с первой декады июля эффективность первичных фотосинтетических процессов снижается, данный показатель ниже в пораженных листьях. У этой формы показатель эффективности первичных процессов фотосинтеза в непораженных листьях во время максимального проявления биотического стресса превышает таковой у двух других форм (рис. 6).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В таблице 1 приведена зависимость интенсивности развития грибных болезней на листьях винограда изучаемых гибридных форм от накопления химических веществ, участвующих в иммунном ответе растений.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3E63DA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Таблица 1 – Зависимость интенсивности развития милдью на винограде от биохимических показателей (коэффициент корреляции)</w:t>
      </w:r>
    </w:p>
    <w:tbl>
      <w:tblPr>
        <w:tblW w:w="916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5"/>
        <w:gridCol w:w="1068"/>
        <w:gridCol w:w="925"/>
        <w:gridCol w:w="1068"/>
        <w:gridCol w:w="925"/>
        <w:gridCol w:w="1068"/>
        <w:gridCol w:w="925"/>
        <w:gridCol w:w="1068"/>
        <w:gridCol w:w="925"/>
      </w:tblGrid>
      <w:tr w:rsidR="005F6587" w:rsidRPr="00875182" w:rsidTr="00644E5F">
        <w:trPr>
          <w:trHeight w:val="447"/>
        </w:trPr>
        <w:tc>
          <w:tcPr>
            <w:tcW w:w="1195" w:type="dxa"/>
            <w:vMerge w:val="restart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992" w:type="dxa"/>
            <w:gridSpan w:val="2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лигнина</w:t>
            </w:r>
          </w:p>
        </w:tc>
        <w:tc>
          <w:tcPr>
            <w:tcW w:w="1992" w:type="dxa"/>
            <w:gridSpan w:val="2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ресвератрола</w:t>
            </w:r>
          </w:p>
        </w:tc>
        <w:tc>
          <w:tcPr>
            <w:tcW w:w="1992" w:type="dxa"/>
            <w:gridSpan w:val="2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хлорогеновой</w:t>
            </w:r>
          </w:p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кислоты</w:t>
            </w:r>
          </w:p>
        </w:tc>
        <w:tc>
          <w:tcPr>
            <w:tcW w:w="1992" w:type="dxa"/>
            <w:gridSpan w:val="2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аскорбиновой</w:t>
            </w:r>
          </w:p>
          <w:p w:rsidR="005F6587" w:rsidRPr="003E63DA" w:rsidRDefault="005F6587" w:rsidP="003E63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кислоты</w:t>
            </w:r>
          </w:p>
        </w:tc>
      </w:tr>
      <w:tr w:rsidR="005F6587" w:rsidRPr="00875182" w:rsidTr="00644E5F">
        <w:trPr>
          <w:trHeight w:val="447"/>
        </w:trPr>
        <w:tc>
          <w:tcPr>
            <w:tcW w:w="1195" w:type="dxa"/>
            <w:vMerge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листья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Больные листья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листья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Больные листья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листья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Больные листья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листья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3E63D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Больные листья</w:t>
            </w:r>
          </w:p>
        </w:tc>
      </w:tr>
      <w:tr w:rsidR="005F6587" w:rsidRPr="00875182" w:rsidTr="00644E5F">
        <w:trPr>
          <w:trHeight w:val="447"/>
        </w:trPr>
        <w:tc>
          <w:tcPr>
            <w:tcW w:w="119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Тана 33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5F6587" w:rsidRPr="00875182" w:rsidTr="00644E5F">
        <w:trPr>
          <w:trHeight w:val="447"/>
        </w:trPr>
        <w:tc>
          <w:tcPr>
            <w:tcW w:w="119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Тана 68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5F6587" w:rsidRPr="00875182" w:rsidTr="00644E5F">
        <w:trPr>
          <w:trHeight w:val="447"/>
        </w:trPr>
        <w:tc>
          <w:tcPr>
            <w:tcW w:w="119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Тана 42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-0,14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-0,41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068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925" w:type="dxa"/>
            <w:noWrap/>
            <w:vAlign w:val="center"/>
          </w:tcPr>
          <w:p w:rsidR="005F6587" w:rsidRPr="003E63DA" w:rsidRDefault="005F6587" w:rsidP="00897232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3DA"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</w:tr>
    </w:tbl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Развитие милдью стимулировало накопление ресвератрола, хлорогеновой кислоты, аскорбиновой кислоты в листьях винограда. 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Содержание лигнина в пораженных листьях форм ТАНА 33 и ТАНА 68 возрастало в процессе </w:t>
      </w:r>
      <w:r>
        <w:rPr>
          <w:rFonts w:ascii="Times New Roman" w:hAnsi="Times New Roman"/>
          <w:sz w:val="28"/>
          <w:szCs w:val="28"/>
          <w:lang w:eastAsia="ar-SA"/>
        </w:rPr>
        <w:t>распространения милдью</w:t>
      </w:r>
      <w:r w:rsidRPr="00500017">
        <w:rPr>
          <w:rFonts w:ascii="Times New Roman" w:hAnsi="Times New Roman"/>
          <w:sz w:val="28"/>
          <w:szCs w:val="28"/>
          <w:lang w:eastAsia="ar-SA"/>
        </w:rPr>
        <w:t>. У устойчивой формы ТАНА 42 отсутствовала корреляционная связь между развитием патогена и лигнификацией тканей листа.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При увеличении интенсивности развития милдью накопление ресвератрола у форм ТАНА 33 и ТАНА 68 в большей степени происходило в непораженных листьях, о чем свидетельствует более высокая степень корреляционной связи данных показателей в основных листьях, чем в больных. У устойчивой формы ТАНА 42 в ответ на поражение патогеном ресвератрол образовывался в больных листьях. 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Связь между развитием милдью и накоплением хлорогеновой кислоты больше в пораженных листьях у формы ТАНА 68, у формы ТАНА 33 хлорогеновая кислота накапливалась в основных листьях. У растений устойчивой формы ТАНА 42 накопление хлорогеновой кислоты в ответ на развитие патогена происходило в равной степени в основных и больных листьях, однако, коэффициент корреляции имел средние значения.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Накопление аскорбиновой кислоты в листьях винограда </w:t>
      </w:r>
      <w:r>
        <w:rPr>
          <w:rFonts w:ascii="Times New Roman" w:hAnsi="Times New Roman"/>
          <w:sz w:val="28"/>
          <w:szCs w:val="28"/>
          <w:lang w:eastAsia="ar-SA"/>
        </w:rPr>
        <w:t>при поражении милдью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 может свидетельствовать о процессах, нивелирующих накопление АФК в фазу индукции иммунного ответа растений. У форм ТАНА 33 и ТАНА 68 этот процесс больше связан с пораженными листьями, а у устойчивой формы ТАНА 42 – с основными листьями. Данное явление может быть причиной сохранения нормального функционирования листьев (высокая эффективность первичных процессов фотосинтеза, см. рис. 6) и снижения распространения патогена по растению.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Форма ТАНА 33, отличающаяся низкой устойчивостью к грибным заболеваниям, характеризуется накоплением ресвератрола и хлорогеновой кислоты в непораженных листьях, что может свидетельствовать о слабом иммунном ответе в первичных очагах инфекции. 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>Среднеустойчивая форма ТАНА 68 отличается активным накоплением хлорогеновой кислоты и, соответственно, более высоким уровнем лигнификации в пораженных листьях, т.е. можно предположить наличие активных структурных изменений клеточных стенок в ответ на развитие патогена.</w:t>
      </w:r>
    </w:p>
    <w:p w:rsidR="005F6587" w:rsidRPr="00500017" w:rsidRDefault="005F6587" w:rsidP="00897232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00017">
        <w:rPr>
          <w:rFonts w:ascii="Times New Roman" w:hAnsi="Times New Roman"/>
          <w:sz w:val="28"/>
          <w:szCs w:val="28"/>
          <w:lang w:eastAsia="ar-SA"/>
        </w:rPr>
        <w:t xml:space="preserve">У устойчивой формы ТАНА 42 в большей степени выражено накопление ресвератрола в пораженных листьях в процессе </w:t>
      </w:r>
      <w:r>
        <w:rPr>
          <w:rFonts w:ascii="Times New Roman" w:hAnsi="Times New Roman"/>
          <w:sz w:val="28"/>
          <w:szCs w:val="28"/>
          <w:lang w:eastAsia="ar-SA"/>
        </w:rPr>
        <w:t>распространения милдью</w:t>
      </w:r>
      <w:r w:rsidRPr="00500017">
        <w:rPr>
          <w:rFonts w:ascii="Times New Roman" w:hAnsi="Times New Roman"/>
          <w:sz w:val="28"/>
          <w:szCs w:val="28"/>
          <w:lang w:eastAsia="ar-SA"/>
        </w:rPr>
        <w:t xml:space="preserve">, что может говорить об активном </w:t>
      </w:r>
      <w:r>
        <w:rPr>
          <w:rFonts w:ascii="Times New Roman" w:hAnsi="Times New Roman"/>
          <w:sz w:val="28"/>
          <w:szCs w:val="28"/>
          <w:lang w:eastAsia="ar-SA"/>
        </w:rPr>
        <w:t xml:space="preserve">локальном </w:t>
      </w:r>
      <w:r w:rsidRPr="00500017">
        <w:rPr>
          <w:rFonts w:ascii="Times New Roman" w:hAnsi="Times New Roman"/>
          <w:sz w:val="28"/>
          <w:szCs w:val="28"/>
          <w:lang w:eastAsia="ar-SA"/>
        </w:rPr>
        <w:t>специфическом биохимическом ответе на биотический стресс.</w:t>
      </w:r>
    </w:p>
    <w:p w:rsidR="005F6587" w:rsidRDefault="005F6587" w:rsidP="0021644F">
      <w:pPr>
        <w:pStyle w:val="NoSpacing"/>
        <w:rPr>
          <w:rFonts w:ascii="Times New Roman" w:hAnsi="Times New Roman"/>
          <w:sz w:val="28"/>
        </w:rPr>
      </w:pPr>
    </w:p>
    <w:p w:rsidR="005F6587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bookmarkStart w:id="8" w:name="OLE_LINK2"/>
      <w:r w:rsidRPr="00A605D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5F6587" w:rsidRPr="00B17C9B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9" w:name="OLE_LINK46"/>
      <w:bookmarkStart w:id="10" w:name="OLE_LINK47"/>
      <w:r w:rsidRPr="00A605D4">
        <w:rPr>
          <w:rFonts w:ascii="Times New Roman" w:hAnsi="Times New Roman"/>
          <w:sz w:val="24"/>
          <w:szCs w:val="24"/>
        </w:rPr>
        <w:t>Боровикова Н.А. Болезни виноградной лозы / Боровикова Н.А., Талаш А.И. // Методические указания по регистрационным испытаниям фунгицидов в сельском хозяйстве // ВИЗР, Санкт-Петербург, 2009. - С. 332-333.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Гавриленко В.Ф. Большой практикум по физиологии растений /В.Ф. Гавриленко, М.Е. Ладыгина, Л.М. Хандобина/ — М: Высшая школа, 1975. – 392 с.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Кожушко Н. Н. Выход электролитов как критерий оценки засухо-устойчивости и особенности его использования для зерновых // Методы оценки устойчивости растений к неблагоприятным условиям среды. - Л.-д: Колос, 1976.— С. 32-43.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Методическое и аналитическое обеспечение исследований по садо-водству. – Краснодар: ГНУ СКЗНИИСиВ. – 2010. – 300 с.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Плотникова Л.Я. Иммунитет растений и селекция на устойчивость к болезням и вредителям / Под ред. Ю.Т. Дьякова. – М.: КолосС, 2007. – 359 с.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Рубин А.Б. Регуляция первичных стадий фотосинтеза при изменении физиологического состояния растений/ Рубин А.Б., Венедиктов П.С., Кренделева Т.Е., Пащенко В.В. //Фотосинтез и продукционный процесс. - М., 1988, с 29-39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05D4">
        <w:rPr>
          <w:rFonts w:ascii="Times New Roman" w:hAnsi="Times New Roman"/>
          <w:sz w:val="24"/>
          <w:szCs w:val="24"/>
        </w:rPr>
        <w:t>Шкаликов В.А. Иммунитет растений / В.А. Шкаликов,  Ю.Т. Дьяков, А.Н. Смирнов, Ф.С.-У. Джалилов и др. – М.: КолосС, 2005. – 190 с.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5D4">
        <w:rPr>
          <w:rFonts w:ascii="Times New Roman" w:hAnsi="Times New Roman"/>
          <w:sz w:val="24"/>
          <w:szCs w:val="24"/>
          <w:lang w:val="en-US"/>
        </w:rPr>
        <w:t xml:space="preserve">Langcake P. Disease resistance of Vitis spp. and the production of the stress metabolites resveratrol, </w:t>
      </w:r>
      <w:r w:rsidRPr="00A605D4">
        <w:rPr>
          <w:rFonts w:ascii="Times New Roman" w:hAnsi="Times New Roman"/>
          <w:sz w:val="24"/>
          <w:szCs w:val="24"/>
        </w:rPr>
        <w:t>ε</w:t>
      </w:r>
      <w:r w:rsidRPr="00A605D4">
        <w:rPr>
          <w:rFonts w:ascii="Times New Roman" w:hAnsi="Times New Roman"/>
          <w:sz w:val="24"/>
          <w:szCs w:val="24"/>
          <w:lang w:val="en-US"/>
        </w:rPr>
        <w:t xml:space="preserve">-viniferin, </w:t>
      </w:r>
      <w:r w:rsidRPr="00A605D4">
        <w:rPr>
          <w:rFonts w:ascii="Times New Roman" w:hAnsi="Times New Roman"/>
          <w:sz w:val="24"/>
          <w:szCs w:val="24"/>
        </w:rPr>
        <w:t>α</w:t>
      </w:r>
      <w:r w:rsidRPr="00A605D4">
        <w:rPr>
          <w:rFonts w:ascii="Times New Roman" w:hAnsi="Times New Roman"/>
          <w:sz w:val="24"/>
          <w:szCs w:val="24"/>
          <w:lang w:val="en-US"/>
        </w:rPr>
        <w:t>-viniferin and pterostilbene Physiological Plant Pathology Volume 18, Issue 2, 1981, Pages 213–226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5D4">
        <w:rPr>
          <w:rFonts w:ascii="Times New Roman" w:hAnsi="Times New Roman"/>
          <w:sz w:val="24"/>
          <w:szCs w:val="24"/>
          <w:lang w:val="en-US"/>
        </w:rPr>
        <w:t>Mattivi F. Profiling of Resveratrol Oligomers, Important Stress Metabolites, Accumulating in the Leaves of Hybrid Vitisvinifera (Merzling × Teroldego) Genotypes Infected with Plasmoparaviticola / Mattivi F., Vrhovsek U., Malacarne G., Masuero D., et al. // J. Agric. Food Chem., 2011, 59 (10), pp 5364–5375</w:t>
      </w:r>
    </w:p>
    <w:p w:rsidR="005F6587" w:rsidRPr="00A605D4" w:rsidRDefault="005F6587" w:rsidP="00A605D4">
      <w:pPr>
        <w:pStyle w:val="NoSpacing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5D4">
        <w:rPr>
          <w:rFonts w:ascii="Times New Roman" w:hAnsi="Times New Roman"/>
          <w:sz w:val="24"/>
          <w:szCs w:val="24"/>
          <w:lang w:val="en-US"/>
        </w:rPr>
        <w:t>Pezet R. δ-Viniferin, a Resveratrol Dehydrodimer: One of the Major Stilbenes Synthesized by Stressed Grapevine Leaves /Pezet R., Perret C., Bernard Jean-Denis J., Tabacchi R., et al. // J Agric. Food Chem., 2003, 51 (18), pp 5488–5492</w:t>
      </w:r>
      <w:bookmarkEnd w:id="8"/>
    </w:p>
    <w:bookmarkEnd w:id="9"/>
    <w:bookmarkEnd w:id="10"/>
    <w:p w:rsidR="005F6587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F6587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5F6587" w:rsidRPr="00A605D4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1.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Borovikova N.A. Bolezni vinogradnoj lozy / Borovikova N.A., Talash A.I. // Metodicheskie ukazanija po registracionnym ispytanijam fungicidov v sel'skom hozjajstve // VIZR, Sankt-Peterburg, 2009. - S. 332-333.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2.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Gavrilenko V.F. Bol'shoj praktikum po fiziologii rastenij /V.F. Gavrilenko, M.E. Ladygina, L.M. Handobina/ — M: Vysshaja shkola, 1975. – 392 s.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3.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Kozhushko N. N. Vyhod jelektrolitov kak kriterij ocenki zasuho-ustojchivosti i osobennosti ego ispol'zovanija dlja zernovyh // Metody ocenki ustojchivosti rastenij k neblagoprijatnym uslovijam sredy. - L.-d: Kolos, 1976.— S. 32-43.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4.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Metodicheskoe i analiticheskoe obespechenie issledovanij po sado-vodstvu. – Krasnodar: GNU SKZNIISiV. – 2010. – 300 s.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5.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Plotnikova L.Ja. Immunitet rastenij i selekcija na ustojchivost' k boleznjam i vrediteljam / Pod red. Ju.T. D'jakova. – M.: KolosS, 2007. – 359 s.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6.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Rubin A.B. Reguljacija pervichnyh stadij fotosinteza pri izmenenii fiziologicheskogo sostojanija rastenij/ Rubin A.B., Venediktov P.S., Krendeleva T.E., Pashhenko V.V. //Fotosintez i produkcionnyj process. - M., 1988, s 29-39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7.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Shkalikov V.A. Immunitet rastenij / V.A. Shkalikov,  Ju.T. D'jakov, A.N. Smirnov, F.S.-U. Dzhalilov i dr. – M.: KolosS, 2005. – 190 s.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8.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Langcake P. Disease resistance of Vitis spp. and the production of the stress metabolites resveratrol, ε-viniferin, α-viniferin and pterostilbene Physiological Plant Pathology Volume 18, Issue 2, 1981, Pages 213–226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9.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Mattivi F. Profiling of Resveratrol Oligomers, Important Stress Metabolites, Accumulating in the Leaves of Hybrid Vitisvinifera (Merzling × Teroldego) Genotypes Infected with Plasmoparaviticola / Mattivi F., Vrhovsek U., Malacarne G., Masuero D., et al. // J. Agric. Food Chem., 2011, 59 (10), pp 5364–5375</w:t>
      </w:r>
    </w:p>
    <w:p w:rsidR="005F6587" w:rsidRPr="00B17C9B" w:rsidRDefault="005F6587" w:rsidP="00B17C9B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17C9B">
        <w:rPr>
          <w:rFonts w:ascii="Times New Roman" w:hAnsi="Times New Roman"/>
          <w:sz w:val="24"/>
          <w:szCs w:val="24"/>
          <w:lang w:val="en-US"/>
        </w:rPr>
        <w:t>10.</w:t>
      </w:r>
      <w:r w:rsidRPr="00B17C9B">
        <w:rPr>
          <w:rFonts w:ascii="Times New Roman" w:hAnsi="Times New Roman"/>
          <w:sz w:val="24"/>
          <w:szCs w:val="24"/>
          <w:lang w:val="en-US"/>
        </w:rPr>
        <w:tab/>
        <w:t>Pezet R. δ-Viniferin, a Resveratrol Dehydrodimer: One of the Major Stilbenes Synthesized by Stressed Grapevine Leaves /Pezet R., Perret C., Bernard Jean-Denis J., Tabacchi R., et al. // J Agric. Food Chem., 2003, 51 (18), pp 5488–5492</w:t>
      </w:r>
    </w:p>
    <w:p w:rsidR="005F6587" w:rsidRPr="00A605D4" w:rsidRDefault="005F6587" w:rsidP="00A605D4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5F6587" w:rsidRPr="00A605D4" w:rsidSect="00500017">
      <w:headerReference w:type="even" r:id="rId13"/>
      <w:headerReference w:type="default" r:id="rId14"/>
      <w:footerReference w:type="even" r:id="rId15"/>
      <w:footerReference w:type="default" r:id="rId16"/>
      <w:footnotePr>
        <w:pos w:val="beneathText"/>
      </w:footnotePr>
      <w:pgSz w:w="11905" w:h="16837"/>
      <w:pgMar w:top="1418" w:right="1418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587" w:rsidRDefault="005F6587">
      <w:pPr>
        <w:spacing w:after="0" w:line="240" w:lineRule="auto"/>
      </w:pPr>
      <w:r>
        <w:separator/>
      </w:r>
    </w:p>
  </w:endnote>
  <w:endnote w:type="continuationSeparator" w:id="1">
    <w:p w:rsidR="005F6587" w:rsidRDefault="005F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87" w:rsidRDefault="005F6587" w:rsidP="00E711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6587" w:rsidRDefault="005F65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87" w:rsidRDefault="005F6587">
    <w:pPr>
      <w:pStyle w:val="Footer"/>
    </w:pPr>
    <w:bookmarkStart w:id="11" w:name="OLE_LINK130"/>
    <w:bookmarkStart w:id="12" w:name="OLE_LINK131"/>
    <w:r w:rsidRPr="00AF24D9">
      <w:rPr>
        <w:sz w:val="24"/>
        <w:szCs w:val="24"/>
      </w:rPr>
      <w:t>http://ej.kubagro.ru/201</w:t>
    </w:r>
    <w:r w:rsidRPr="00AF24D9">
      <w:rPr>
        <w:sz w:val="24"/>
        <w:szCs w:val="24"/>
        <w:lang w:val="en-US"/>
      </w:rPr>
      <w:t>4</w:t>
    </w:r>
    <w:r w:rsidRPr="00AF24D9">
      <w:rPr>
        <w:sz w:val="24"/>
        <w:szCs w:val="24"/>
      </w:rPr>
      <w:t>/</w:t>
    </w:r>
    <w:r w:rsidRPr="00AF24D9">
      <w:rPr>
        <w:sz w:val="24"/>
        <w:szCs w:val="24"/>
        <w:lang w:val="en-US"/>
      </w:rPr>
      <w:t>10</w:t>
    </w:r>
    <w:r w:rsidRPr="00AF24D9">
      <w:rPr>
        <w:sz w:val="24"/>
        <w:szCs w:val="24"/>
      </w:rPr>
      <w:t>/pdf/</w:t>
    </w:r>
    <w:r>
      <w:rPr>
        <w:sz w:val="24"/>
        <w:szCs w:val="24"/>
        <w:lang w:val="en-US"/>
      </w:rPr>
      <w:t>104</w:t>
    </w:r>
    <w:r w:rsidRPr="00AF24D9">
      <w:rPr>
        <w:sz w:val="24"/>
        <w:szCs w:val="24"/>
      </w:rPr>
      <w:t>.pdf</w:t>
    </w:r>
    <w:bookmarkEnd w:id="11"/>
    <w:bookmarkEnd w:id="1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587" w:rsidRDefault="005F6587">
      <w:pPr>
        <w:spacing w:after="0" w:line="240" w:lineRule="auto"/>
      </w:pPr>
      <w:r>
        <w:separator/>
      </w:r>
    </w:p>
  </w:footnote>
  <w:footnote w:type="continuationSeparator" w:id="1">
    <w:p w:rsidR="005F6587" w:rsidRDefault="005F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87" w:rsidRDefault="005F6587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6587" w:rsidRDefault="005F6587" w:rsidP="00F1133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87" w:rsidRDefault="005F6587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5F6587" w:rsidRPr="00F11339" w:rsidRDefault="005F6587" w:rsidP="00F11339">
    <w:pPr>
      <w:pStyle w:val="Header"/>
      <w:ind w:right="360"/>
      <w:rPr>
        <w:sz w:val="24"/>
        <w:szCs w:val="24"/>
      </w:rPr>
    </w:pPr>
    <w:r w:rsidRPr="00F11339">
      <w:rPr>
        <w:sz w:val="24"/>
        <w:szCs w:val="24"/>
      </w:rPr>
      <w:t>Научный журнал КубГАУ, №10</w:t>
    </w:r>
    <w:r w:rsidRPr="00F11339">
      <w:rPr>
        <w:sz w:val="24"/>
        <w:szCs w:val="24"/>
        <w:lang w:val="en-US"/>
      </w:rPr>
      <w:t>4</w:t>
    </w:r>
    <w:r w:rsidRPr="00F11339">
      <w:rPr>
        <w:sz w:val="24"/>
        <w:szCs w:val="24"/>
      </w:rPr>
      <w:t>(</w:t>
    </w:r>
    <w:r w:rsidRPr="00F11339">
      <w:rPr>
        <w:sz w:val="24"/>
        <w:szCs w:val="24"/>
        <w:lang w:val="en-US"/>
      </w:rPr>
      <w:t>1</w:t>
    </w:r>
    <w:r w:rsidRPr="00F11339">
      <w:rPr>
        <w:sz w:val="24"/>
        <w:szCs w:val="24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6449"/>
    <w:multiLevelType w:val="hybridMultilevel"/>
    <w:tmpl w:val="2C42499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83635A2"/>
    <w:multiLevelType w:val="hybridMultilevel"/>
    <w:tmpl w:val="B0E249E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2B2D125F"/>
    <w:multiLevelType w:val="hybridMultilevel"/>
    <w:tmpl w:val="ED50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782602"/>
    <w:multiLevelType w:val="hybridMultilevel"/>
    <w:tmpl w:val="B8A2C4A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017"/>
    <w:rsid w:val="00032438"/>
    <w:rsid w:val="00136457"/>
    <w:rsid w:val="001366AC"/>
    <w:rsid w:val="00163B4B"/>
    <w:rsid w:val="001B1495"/>
    <w:rsid w:val="001D6203"/>
    <w:rsid w:val="001E2A8E"/>
    <w:rsid w:val="0021644F"/>
    <w:rsid w:val="003527BB"/>
    <w:rsid w:val="003E5E00"/>
    <w:rsid w:val="003E63DA"/>
    <w:rsid w:val="0043636E"/>
    <w:rsid w:val="004747E8"/>
    <w:rsid w:val="004B546E"/>
    <w:rsid w:val="004D19C5"/>
    <w:rsid w:val="00500017"/>
    <w:rsid w:val="005B7132"/>
    <w:rsid w:val="005E07F5"/>
    <w:rsid w:val="005F6587"/>
    <w:rsid w:val="00644E5F"/>
    <w:rsid w:val="0067488B"/>
    <w:rsid w:val="006B7B37"/>
    <w:rsid w:val="006C5BCF"/>
    <w:rsid w:val="007530CA"/>
    <w:rsid w:val="007720F8"/>
    <w:rsid w:val="00777A5D"/>
    <w:rsid w:val="007A6D27"/>
    <w:rsid w:val="007B4077"/>
    <w:rsid w:val="00834B6C"/>
    <w:rsid w:val="00875182"/>
    <w:rsid w:val="00897232"/>
    <w:rsid w:val="008A569E"/>
    <w:rsid w:val="0093065F"/>
    <w:rsid w:val="009452C5"/>
    <w:rsid w:val="00982088"/>
    <w:rsid w:val="009B240B"/>
    <w:rsid w:val="00A5521F"/>
    <w:rsid w:val="00A605D4"/>
    <w:rsid w:val="00A60893"/>
    <w:rsid w:val="00AF24D9"/>
    <w:rsid w:val="00B17C9B"/>
    <w:rsid w:val="00B26930"/>
    <w:rsid w:val="00B817E6"/>
    <w:rsid w:val="00C576CA"/>
    <w:rsid w:val="00C65A33"/>
    <w:rsid w:val="00E16237"/>
    <w:rsid w:val="00E711C3"/>
    <w:rsid w:val="00ED6888"/>
    <w:rsid w:val="00F11339"/>
    <w:rsid w:val="00F6142F"/>
    <w:rsid w:val="00F92BBD"/>
    <w:rsid w:val="00FC50CB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E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5000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00017"/>
    <w:pPr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0017"/>
    <w:rPr>
      <w:rFonts w:ascii="Times New Roman" w:hAnsi="Times New Roman" w:cs="Times New Roman"/>
      <w:sz w:val="28"/>
      <w:szCs w:val="28"/>
      <w:lang w:eastAsia="ar-SA" w:bidi="ar-SA"/>
    </w:rPr>
  </w:style>
  <w:style w:type="paragraph" w:styleId="Footer">
    <w:name w:val="footer"/>
    <w:basedOn w:val="Normal"/>
    <w:link w:val="FooterChar"/>
    <w:uiPriority w:val="99"/>
    <w:rsid w:val="00500017"/>
    <w:pPr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0017"/>
    <w:rPr>
      <w:rFonts w:ascii="Times New Roman" w:hAnsi="Times New Roman" w:cs="Times New Roman"/>
      <w:sz w:val="28"/>
      <w:szCs w:val="28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50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00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000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1644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1267</TotalTime>
  <Pages>11</Pages>
  <Words>2441</Words>
  <Characters>13914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</dc:creator>
  <cp:keywords/>
  <dc:description/>
  <cp:lastModifiedBy>admin</cp:lastModifiedBy>
  <cp:revision>20</cp:revision>
  <dcterms:created xsi:type="dcterms:W3CDTF">2014-11-24T12:53:00Z</dcterms:created>
  <dcterms:modified xsi:type="dcterms:W3CDTF">2015-01-05T18:07:00Z</dcterms:modified>
</cp:coreProperties>
</file>