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2"/>
      </w:tblGrid>
      <w:tr w:rsidR="00C11C8F" w:rsidRPr="00274D00" w:rsidTr="00134A0F"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 xml:space="preserve">УДК 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657.1:336.22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</w:p>
          <w:p w:rsidR="00C11C8F" w:rsidRPr="00274D00" w:rsidRDefault="00C11C8F" w:rsidP="00173C12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r w:rsidRPr="00274D00">
              <w:rPr>
                <w:rFonts w:cs="Times New Roman"/>
                <w:b/>
                <w:kern w:val="1"/>
                <w:sz w:val="20"/>
                <w:szCs w:val="20"/>
                <w:lang w:val="ru-RU" w:eastAsia="ru-RU" w:bidi="ar-SA"/>
              </w:rPr>
              <w:t>ПРОБЛЕМЫ НАЛОГОВОГО УЧЕТА МАТ</w:t>
            </w:r>
            <w:r w:rsidRPr="00274D00">
              <w:rPr>
                <w:rFonts w:cs="Times New Roman"/>
                <w:b/>
                <w:kern w:val="1"/>
                <w:sz w:val="20"/>
                <w:szCs w:val="20"/>
                <w:lang w:val="ru-RU" w:eastAsia="ru-RU" w:bidi="ar-SA"/>
              </w:rPr>
              <w:t>Е</w:t>
            </w:r>
            <w:r w:rsidRPr="00274D00">
              <w:rPr>
                <w:rFonts w:cs="Times New Roman"/>
                <w:b/>
                <w:kern w:val="1"/>
                <w:sz w:val="20"/>
                <w:szCs w:val="20"/>
                <w:lang w:val="ru-RU" w:eastAsia="ru-RU" w:bidi="ar-SA"/>
              </w:rPr>
              <w:t>РИАЛОВ В ИННОВАЦИОННЫХ УСЛОВИЯХ ХОЗЯЙСТВОВАНИЯ</w:t>
            </w:r>
          </w:p>
        </w:tc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US" w:eastAsia="ru-RU" w:bidi="ar-SA"/>
              </w:rPr>
              <w:t>UDC</w:t>
            </w: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 xml:space="preserve"> 657:336.22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</w:p>
          <w:p w:rsidR="00C11C8F" w:rsidRPr="00274D00" w:rsidRDefault="00C11C8F" w:rsidP="003D6800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  <w:t>PROBLEMS TAX ACCOUNTING OF MATER</w:t>
            </w:r>
            <w:r w:rsidRPr="00274D00"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  <w:t>I</w:t>
            </w:r>
            <w:r w:rsidRPr="00274D00"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  <w:t>ALS IN INNOVATIVE BUSINESS ENVIRO</w:t>
            </w:r>
            <w:r w:rsidRPr="00274D00"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  <w:t>N</w:t>
            </w:r>
            <w:r w:rsidRPr="00274D00"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  <w:t>MENT</w:t>
            </w:r>
          </w:p>
        </w:tc>
      </w:tr>
      <w:tr w:rsidR="00C11C8F" w:rsidRPr="00274D00" w:rsidTr="00134A0F"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</w:pPr>
          </w:p>
        </w:tc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b/>
                <w:kern w:val="1"/>
                <w:sz w:val="20"/>
                <w:szCs w:val="20"/>
                <w:lang w:val="en-US" w:eastAsia="ru-RU" w:bidi="ar-SA"/>
              </w:rPr>
            </w:pPr>
          </w:p>
        </w:tc>
      </w:tr>
      <w:tr w:rsidR="00C11C8F" w:rsidRPr="00274D00" w:rsidTr="00134A0F">
        <w:tc>
          <w:tcPr>
            <w:tcW w:w="4643" w:type="dxa"/>
          </w:tcPr>
          <w:p w:rsidR="00C11C8F" w:rsidRPr="00540475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Шулепина Светлана Александровна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к.э.н., преподаватель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i/>
                <w:kern w:val="1"/>
                <w:sz w:val="20"/>
                <w:szCs w:val="20"/>
                <w:lang w:val="ru-RU" w:eastAsia="ru-RU" w:bidi="ar-SA"/>
              </w:rPr>
            </w:pPr>
            <w:r w:rsidRPr="00274D00">
              <w:rPr>
                <w:rFonts w:cs="Times New Roman"/>
                <w:i/>
                <w:kern w:val="1"/>
                <w:sz w:val="20"/>
                <w:szCs w:val="20"/>
                <w:lang w:val="ru-RU" w:eastAsia="ru-RU" w:bidi="ar-SA"/>
              </w:rPr>
              <w:t>Кубанский государственный аграрный универс</w:t>
            </w:r>
            <w:r w:rsidRPr="00274D00">
              <w:rPr>
                <w:rFonts w:cs="Times New Roman"/>
                <w:i/>
                <w:kern w:val="1"/>
                <w:sz w:val="20"/>
                <w:szCs w:val="20"/>
                <w:lang w:val="ru-RU" w:eastAsia="ru-RU" w:bidi="ar-SA"/>
              </w:rPr>
              <w:t>и</w:t>
            </w:r>
            <w:r w:rsidRPr="00274D00">
              <w:rPr>
                <w:rFonts w:cs="Times New Roman"/>
                <w:i/>
                <w:kern w:val="1"/>
                <w:sz w:val="20"/>
                <w:szCs w:val="20"/>
                <w:lang w:val="ru-RU" w:eastAsia="ru-RU" w:bidi="ar-SA"/>
              </w:rPr>
              <w:t xml:space="preserve">тет, Россия, Краснодар, 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hyperlink r:id="rId7" w:history="1">
              <w:r w:rsidRPr="00274D00">
                <w:rPr>
                  <w:rFonts w:cs="Times New Roman"/>
                  <w:kern w:val="0"/>
                  <w:sz w:val="20"/>
                  <w:szCs w:val="20"/>
                  <w:lang w:val="ru-RU" w:eastAsia="ru-RU" w:bidi="ar-SA"/>
                </w:rPr>
                <w:t>shulepinasv@mail.ru</w:t>
              </w:r>
            </w:hyperlink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Sh</w:t>
            </w:r>
            <w:r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ulepina Svetlana Aleksandrovna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Cand.Econ.Sci, lecturer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i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i/>
                <w:kern w:val="1"/>
                <w:sz w:val="20"/>
                <w:szCs w:val="20"/>
                <w:lang w:val="en-US" w:eastAsia="ru-RU" w:bidi="ar-SA"/>
              </w:rPr>
              <w:t xml:space="preserve">Kuban State Agrarian University, 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i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i/>
                <w:kern w:val="1"/>
                <w:sz w:val="20"/>
                <w:szCs w:val="20"/>
                <w:lang w:val="en-US" w:eastAsia="ru-RU" w:bidi="ar-SA"/>
              </w:rPr>
              <w:t>Russia, Krasnodar,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hyperlink r:id="rId8" w:history="1">
              <w:r w:rsidRPr="00274D00">
                <w:rPr>
                  <w:rFonts w:cs="Times New Roman"/>
                  <w:kern w:val="0"/>
                  <w:sz w:val="20"/>
                  <w:szCs w:val="20"/>
                  <w:lang w:val="ru-RU" w:eastAsia="ru-RU" w:bidi="ar-SA"/>
                </w:rPr>
                <w:t>shulepinasv@mail.ru</w:t>
              </w:r>
            </w:hyperlink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</w:p>
        </w:tc>
      </w:tr>
      <w:tr w:rsidR="00C11C8F" w:rsidRPr="00274D00" w:rsidTr="00134A0F"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В статье представлены ключевые нюансы форм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и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рования информации о материальных расходов в целях исчисления налога на прибыль. Изучен п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о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рядок признания расходов в качестве материал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ь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 xml:space="preserve">ных. Рассмотрены изменения налогового учета таких расходов в 2015г. </w:t>
            </w:r>
          </w:p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The article presents the key information about the n</w:t>
            </w: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u</w:t>
            </w: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ances of forming material costs in order to calculate the income tax. Learn how to recognize the costs as material. There are changes in tax</w:t>
            </w:r>
            <w:r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 xml:space="preserve"> accounting above costs in 2015</w:t>
            </w:r>
          </w:p>
        </w:tc>
      </w:tr>
      <w:tr w:rsidR="00C11C8F" w:rsidRPr="00274D00" w:rsidTr="00134A0F"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Ключевые слова: НАЛОГОВЫЙ УЧЕТ, МАТЕР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И</w:t>
            </w:r>
            <w:r w:rsidRPr="00274D00">
              <w:rPr>
                <w:rFonts w:cs="Times New Roman"/>
                <w:kern w:val="1"/>
                <w:sz w:val="20"/>
                <w:szCs w:val="20"/>
                <w:lang w:val="ru-RU" w:eastAsia="ru-RU" w:bidi="ar-SA"/>
              </w:rPr>
              <w:t>АЛЬНЫЕ РАСХОДЫ, НАЛОГ НА ПРИБЫЛЬ, МЕТОД ОЦЕНКИ, УЧЕТНАЯ ПОЛИТИКА</w:t>
            </w:r>
          </w:p>
        </w:tc>
        <w:tc>
          <w:tcPr>
            <w:tcW w:w="4643" w:type="dxa"/>
          </w:tcPr>
          <w:p w:rsidR="00C11C8F" w:rsidRPr="00274D00" w:rsidRDefault="00C11C8F" w:rsidP="00704353">
            <w:pPr>
              <w:widowControl/>
              <w:suppressAutoHyphens w:val="0"/>
              <w:autoSpaceDN/>
              <w:textAlignment w:val="auto"/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</w:pP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Keywords: TAX ACCOUNTING, MATERIAL COSTS, INCOME TAXES, VALUATION TEC</w:t>
            </w: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H</w:t>
            </w:r>
            <w:r w:rsidRPr="00274D00">
              <w:rPr>
                <w:rFonts w:cs="Times New Roman"/>
                <w:kern w:val="1"/>
                <w:sz w:val="20"/>
                <w:szCs w:val="20"/>
                <w:lang w:val="en-US" w:eastAsia="ru-RU" w:bidi="ar-SA"/>
              </w:rPr>
              <w:t>NIQUES, ACCOUNTING POLICIES</w:t>
            </w:r>
          </w:p>
        </w:tc>
      </w:tr>
    </w:tbl>
    <w:p w:rsidR="00C11C8F" w:rsidRPr="00173EBC" w:rsidRDefault="00C11C8F">
      <w:pPr>
        <w:pStyle w:val="Standard"/>
        <w:autoSpaceDE w:val="0"/>
        <w:ind w:firstLine="709"/>
        <w:jc w:val="center"/>
        <w:rPr>
          <w:rFonts w:cs="Arial CYR"/>
          <w:sz w:val="28"/>
          <w:szCs w:val="28"/>
        </w:rPr>
      </w:pPr>
    </w:p>
    <w:p w:rsidR="00C11C8F" w:rsidRPr="001F107A" w:rsidRDefault="00C11C8F">
      <w:pPr>
        <w:pStyle w:val="Standard"/>
        <w:autoSpaceDE w:val="0"/>
        <w:ind w:firstLine="709"/>
        <w:jc w:val="center"/>
        <w:rPr>
          <w:sz w:val="28"/>
          <w:szCs w:val="28"/>
          <w:lang w:val="en-US"/>
        </w:rPr>
      </w:pP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При формировании налогооблагаемой базы по налогу на прибыль важным аспектом является исчисление расходов, связанных с производством и реализацией товаров (работ, услуг), имущественных прав.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Порядок исчисления таких расходов должен быть прописан в приказе об учетной политике организаций для целей налогового учета и соответствовать положениям законодательных актов РФ.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Согласно ст. 252 Налогового кодекса РФ, расходами признаются обоснованные и документально подтвержденные затраты (а в случаях, предусмотренных ст. 265 НК РФ, убытки), осуществленные (понесенные) налогоплательщиком.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Расходы в зависимости от их характера, а также условий осуществления и направлений деятельности налогоплательщика подразделяются на расходы, связанные с производством и реализацией, и внереализационные расходы</w:t>
      </w:r>
      <w:r w:rsidRPr="00D107C5">
        <w:rPr>
          <w:rFonts w:cs="Arial CYR"/>
          <w:sz w:val="28"/>
          <w:szCs w:val="28"/>
          <w:lang w:val="ru-RU"/>
        </w:rPr>
        <w:t xml:space="preserve"> [3]</w:t>
      </w:r>
      <w:r>
        <w:rPr>
          <w:rFonts w:cs="Arial CYR"/>
          <w:sz w:val="28"/>
          <w:szCs w:val="28"/>
          <w:lang w:val="ru-RU"/>
        </w:rPr>
        <w:t>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По экономическим элементам различают следующие виды расходов на производство и реализацию: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1) материальные расходы;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2) расходы на оплату труда;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3) суммы начисленной амортизации;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4) прочие расходы.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При формировании приказа об учетной политике для целей налогообложения традиционно большое внимание уделяется отражению материальных расходов</w:t>
      </w:r>
      <w:r w:rsidRPr="00D107C5">
        <w:rPr>
          <w:rFonts w:cs="Arial CYR"/>
          <w:sz w:val="28"/>
          <w:szCs w:val="28"/>
          <w:lang w:val="ru-RU"/>
        </w:rPr>
        <w:t xml:space="preserve"> [2]</w:t>
      </w:r>
      <w:r>
        <w:rPr>
          <w:rFonts w:cs="Arial CYR"/>
          <w:sz w:val="28"/>
          <w:szCs w:val="28"/>
          <w:lang w:val="ru-RU"/>
        </w:rPr>
        <w:t>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В целях снижения налоговых рисков, достижения прозрачности системы налогового учета организациям необходимо закрепить критерии отнесения затрат в состав материальных расходов.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Базовый перечень материальных расходов определен в ст. 254  Налогового кодекса Российской Федерации. Согласно указанной норме в качестве материальных расходов возможно учитывать затраты на приобретение: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- сырья и материалов, используемых в производстве продукции (выполнении работ, оказании услуг) (</w:t>
      </w:r>
      <w:r w:rsidRPr="00BA6253">
        <w:rPr>
          <w:rFonts w:cs="Arial CYR"/>
          <w:sz w:val="28"/>
          <w:szCs w:val="28"/>
          <w:lang w:val="ru-RU"/>
        </w:rPr>
        <w:t>пп. 1 п. 1 ст. 254</w:t>
      </w:r>
      <w:r>
        <w:rPr>
          <w:rFonts w:cs="Arial CYR"/>
          <w:sz w:val="28"/>
          <w:szCs w:val="28"/>
          <w:lang w:val="ru-RU"/>
        </w:rPr>
        <w:t xml:space="preserve"> НК РФ);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- материалов, используемых для упаковки продукции, а также используемых на другие производственные и хозяйственные нужды (проведение испытаний, контроля, содержание, эксплуатацию основных средств и иные подобные цели) (</w:t>
      </w:r>
      <w:r w:rsidRPr="00BA6253">
        <w:rPr>
          <w:rFonts w:cs="Arial CYR"/>
          <w:sz w:val="28"/>
          <w:szCs w:val="28"/>
          <w:lang w:val="ru-RU"/>
        </w:rPr>
        <w:t>пп. 2 п. 1 ст. 254</w:t>
      </w:r>
      <w:r>
        <w:rPr>
          <w:rFonts w:cs="Arial CYR"/>
          <w:sz w:val="28"/>
          <w:szCs w:val="28"/>
          <w:lang w:val="ru-RU"/>
        </w:rPr>
        <w:t xml:space="preserve"> НК РФ);</w:t>
      </w:r>
    </w:p>
    <w:p w:rsidR="00C11C8F" w:rsidRDefault="00C11C8F" w:rsidP="00173EBC">
      <w:pPr>
        <w:pStyle w:val="Standard"/>
        <w:numPr>
          <w:ilvl w:val="0"/>
          <w:numId w:val="1"/>
        </w:numPr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инструментов, приспособлений, инвентаря, приборов, лабораторного оборудования, спецодежды и других средств индивидуальной и коллективной защиты, предусмотренных законодательством Российской Федерации, а также другого имущества, не являющегося амортизируемым (пп. 3 п. 1 ст. 254 НК РФ)</w:t>
      </w:r>
    </w:p>
    <w:p w:rsidR="00C11C8F" w:rsidRPr="00BA6253" w:rsidRDefault="00C11C8F" w:rsidP="00173EBC">
      <w:pPr>
        <w:pStyle w:val="Standard"/>
        <w:numPr>
          <w:ilvl w:val="0"/>
          <w:numId w:val="2"/>
        </w:numPr>
        <w:autoSpaceDE w:val="0"/>
        <w:spacing w:line="360" w:lineRule="auto"/>
        <w:ind w:firstLine="709"/>
        <w:jc w:val="both"/>
      </w:pPr>
      <w:r w:rsidRPr="00BA6253">
        <w:rPr>
          <w:rFonts w:cs="Arial CYR"/>
          <w:sz w:val="28"/>
          <w:szCs w:val="28"/>
          <w:lang w:val="ru-RU"/>
        </w:rPr>
        <w:t>и т. д.</w:t>
      </w:r>
    </w:p>
    <w:p w:rsidR="00C11C8F" w:rsidRPr="00D91058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 w:rsidRPr="00BA6253">
        <w:rPr>
          <w:rFonts w:cs="Arial CYR"/>
          <w:sz w:val="28"/>
          <w:szCs w:val="28"/>
          <w:lang w:val="ru-RU"/>
        </w:rPr>
        <w:t xml:space="preserve">Важным нововведением, которое должно найти свое отражение при формировании приказа об учетной политике для целей налогообложения на </w:t>
      </w:r>
      <w:smartTag w:uri="urn:schemas-microsoft-com:office:smarttags" w:element="metricconverter">
        <w:smartTagPr>
          <w:attr w:name="ProductID" w:val="2015 г"/>
        </w:smartTagPr>
        <w:r w:rsidRPr="00BA6253">
          <w:rPr>
            <w:rFonts w:cs="Arial CYR"/>
            <w:sz w:val="28"/>
            <w:szCs w:val="28"/>
            <w:lang w:val="ru-RU"/>
          </w:rPr>
          <w:t>2015 г</w:t>
        </w:r>
      </w:smartTag>
      <w:r w:rsidRPr="00BA6253">
        <w:rPr>
          <w:rFonts w:cs="Arial CYR"/>
          <w:sz w:val="28"/>
          <w:szCs w:val="28"/>
          <w:lang w:val="ru-RU"/>
        </w:rPr>
        <w:t xml:space="preserve">., является возможность самостоятельного определения порядка признания  материальных расходов, предусмотренных </w:t>
      </w:r>
      <w:r>
        <w:rPr>
          <w:rFonts w:cs="Arial CYR"/>
          <w:sz w:val="28"/>
          <w:szCs w:val="28"/>
          <w:lang w:val="ru-RU"/>
        </w:rPr>
        <w:t xml:space="preserve">в </w:t>
      </w:r>
      <w:r w:rsidRPr="00BA6253">
        <w:rPr>
          <w:rFonts w:cs="Arial CYR"/>
          <w:sz w:val="28"/>
          <w:szCs w:val="28"/>
          <w:lang w:val="ru-RU"/>
        </w:rPr>
        <w:t>пп. 3 п. 1 ст. 254 НК РФ.</w:t>
      </w:r>
    </w:p>
    <w:p w:rsidR="00C11C8F" w:rsidRPr="00D91058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Согласно действующей редакции НК РФ расходы на приобретние </w:t>
      </w:r>
      <w:r w:rsidRPr="00D91058">
        <w:rPr>
          <w:rFonts w:cs="Arial CYR"/>
          <w:sz w:val="28"/>
          <w:szCs w:val="28"/>
          <w:lang w:val="ru-RU"/>
        </w:rPr>
        <w:t>инструментов, инвентаря стоимостью до 40 000 руб. включительно относят на расходы при вводе в эксплуатацию</w:t>
      </w:r>
      <w:r>
        <w:rPr>
          <w:rFonts w:cs="Arial CYR"/>
          <w:sz w:val="28"/>
          <w:szCs w:val="28"/>
          <w:lang w:val="ru-RU"/>
        </w:rPr>
        <w:t xml:space="preserve">. А </w:t>
      </w:r>
      <w:r w:rsidRPr="00D91058">
        <w:rPr>
          <w:rFonts w:cs="Arial CYR"/>
          <w:sz w:val="28"/>
          <w:szCs w:val="28"/>
          <w:lang w:val="ru-RU"/>
        </w:rPr>
        <w:t xml:space="preserve">в бухгалтерском учете в случае, когда в приказе об учетной политике имущество со сроком использования более одного года относится к основным средствам, такое имущество можно списывать постепенно.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С 1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cs="Arial CYR"/>
            <w:sz w:val="28"/>
            <w:szCs w:val="28"/>
            <w:lang w:val="ru-RU"/>
          </w:rPr>
          <w:t>2015 г</w:t>
        </w:r>
      </w:smartTag>
      <w:r>
        <w:rPr>
          <w:rFonts w:cs="Arial CYR"/>
          <w:sz w:val="28"/>
          <w:szCs w:val="28"/>
          <w:lang w:val="ru-RU"/>
        </w:rPr>
        <w:t>. согласно изменениям, внесенным Федеральным</w:t>
      </w:r>
      <w:r>
        <w:rPr>
          <w:lang w:val="ru-RU"/>
        </w:rPr>
        <w:t xml:space="preserve"> </w:t>
      </w:r>
      <w:r w:rsidRPr="00BA6253">
        <w:rPr>
          <w:rFonts w:cs="Arial CYR"/>
          <w:sz w:val="28"/>
          <w:szCs w:val="28"/>
          <w:lang w:val="ru-RU"/>
        </w:rPr>
        <w:t xml:space="preserve">законом </w:t>
      </w:r>
      <w:r>
        <w:rPr>
          <w:rFonts w:cs="Arial CYR"/>
          <w:sz w:val="28"/>
          <w:szCs w:val="28"/>
          <w:lang w:val="ru-RU"/>
        </w:rPr>
        <w:t>от 04.11.2014 г. № 347-ФЗ «О внесении изменений в части первую и вторую Налогового кодекса Российской Федерации», организации смогут списывать стоимость названного имущества в течение более чем одного отчетного периода. При этом необходимо будет принимать во внимание срок использования имущества (он должен быть более одного года) или иные экономически обоснованные показатели.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В силу того, что перечень материальных расходов организации, установленный в ст. 254 НК РФ, не является закрытым, организация вправе учитывать в их составе и иные аналогичные расходы при условии, что они отвечают критериям </w:t>
      </w:r>
      <w:r w:rsidRPr="00D91058">
        <w:rPr>
          <w:rFonts w:cs="Arial CYR"/>
          <w:sz w:val="28"/>
          <w:szCs w:val="28"/>
          <w:lang w:val="ru-RU"/>
        </w:rPr>
        <w:t>ст. 252</w:t>
      </w:r>
      <w:r>
        <w:rPr>
          <w:rFonts w:cs="Arial CYR"/>
          <w:sz w:val="28"/>
          <w:szCs w:val="28"/>
          <w:lang w:val="ru-RU"/>
        </w:rPr>
        <w:t xml:space="preserve"> НК РФ (таблица 1).</w:t>
      </w:r>
    </w:p>
    <w:p w:rsidR="00C11C8F" w:rsidRDefault="00C11C8F">
      <w:pPr>
        <w:pStyle w:val="Standard"/>
        <w:autoSpaceDE w:val="0"/>
        <w:ind w:firstLine="709"/>
        <w:jc w:val="both"/>
      </w:pPr>
    </w:p>
    <w:p w:rsidR="00C11C8F" w:rsidRDefault="00C11C8F" w:rsidP="00531657">
      <w:pPr>
        <w:pStyle w:val="Standard"/>
        <w:autoSpaceDE w:val="0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Таблица 1 - Отдельные виды материальных расходов в налоговом учете</w:t>
      </w:r>
    </w:p>
    <w:p w:rsidR="00C11C8F" w:rsidRPr="00D91058" w:rsidRDefault="00C11C8F" w:rsidP="00D91058">
      <w:pPr>
        <w:pStyle w:val="Standard"/>
        <w:autoSpaceDE w:val="0"/>
        <w:ind w:firstLine="709"/>
        <w:jc w:val="both"/>
        <w:rPr>
          <w:lang w:val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514"/>
        <w:gridCol w:w="4075"/>
        <w:gridCol w:w="4590"/>
      </w:tblGrid>
      <w:tr w:rsidR="00C11C8F" w:rsidTr="0000280F">
        <w:tc>
          <w:tcPr>
            <w:tcW w:w="2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center"/>
            </w:pPr>
            <w:r>
              <w:t xml:space="preserve">№ </w:t>
            </w:r>
            <w:r>
              <w:rPr>
                <w:lang w:val="ru-RU"/>
              </w:rPr>
              <w:t>п/п</w:t>
            </w:r>
          </w:p>
        </w:tc>
        <w:tc>
          <w:tcPr>
            <w:tcW w:w="22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  <w:p w:rsidR="00C11C8F" w:rsidRDefault="00C11C8F" w:rsidP="00704353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материальных расходов</w:t>
            </w: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Основание для отнесения</w:t>
            </w:r>
          </w:p>
          <w:p w:rsidR="00C11C8F" w:rsidRDefault="00C11C8F" w:rsidP="00704353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к материальным расходам</w:t>
            </w:r>
          </w:p>
        </w:tc>
      </w:tr>
      <w:tr w:rsidR="00C11C8F" w:rsidTr="0000280F">
        <w:tc>
          <w:tcPr>
            <w:tcW w:w="28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2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Standard"/>
              <w:autoSpaceDE w:val="0"/>
              <w:jc w:val="both"/>
            </w:pPr>
            <w:r>
              <w:rPr>
                <w:rFonts w:cs="Arial CYR"/>
                <w:lang w:val="ru-RU"/>
              </w:rPr>
              <w:t>Хозяйственные товары, бытовая химия</w:t>
            </w:r>
          </w:p>
        </w:tc>
        <w:tc>
          <w:tcPr>
            <w:tcW w:w="2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Standard"/>
              <w:autoSpaceDE w:val="0"/>
              <w:jc w:val="both"/>
            </w:pPr>
            <w:r>
              <w:rPr>
                <w:rFonts w:cs="Arial CYR"/>
                <w:lang w:val="ru-RU"/>
              </w:rPr>
              <w:t xml:space="preserve">Письмо министерства финансов России от 11 апреля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cs="Arial CYR"/>
                  <w:lang w:val="ru-RU"/>
                </w:rPr>
                <w:t>2007 г</w:t>
              </w:r>
            </w:smartTag>
            <w:r>
              <w:rPr>
                <w:rFonts w:cs="Arial CYR"/>
                <w:lang w:val="ru-RU"/>
              </w:rPr>
              <w:t>. № 03-03-06/1/229</w:t>
            </w:r>
          </w:p>
        </w:tc>
      </w:tr>
      <w:tr w:rsidR="00C11C8F" w:rsidTr="0000280F">
        <w:tc>
          <w:tcPr>
            <w:tcW w:w="28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both"/>
            </w:pPr>
            <w:r>
              <w:t>2</w:t>
            </w:r>
          </w:p>
        </w:tc>
        <w:tc>
          <w:tcPr>
            <w:tcW w:w="222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Standard"/>
              <w:autoSpaceDE w:val="0"/>
              <w:jc w:val="both"/>
            </w:pPr>
            <w:r>
              <w:rPr>
                <w:rFonts w:cs="Arial CYR"/>
                <w:lang w:val="ru-RU"/>
              </w:rPr>
              <w:t>Выдача специальной одежды, обуви и других средств индивидуальной защиты, улучшающих защиту работников по сравнению с типовыми нормами.</w:t>
            </w:r>
          </w:p>
        </w:tc>
        <w:tc>
          <w:tcPr>
            <w:tcW w:w="2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both"/>
            </w:pPr>
            <w:r>
              <w:rPr>
                <w:lang w:val="ru-RU"/>
              </w:rPr>
              <w:t xml:space="preserve">Письма министерства финансов России от 16 февраля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lang w:val="ru-RU"/>
                </w:rPr>
                <w:t>2012 г</w:t>
              </w:r>
            </w:smartTag>
            <w:r>
              <w:rPr>
                <w:lang w:val="ru-RU"/>
              </w:rPr>
              <w:t>. №</w:t>
            </w:r>
            <w:r w:rsidRPr="00D91058">
              <w:rPr>
                <w:lang w:val="ru-RU"/>
              </w:rPr>
              <w:t xml:space="preserve"> 03-03-06/4/8</w:t>
            </w:r>
            <w:r>
              <w:rPr>
                <w:lang w:val="ru-RU"/>
              </w:rPr>
              <w:t xml:space="preserve">, от 16 марта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lang w:val="ru-RU"/>
                </w:rPr>
                <w:t>2011 г</w:t>
              </w:r>
            </w:smartTag>
            <w:r>
              <w:rPr>
                <w:lang w:val="ru-RU"/>
              </w:rPr>
              <w:t>. №</w:t>
            </w:r>
            <w:r w:rsidRPr="00D91058">
              <w:rPr>
                <w:lang w:val="ru-RU"/>
              </w:rPr>
              <w:t xml:space="preserve"> 03-03-06/1/143</w:t>
            </w:r>
          </w:p>
        </w:tc>
      </w:tr>
      <w:tr w:rsidR="00C11C8F" w:rsidTr="0000280F">
        <w:tc>
          <w:tcPr>
            <w:tcW w:w="28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both"/>
            </w:pPr>
            <w:r>
              <w:t>3</w:t>
            </w:r>
          </w:p>
        </w:tc>
        <w:tc>
          <w:tcPr>
            <w:tcW w:w="222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Standard"/>
              <w:autoSpaceDE w:val="0"/>
              <w:jc w:val="both"/>
            </w:pPr>
            <w:r>
              <w:rPr>
                <w:rFonts w:cs="Arial CYR"/>
                <w:lang w:val="ru-RU"/>
              </w:rPr>
              <w:t>Фактически понесенные расходы, связанные с потреблением энергии и водоснабжением</w:t>
            </w:r>
          </w:p>
        </w:tc>
        <w:tc>
          <w:tcPr>
            <w:tcW w:w="25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Default="00C11C8F" w:rsidP="00704353">
            <w:pPr>
              <w:pStyle w:val="TableContents"/>
              <w:jc w:val="both"/>
            </w:pPr>
            <w:r>
              <w:rPr>
                <w:lang w:val="ru-RU"/>
              </w:rPr>
              <w:t xml:space="preserve">Письмо УФНС России по г. Москве от 06 декабря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lang w:val="ru-RU"/>
                </w:rPr>
                <w:t>2007 г</w:t>
              </w:r>
            </w:smartTag>
            <w:r>
              <w:rPr>
                <w:lang w:val="ru-RU"/>
              </w:rPr>
              <w:t>. № 20-12/116503</w:t>
            </w:r>
          </w:p>
          <w:p w:rsidR="00C11C8F" w:rsidRDefault="00C11C8F" w:rsidP="00704353">
            <w:pPr>
              <w:pStyle w:val="TableContents"/>
              <w:jc w:val="both"/>
            </w:pPr>
            <w:r>
              <w:rPr>
                <w:lang w:val="ru-RU"/>
              </w:rPr>
              <w:t xml:space="preserve">Письмо министерства финансов России от 05 декабря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lang w:val="ru-RU"/>
                </w:rPr>
                <w:t>2008 г</w:t>
              </w:r>
            </w:smartTag>
            <w:r>
              <w:rPr>
                <w:lang w:val="ru-RU"/>
              </w:rPr>
              <w:t>. № 03-11-04/2/191.</w:t>
            </w:r>
          </w:p>
        </w:tc>
      </w:tr>
    </w:tbl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Следует отметить, что при определении состава материальных расходов организация должна учитывать норму </w:t>
      </w:r>
      <w:r w:rsidRPr="00D91058">
        <w:rPr>
          <w:rFonts w:cs="Arial CYR"/>
          <w:sz w:val="28"/>
          <w:szCs w:val="28"/>
          <w:lang w:val="ru-RU"/>
        </w:rPr>
        <w:t>п. 4 ст. 252</w:t>
      </w:r>
      <w:r>
        <w:rPr>
          <w:rFonts w:cs="Arial CYR"/>
          <w:sz w:val="28"/>
          <w:szCs w:val="28"/>
          <w:lang w:val="ru-RU"/>
        </w:rPr>
        <w:t xml:space="preserve"> НК РФ, в соответствии с которой она вправе учитывать в составе материальных расходов те расходы, которые с одинаковым основанием могут учитываться в составе иных расходов, учитываемых при налогообложении.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Например, из перечня материальных расходов, представленных в </w:t>
      </w:r>
      <w:r w:rsidRPr="00D91058">
        <w:rPr>
          <w:rFonts w:cs="Arial CYR"/>
          <w:sz w:val="28"/>
          <w:szCs w:val="28"/>
          <w:lang w:val="ru-RU"/>
        </w:rPr>
        <w:t>ст. 254</w:t>
      </w:r>
      <w:r>
        <w:rPr>
          <w:rFonts w:cs="Arial CYR"/>
          <w:sz w:val="28"/>
          <w:szCs w:val="28"/>
          <w:lang w:val="ru-RU"/>
        </w:rPr>
        <w:t xml:space="preserve"> НК РФ, следует, что в их числе организации вправе учитывать расходы на форменную одежду.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В то же время </w:t>
      </w:r>
      <w:r w:rsidRPr="00D91058">
        <w:rPr>
          <w:rFonts w:cs="Arial CYR"/>
          <w:sz w:val="28"/>
          <w:szCs w:val="28"/>
          <w:lang w:val="ru-RU"/>
        </w:rPr>
        <w:t>НК</w:t>
      </w:r>
      <w:r>
        <w:rPr>
          <w:rFonts w:cs="Arial CYR"/>
          <w:sz w:val="28"/>
          <w:szCs w:val="28"/>
          <w:lang w:val="ru-RU"/>
        </w:rPr>
        <w:t xml:space="preserve"> РФ позволяет при выполнении определенных условий учитывать такие расходы в составе расходов на оплату труда.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В связи с вышеизложенным и на основании </w:t>
      </w:r>
      <w:r w:rsidRPr="00D91058">
        <w:rPr>
          <w:rFonts w:cs="Arial CYR"/>
          <w:sz w:val="28"/>
          <w:szCs w:val="28"/>
          <w:lang w:val="ru-RU"/>
        </w:rPr>
        <w:t>п. 4 ст. 252</w:t>
      </w:r>
      <w:r>
        <w:rPr>
          <w:rFonts w:cs="Arial CYR"/>
          <w:sz w:val="28"/>
          <w:szCs w:val="28"/>
          <w:lang w:val="ru-RU"/>
        </w:rPr>
        <w:t xml:space="preserve"> НК РФ организация должна решить самостоятельно, в составе каких расходов она будет учитывать расходы на форменную одежду, и закрепить свое решение в приказе об учетной политике для целей налогообложения.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Проводя исследование состава материальных расходов, можно отметить, что большую их долю составляют материально-производственные запасы организации, которые используются налогоплательщиком в процессе производства и для хозяйственных нужд</w:t>
      </w:r>
      <w:r>
        <w:rPr>
          <w:rFonts w:cs="Arial CYR"/>
          <w:sz w:val="28"/>
          <w:szCs w:val="28"/>
          <w:lang w:val="en-US"/>
        </w:rPr>
        <w:t> </w:t>
      </w:r>
      <w:r w:rsidRPr="00D107C5">
        <w:rPr>
          <w:rFonts w:cs="Arial CYR"/>
          <w:sz w:val="28"/>
          <w:szCs w:val="28"/>
          <w:lang w:val="ru-RU"/>
        </w:rPr>
        <w:t>[1]</w:t>
      </w:r>
      <w:r>
        <w:rPr>
          <w:rFonts w:cs="Arial CYR"/>
          <w:sz w:val="28"/>
          <w:szCs w:val="28"/>
          <w:lang w:val="ru-RU"/>
        </w:rPr>
        <w:t>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Следовательно, важным аспектом приказа об учетной политике организации в части налогового учета материальных расходов - это порядок оценки материально-производственных запасов (далее - МПЗ)</w:t>
      </w:r>
      <w:r w:rsidRPr="00D107C5">
        <w:rPr>
          <w:rFonts w:cs="Arial CYR"/>
          <w:sz w:val="28"/>
          <w:szCs w:val="28"/>
          <w:lang w:val="ru-RU"/>
        </w:rPr>
        <w:t xml:space="preserve"> [2]</w:t>
      </w:r>
      <w:r>
        <w:rPr>
          <w:rFonts w:cs="Arial CYR"/>
          <w:sz w:val="28"/>
          <w:szCs w:val="28"/>
          <w:lang w:val="ru-RU"/>
        </w:rPr>
        <w:t>.</w:t>
      </w:r>
    </w:p>
    <w:p w:rsidR="00C11C8F" w:rsidRPr="001F107A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Общее правило налоговой оценки МПЗ, включаемых в материальные расходы, закреплено в </w:t>
      </w:r>
      <w:hyperlink r:id="rId9" w:history="1">
        <w:r w:rsidRPr="00C3305B">
          <w:rPr>
            <w:rFonts w:cs="Arial CYR"/>
            <w:sz w:val="28"/>
            <w:szCs w:val="28"/>
            <w:lang w:val="ru-RU"/>
          </w:rPr>
          <w:t>п. 2 ст. 254</w:t>
        </w:r>
      </w:hyperlink>
      <w:r>
        <w:rPr>
          <w:rFonts w:cs="Arial CYR"/>
          <w:sz w:val="28"/>
          <w:szCs w:val="28"/>
          <w:lang w:val="ru-RU"/>
        </w:rPr>
        <w:t xml:space="preserve"> НК РФ, в соответствии с которым их стоимость определяется исходя из цен их приобретения (без учета налога на добавленную стоимость и акцизов, за исключением случаев, предусмотренных НК РФ), включая комиссионные вознаграждения, уплачиваемые посредническим организациям, ввозные таможенные пошлины и сборы, расходы на транспортировку и иные затраты, связанные с приобретением материально-производственных запасов (таблица 2).</w:t>
      </w:r>
    </w:p>
    <w:p w:rsidR="00C11C8F" w:rsidRPr="001F107A" w:rsidRDefault="00C11C8F" w:rsidP="00173EBC">
      <w:pPr>
        <w:pStyle w:val="Standard"/>
        <w:autoSpaceDE w:val="0"/>
        <w:spacing w:line="360" w:lineRule="auto"/>
        <w:ind w:firstLine="709"/>
        <w:jc w:val="both"/>
        <w:rPr>
          <w:lang w:val="ru-RU"/>
        </w:rPr>
      </w:pPr>
    </w:p>
    <w:p w:rsidR="00C11C8F" w:rsidRPr="00531657" w:rsidRDefault="00C11C8F" w:rsidP="00531657">
      <w:pPr>
        <w:pStyle w:val="Standard"/>
        <w:autoSpaceDE w:val="0"/>
        <w:spacing w:line="360" w:lineRule="auto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Таблица 2 - Порядок включения в себестоимость стоимости МПЗ</w:t>
      </w:r>
    </w:p>
    <w:p w:rsidR="00C11C8F" w:rsidRDefault="00C11C8F" w:rsidP="00531657">
      <w:pPr>
        <w:pStyle w:val="Standard"/>
        <w:autoSpaceDE w:val="0"/>
        <w:spacing w:line="360" w:lineRule="auto"/>
        <w:jc w:val="both"/>
      </w:pPr>
      <w:r>
        <w:rPr>
          <w:rFonts w:cs="Arial CYR"/>
          <w:sz w:val="28"/>
          <w:szCs w:val="28"/>
          <w:lang w:val="ru-RU"/>
        </w:rPr>
        <w:t xml:space="preserve">                    в зависимости от источника поступления в организацию</w:t>
      </w:r>
    </w:p>
    <w:p w:rsidR="00C11C8F" w:rsidRDefault="00C11C8F">
      <w:pPr>
        <w:pStyle w:val="Standard"/>
        <w:autoSpaceDE w:val="0"/>
        <w:ind w:firstLine="709"/>
        <w:jc w:val="both"/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4630"/>
        <w:gridCol w:w="4549"/>
      </w:tblGrid>
      <w:tr w:rsidR="00C11C8F" w:rsidTr="00540475">
        <w:tc>
          <w:tcPr>
            <w:tcW w:w="25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Источник поступления МПЗ в организацию</w:t>
            </w:r>
          </w:p>
        </w:tc>
        <w:tc>
          <w:tcPr>
            <w:tcW w:w="24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Определение фактической себестоимости</w:t>
            </w:r>
          </w:p>
        </w:tc>
      </w:tr>
      <w:tr w:rsidR="00C11C8F" w:rsidTr="00540475">
        <w:tc>
          <w:tcPr>
            <w:tcW w:w="25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Приобретение за плату</w:t>
            </w:r>
          </w:p>
        </w:tc>
        <w:tc>
          <w:tcPr>
            <w:tcW w:w="24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Сумма фактических затрат на приобретение, кроме НДС и прочих возмещаемых налогов</w:t>
            </w:r>
          </w:p>
        </w:tc>
      </w:tr>
      <w:tr w:rsidR="00C11C8F" w:rsidTr="00540475">
        <w:tc>
          <w:tcPr>
            <w:tcW w:w="25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Изготовление самой организацией</w:t>
            </w:r>
          </w:p>
        </w:tc>
        <w:tc>
          <w:tcPr>
            <w:tcW w:w="24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Сумма фактических затрат, связанных с производством запасов</w:t>
            </w:r>
          </w:p>
        </w:tc>
      </w:tr>
      <w:tr w:rsidR="00C11C8F" w:rsidTr="00540475">
        <w:tc>
          <w:tcPr>
            <w:tcW w:w="25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Внесение в счет вклада в уставный капитал</w:t>
            </w:r>
          </w:p>
        </w:tc>
        <w:tc>
          <w:tcPr>
            <w:tcW w:w="24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Исходя из их денежной оценки, согласованной участниками организации</w:t>
            </w:r>
          </w:p>
        </w:tc>
      </w:tr>
      <w:tr w:rsidR="00C11C8F" w:rsidTr="00540475">
        <w:tc>
          <w:tcPr>
            <w:tcW w:w="25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Получение организацией по договору дарения или безвозмездно</w:t>
            </w:r>
          </w:p>
        </w:tc>
        <w:tc>
          <w:tcPr>
            <w:tcW w:w="24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Текущая рыночная стоимость на дату принятия к учету</w:t>
            </w:r>
          </w:p>
        </w:tc>
      </w:tr>
      <w:tr w:rsidR="00C11C8F" w:rsidTr="00540475">
        <w:tc>
          <w:tcPr>
            <w:tcW w:w="25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Получение в результате выбытия основных средств и прочего имущества</w:t>
            </w:r>
          </w:p>
        </w:tc>
        <w:tc>
          <w:tcPr>
            <w:tcW w:w="24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C3305B">
            <w:pPr>
              <w:pStyle w:val="Standard"/>
              <w:autoSpaceDE w:val="0"/>
              <w:jc w:val="both"/>
            </w:pPr>
            <w:r w:rsidRPr="00C3305B">
              <w:rPr>
                <w:rFonts w:cs="Arial CYR"/>
                <w:lang w:val="ru-RU"/>
              </w:rPr>
              <w:t>Текущая рыночная стоимость на дату принятия к учету</w:t>
            </w:r>
          </w:p>
        </w:tc>
      </w:tr>
      <w:tr w:rsidR="00C11C8F" w:rsidTr="00540475">
        <w:tc>
          <w:tcPr>
            <w:tcW w:w="25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540475">
            <w:pPr>
              <w:pStyle w:val="Standard"/>
              <w:autoSpaceDE w:val="0"/>
            </w:pPr>
            <w:r w:rsidRPr="00C3305B">
              <w:rPr>
                <w:rFonts w:cs="Arial CYR"/>
                <w:lang w:val="ru-RU"/>
              </w:rPr>
              <w:t>Получение по договорам, предусматривающим исполнение обязательств неденежными средствами (бартер)</w:t>
            </w:r>
          </w:p>
        </w:tc>
        <w:tc>
          <w:tcPr>
            <w:tcW w:w="24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1C8F" w:rsidRPr="00C3305B" w:rsidRDefault="00C11C8F" w:rsidP="00540475">
            <w:pPr>
              <w:pStyle w:val="Standard"/>
              <w:autoSpaceDE w:val="0"/>
            </w:pPr>
            <w:r w:rsidRPr="00C3305B">
              <w:rPr>
                <w:rFonts w:cs="Arial CYR"/>
                <w:lang w:val="ru-RU"/>
              </w:rPr>
              <w:t>Стоимость активов, переданных или подлежащих передаче организацией</w:t>
            </w:r>
          </w:p>
        </w:tc>
      </w:tr>
    </w:tbl>
    <w:p w:rsidR="00C11C8F" w:rsidRDefault="00C11C8F">
      <w:pPr>
        <w:pStyle w:val="Standard"/>
        <w:autoSpaceDE w:val="0"/>
        <w:ind w:firstLine="709"/>
        <w:jc w:val="both"/>
      </w:pP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Учитывая алгоритм формирования стоимости МПЗ, организации обычно включают в стоимость их приобретения: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суммы, уплачиваемые в соответствии с договором поставщику с учетом стоимости невозвратной тары и упаковки;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суммы, уплачиваемые за информационные и консультационные услуги, связанные с приобретением материально-производственных запасов;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таможенные пошлины и сборы;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невозмещаемые налоги, уплачиваемые в связи с приобретением материально-производственных запасов;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вознаграждения, уплачиваемые посредническим организациям, через которые приобретены материально-производственные запасы;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затраты по доставке материально-производственных запасов до места их использования;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затраты по доведению материально-производственных запасов до состояния, в котором они пригодны к использованию в запланированных целях. Данные затраты включают затраты по подработке, сортировке, фасовке и улучшению технических характеристик полученных запасов, не связанные с производством продукции, выполнением работ и оказанием услуг;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иные затраты, непосредственно связанные с приобретением материально-производственных запасов.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Иначе говоря, цена приобретения МПЗ включает в себя фактически все затраты на их покупку (без НДС и акцизов). Прочие затраты, связанные с приобретением материально-производственных запасов, включаются в их стоимость только в том случае, если </w:t>
      </w:r>
      <w:r w:rsidRPr="00EF799E">
        <w:rPr>
          <w:rFonts w:cs="Arial CYR"/>
          <w:sz w:val="28"/>
          <w:szCs w:val="28"/>
          <w:lang w:val="ru-RU"/>
        </w:rPr>
        <w:t>гл. 25</w:t>
      </w:r>
      <w:r>
        <w:rPr>
          <w:rFonts w:cs="Arial CYR"/>
          <w:sz w:val="28"/>
          <w:szCs w:val="28"/>
          <w:lang w:val="ru-RU"/>
        </w:rPr>
        <w:t xml:space="preserve"> НК РФ не предусматривает иной порядок их учета.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Так, например, проценты по заемным средствам, взятым на приобретение сырья или материалов, налогоплательщик обязан учесть в составе внереализационных расходов на основании </w:t>
      </w:r>
      <w:r w:rsidRPr="00EF799E">
        <w:rPr>
          <w:rFonts w:cs="Arial CYR"/>
          <w:sz w:val="28"/>
          <w:szCs w:val="28"/>
          <w:lang w:val="ru-RU"/>
        </w:rPr>
        <w:t>пп. 2 п. 1 ст. 265</w:t>
      </w:r>
      <w:r>
        <w:rPr>
          <w:rFonts w:cs="Arial CYR"/>
          <w:sz w:val="28"/>
          <w:szCs w:val="28"/>
          <w:lang w:val="ru-RU"/>
        </w:rPr>
        <w:t xml:space="preserve"> НК РФ. Аналогичная ситуация касается суммовых и курсовых разниц, с которыми налогоплательщик может столкнуться при приобретении материально-производственных запасов.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 w:rsidRPr="00EF799E">
        <w:rPr>
          <w:rFonts w:cs="Arial CYR"/>
          <w:sz w:val="28"/>
          <w:szCs w:val="28"/>
          <w:lang w:val="ru-RU"/>
        </w:rPr>
        <w:t>Пункт 2 ст. 254</w:t>
      </w:r>
      <w:r>
        <w:rPr>
          <w:rFonts w:cs="Arial CYR"/>
          <w:sz w:val="28"/>
          <w:szCs w:val="28"/>
          <w:lang w:val="ru-RU"/>
        </w:rPr>
        <w:t xml:space="preserve"> НК РФ предписывает включать ввозные таможенные пошлины и сборы в стоимость приобретения МПЗ, включаемых в материальные расходы налогоплательщика. В то же время </w:t>
      </w:r>
      <w:hyperlink r:id="rId10" w:history="1">
        <w:r w:rsidRPr="00EF799E">
          <w:rPr>
            <w:rFonts w:cs="Arial CYR"/>
            <w:sz w:val="28"/>
            <w:szCs w:val="28"/>
            <w:lang w:val="ru-RU"/>
          </w:rPr>
          <w:t>п. 1 ст. 264</w:t>
        </w:r>
      </w:hyperlink>
      <w:r>
        <w:rPr>
          <w:rFonts w:cs="Arial CYR"/>
          <w:sz w:val="28"/>
          <w:szCs w:val="28"/>
          <w:lang w:val="ru-RU"/>
        </w:rPr>
        <w:t xml:space="preserve"> НК РФ позволяет учитывать их в составе прочих расходов, связанных с производством и реализацией.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Следовательно, исходя из положений </w:t>
      </w:r>
      <w:r w:rsidRPr="00EF799E">
        <w:rPr>
          <w:rFonts w:cs="Arial CYR"/>
          <w:sz w:val="28"/>
          <w:szCs w:val="28"/>
          <w:lang w:val="ru-RU"/>
        </w:rPr>
        <w:t>п. 4 ст. 252</w:t>
      </w:r>
      <w:r>
        <w:rPr>
          <w:rFonts w:cs="Arial CYR"/>
          <w:sz w:val="28"/>
          <w:szCs w:val="28"/>
          <w:lang w:val="ru-RU"/>
        </w:rPr>
        <w:t xml:space="preserve"> НК РФ организации вправе самостоятельно решать, включать указанные расходы в стоимость приобретения МПЗ или нет, и закрепить такое решение в приказе об учетной политике для целей налогового учета.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Иначе производится оценка МПЗ, включаемых в материальные расходы экономического субъекта, выявленных в ходе инвентаризации, полученных при демонтаже или разборке выводимых из эксплуатации основных средств, а также при ремонте, модернизации, реконструкции, техническом перевооружении, частичной ликвидации последних.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В этом случае стоимость материально-производственных запасов определяется как сумма дохода, учтенного налогоплательщиком в порядке, предусмотренном </w:t>
      </w:r>
      <w:r w:rsidRPr="00B5551A">
        <w:rPr>
          <w:rFonts w:cs="Arial CYR"/>
          <w:sz w:val="28"/>
          <w:szCs w:val="28"/>
          <w:lang w:val="ru-RU"/>
        </w:rPr>
        <w:t>п. 13</w:t>
      </w:r>
      <w:r>
        <w:rPr>
          <w:rFonts w:cs="Arial CYR"/>
          <w:sz w:val="28"/>
          <w:szCs w:val="28"/>
          <w:lang w:val="ru-RU"/>
        </w:rPr>
        <w:t xml:space="preserve"> и п. </w:t>
      </w:r>
      <w:r w:rsidRPr="00B5551A">
        <w:rPr>
          <w:rFonts w:cs="Arial CYR"/>
          <w:sz w:val="28"/>
          <w:szCs w:val="28"/>
          <w:lang w:val="ru-RU"/>
        </w:rPr>
        <w:t>20 ст. 250</w:t>
      </w:r>
      <w:r>
        <w:rPr>
          <w:rFonts w:cs="Arial CYR"/>
          <w:sz w:val="28"/>
          <w:szCs w:val="28"/>
          <w:lang w:val="ru-RU"/>
        </w:rPr>
        <w:t xml:space="preserve"> Налогового кодекса РФ. Таким образом, стоимость указанных МПЗ для целей налогового учета будет равна их рыночной стоимости, учтенной в составе внереализационных доходов организации.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При передаче МПЗ, выявленных в ходе инвентаризации, полученных при демонтаже или разборке выводимых из эксплуатации основных средств, а также при ремонте, модернизации, реконструкции, техническом перевооружении, частичной ликвидации последних, в производство в составе материальных расходов организации учитывают их рыночную стоимость, ранее учтенную им в составе внереализационных доходов.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Если организация-плательщик налога на прибыль в производственной деятельности использует материально-производственные запасы собственного производства, то их оценка производится исходя из оценки готовой продукции в соответствии с положениями </w:t>
      </w:r>
      <w:r w:rsidRPr="00B5551A">
        <w:rPr>
          <w:rFonts w:cs="Arial CYR"/>
          <w:sz w:val="28"/>
          <w:szCs w:val="28"/>
          <w:lang w:val="ru-RU"/>
        </w:rPr>
        <w:t>ст. 319</w:t>
      </w:r>
      <w:r>
        <w:rPr>
          <w:rFonts w:cs="Arial CYR"/>
          <w:sz w:val="28"/>
          <w:szCs w:val="28"/>
          <w:lang w:val="ru-RU"/>
        </w:rPr>
        <w:t xml:space="preserve"> НК РФ.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В составе материальных расходов для целей исчисления налога на прибыль налоговое законодательство запрещает учитывать: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стоимость остатков материально-производственных запасов, переданных в производство, но не использованных в производстве на конец месяца;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стоимость возвратных отходов, под которыми понимаются остатки сырья (материалов), полуфабрикатов, теплоносителей и других видов материальных ресурсов, образовавшиеся в процессе производства продукции (выполнения работ, оказания услуг), частично утратившие потребительские качества исходных ресурсов (химические или физические свойства) и в силу этого используемые с повышенными расходами (пониженным выходом продукции) или не используемые по прямому назначению.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При этом не относятся к возвратным отходам остатки материально-производственных запасов, которые в соответствии с технологическим процессом передаются в другие подразделения в качестве полноценного сырья (материалов) для производства других видов товаров (работ, услуг), а также попутная (сопряженная) продукция, получаемая в результате осуществления технологического процесса.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Оценка возвратных отходов производится следующим образом. Если возвратные отходы реализуются на сторону, то они оцениваются по цене возможной реализации. На сегодняшний день порядок определения рыночных цен регламентируется </w:t>
      </w:r>
      <w:r w:rsidRPr="00B5551A">
        <w:rPr>
          <w:rFonts w:cs="Arial CYR"/>
          <w:sz w:val="28"/>
          <w:szCs w:val="28"/>
          <w:lang w:val="ru-RU"/>
        </w:rPr>
        <w:t>ст. 105.3</w:t>
      </w:r>
      <w:r>
        <w:rPr>
          <w:rFonts w:cs="Arial CYR"/>
          <w:sz w:val="28"/>
          <w:szCs w:val="28"/>
          <w:lang w:val="ru-RU"/>
        </w:rPr>
        <w:t xml:space="preserve"> НК РФ. Таким образом, сумма материальных расходов организации для целей исчисления налога на прибыль может быть уменьшена на сумму возвратных отходов, определенных по рыночной стоимости.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Если возвратные отходы могут использоваться экономическим субъектом в дальнейшем с пониженным выходом готовой продукции, то их оценка производится по пониженной цене исходного материального ресурса.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После определения поряка отнесения расходов к материальным, в учетной политике для целей налогового учета необходимо отразить метод оценки материальных расходв при списании в производство.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Положениями федерального закона от 20.04.2014г. № 81-ФЗ «О</w:t>
      </w:r>
      <w:r w:rsidRPr="00437F43">
        <w:rPr>
          <w:rFonts w:cs="Arial CYR"/>
          <w:sz w:val="28"/>
          <w:szCs w:val="28"/>
          <w:lang w:val="ru-RU"/>
        </w:rPr>
        <w:t xml:space="preserve"> внесении изменений в часть вторую налогового кодекса </w:t>
      </w:r>
      <w:r>
        <w:rPr>
          <w:rFonts w:cs="Arial CYR"/>
          <w:sz w:val="28"/>
          <w:szCs w:val="28"/>
          <w:lang w:val="ru-RU"/>
        </w:rPr>
        <w:t>Российской Ф</w:t>
      </w:r>
      <w:r w:rsidRPr="00437F43">
        <w:rPr>
          <w:rFonts w:cs="Arial CYR"/>
          <w:sz w:val="28"/>
          <w:szCs w:val="28"/>
          <w:lang w:val="ru-RU"/>
        </w:rPr>
        <w:t>едерации</w:t>
      </w:r>
      <w:r>
        <w:rPr>
          <w:rFonts w:cs="Arial CYR"/>
          <w:sz w:val="28"/>
          <w:szCs w:val="28"/>
          <w:lang w:val="ru-RU"/>
        </w:rPr>
        <w:t>»</w:t>
      </w:r>
      <w:r w:rsidRPr="00437F43">
        <w:rPr>
          <w:rFonts w:cs="Arial CYR"/>
          <w:sz w:val="28"/>
          <w:szCs w:val="28"/>
          <w:lang w:val="ru-RU"/>
        </w:rPr>
        <w:t xml:space="preserve"> </w:t>
      </w:r>
      <w:r>
        <w:rPr>
          <w:rFonts w:cs="Arial CYR"/>
          <w:sz w:val="28"/>
          <w:szCs w:val="28"/>
          <w:lang w:val="ru-RU"/>
        </w:rPr>
        <w:t>признан утратившим силу абз. 5 п. 8 НК РФ, в котором предусмотрен ЛИФО как метод оценки материально-производственных запасов. Этот метод позволяет оценивать сырье, материалы и покупные товары по ценам последних закупок - в расходах сначала учитывается стоимость материальных ценностей, которые приобретены позже остальных, а только потом - стоимость ранее приобретенных. Его выгодно применять, когда цены на товары и доходы растут, а организация планирует снизить свою налоговую нагрузку.</w:t>
      </w:r>
    </w:p>
    <w:p w:rsidR="00C11C8F" w:rsidRPr="00437F43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В бухгалтерском учете данный метод не используется уже несколько лет - с 1 января 2008 г. (</w:t>
      </w:r>
      <w:r w:rsidRPr="00437F43">
        <w:rPr>
          <w:rFonts w:cs="Arial CYR"/>
          <w:sz w:val="28"/>
          <w:szCs w:val="28"/>
          <w:lang w:val="ru-RU"/>
        </w:rPr>
        <w:t>Приказ</w:t>
      </w:r>
      <w:r>
        <w:rPr>
          <w:rFonts w:cs="Arial CYR"/>
          <w:sz w:val="28"/>
          <w:szCs w:val="28"/>
          <w:lang w:val="ru-RU"/>
        </w:rPr>
        <w:t xml:space="preserve"> министерства финансов России от 26.03.2007 г. № 26н «</w:t>
      </w:r>
      <w:r w:rsidRPr="00437F43">
        <w:rPr>
          <w:rFonts w:cs="Arial CYR"/>
          <w:sz w:val="28"/>
          <w:szCs w:val="28"/>
          <w:lang w:val="ru-RU"/>
        </w:rPr>
        <w:t>О внесении изменений в нормативные правовые акты по бухгалтерскому учету</w:t>
      </w:r>
      <w:r>
        <w:rPr>
          <w:rFonts w:cs="Arial CYR"/>
          <w:sz w:val="28"/>
          <w:szCs w:val="28"/>
          <w:lang w:val="ru-RU"/>
        </w:rPr>
        <w:t>»).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На практике в организациях применяют одинаковые методы оценки материально-производственных запасов для целей бухгалтерского и налогового учета для снижения трудозатрат и объема бухгалтерской документации, поэтому исключение метода ЛИФО носит скорее технический характер.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Таким образом, начиная с 01.01.2015 г. налоговое законодательство позволяет организациям использовать следующие методы оценки материальных расходов: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- метод оценки по стоимости единицы запасов;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>- метод оценки</w:t>
      </w:r>
      <w:r>
        <w:t xml:space="preserve"> </w:t>
      </w:r>
      <w:r w:rsidRPr="00437F43">
        <w:rPr>
          <w:rFonts w:cs="Arial CYR"/>
          <w:sz w:val="28"/>
          <w:szCs w:val="28"/>
          <w:lang w:val="ru-RU"/>
        </w:rPr>
        <w:t>по средней стоимости.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>Экономический субъект вправе выбрать любой из указанных методов и закрепить его использование в своем приказе об учетной политике для целей налогового учета.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Организации имеют возможность установить разные методы оценки списания для отдельных групп материально-производственных запасов.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Вопрос о применении в налоговом учете методов оценки МПЗ был рассмотрен в </w:t>
      </w:r>
      <w:r w:rsidRPr="00437F43">
        <w:rPr>
          <w:rFonts w:cs="Arial CYR"/>
          <w:sz w:val="28"/>
          <w:szCs w:val="28"/>
          <w:lang w:val="ru-RU"/>
        </w:rPr>
        <w:t>Письме</w:t>
      </w:r>
      <w:r>
        <w:rPr>
          <w:rFonts w:cs="Arial CYR"/>
          <w:sz w:val="28"/>
          <w:szCs w:val="28"/>
          <w:lang w:val="ru-RU"/>
        </w:rPr>
        <w:t xml:space="preserve"> Министерства финансов России от 29 ноября 2013 г. № 03-03-06/1/51819. В документе сказано, что </w:t>
      </w:r>
      <w:r w:rsidRPr="00437F43">
        <w:rPr>
          <w:rFonts w:cs="Arial CYR"/>
          <w:sz w:val="28"/>
          <w:szCs w:val="28"/>
          <w:lang w:val="ru-RU"/>
        </w:rPr>
        <w:t>ст. 313</w:t>
      </w:r>
      <w:r>
        <w:rPr>
          <w:rFonts w:cs="Arial CYR"/>
          <w:sz w:val="28"/>
          <w:szCs w:val="28"/>
          <w:lang w:val="ru-RU"/>
        </w:rPr>
        <w:t xml:space="preserve"> НК РФ установлено, что система налогового учета организуется налогоплательщиком самостоятельно, исходя из принципа последовательности применения норм и правил налогового учета, то есть применяется последовательно от одного налогового периода к другому. Порядок ведения налогового учета устанавливается налогоплательщиком в учетной политике для целей налогообложения, утверждаемой соответствующим приказом (распоряжением) руководителя.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</w:pPr>
      <w:r>
        <w:rPr>
          <w:rFonts w:cs="Arial CYR"/>
          <w:sz w:val="28"/>
          <w:szCs w:val="28"/>
          <w:lang w:val="ru-RU"/>
        </w:rPr>
        <w:t xml:space="preserve">По мнению финансового ведомста, применение для целей налогового учета в отношении различных групп товаров в зависимости от их характеристик различных методов списания стоимости материально-производственных запасов, предусмотренных вышеуказанным </w:t>
      </w:r>
      <w:r w:rsidRPr="00437F43">
        <w:rPr>
          <w:rFonts w:cs="Arial CYR"/>
          <w:sz w:val="28"/>
          <w:szCs w:val="28"/>
          <w:lang w:val="ru-RU"/>
        </w:rPr>
        <w:t>п. 8 ст. 254</w:t>
      </w:r>
      <w:r>
        <w:rPr>
          <w:rFonts w:cs="Arial CYR"/>
          <w:sz w:val="28"/>
          <w:szCs w:val="28"/>
          <w:lang w:val="ru-RU"/>
        </w:rPr>
        <w:t xml:space="preserve"> НК РФ, не противоречит положениям </w:t>
      </w:r>
      <w:r w:rsidRPr="00437F43">
        <w:rPr>
          <w:rFonts w:cs="Arial CYR"/>
          <w:sz w:val="28"/>
          <w:szCs w:val="28"/>
          <w:lang w:val="ru-RU"/>
        </w:rPr>
        <w:t>гл. 25</w:t>
      </w:r>
      <w:r>
        <w:rPr>
          <w:rFonts w:cs="Arial CYR"/>
          <w:sz w:val="28"/>
          <w:szCs w:val="28"/>
          <w:lang w:val="ru-RU"/>
        </w:rPr>
        <w:t xml:space="preserve"> НК РФ.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Подводя итоги вышеизложенному, стоит отметить, что рассмотренные в статье вопросы учета материальных расходов с учетом изменений налогового законодательства в 2015 г. остаются открытыми. </w:t>
      </w:r>
    </w:p>
    <w:p w:rsidR="00C11C8F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ru-RU"/>
        </w:rPr>
      </w:pPr>
      <w:r>
        <w:rPr>
          <w:rFonts w:cs="Arial CYR"/>
          <w:sz w:val="28"/>
          <w:szCs w:val="28"/>
          <w:lang w:val="ru-RU"/>
        </w:rPr>
        <w:t xml:space="preserve">При этом в России наметилась тенденция на сближение бухгалтерского и налогового учета расходов, например в части оценки материально-производственных запасов, что позволит организациям значительно снизить объем документации, а также трудозатраты на параллельное ведение бухгалтерского и налогового учета. </w:t>
      </w:r>
    </w:p>
    <w:p w:rsidR="00C11C8F" w:rsidRDefault="00C11C8F" w:rsidP="00173EBC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Библиографический список</w:t>
      </w:r>
    </w:p>
    <w:p w:rsidR="00C11C8F" w:rsidRPr="00FC0115" w:rsidRDefault="00C11C8F" w:rsidP="00173EBC">
      <w:pPr>
        <w:jc w:val="center"/>
        <w:rPr>
          <w:rFonts w:cs="Times New Roman"/>
          <w:b/>
        </w:rPr>
      </w:pPr>
    </w:p>
    <w:p w:rsidR="00C11C8F" w:rsidRPr="00D107C5" w:rsidRDefault="00C11C8F" w:rsidP="00D107C5">
      <w:pPr>
        <w:pStyle w:val="ConsPlusNormal"/>
        <w:numPr>
          <w:ilvl w:val="0"/>
          <w:numId w:val="3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107C5">
        <w:rPr>
          <w:rFonts w:ascii="Times New Roman" w:hAnsi="Times New Roman"/>
          <w:sz w:val="24"/>
          <w:szCs w:val="24"/>
        </w:rPr>
        <w:t>Дегальцева</w:t>
      </w:r>
      <w:r>
        <w:rPr>
          <w:rFonts w:ascii="Times New Roman" w:hAnsi="Times New Roman"/>
          <w:sz w:val="24"/>
          <w:szCs w:val="24"/>
        </w:rPr>
        <w:t>,</w:t>
      </w:r>
      <w:r w:rsidRPr="00D107C5">
        <w:rPr>
          <w:rFonts w:ascii="Times New Roman" w:hAnsi="Times New Roman"/>
          <w:sz w:val="24"/>
          <w:szCs w:val="24"/>
        </w:rPr>
        <w:t xml:space="preserve"> Ж.В. Моделирование системы налогового учета в управляющих организациях жилищно-коммунального хозяйства: монография / Ж. В. Дегальцева, С. А. Шулепина. – КубГАУ. - Краснодар, 2013. - 113 с.</w:t>
      </w:r>
    </w:p>
    <w:p w:rsidR="00C11C8F" w:rsidRPr="00D107C5" w:rsidRDefault="00C11C8F" w:rsidP="00D107C5">
      <w:pPr>
        <w:pStyle w:val="ConsPlusNormal"/>
        <w:numPr>
          <w:ilvl w:val="0"/>
          <w:numId w:val="3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107C5">
        <w:rPr>
          <w:rFonts w:ascii="Times New Roman" w:hAnsi="Times New Roman"/>
          <w:sz w:val="24"/>
          <w:szCs w:val="24"/>
        </w:rPr>
        <w:t>Кругляк З.И. Особенности налогового учета материальных расходов (на примере организаций по переработке молока) /  З.И. Кругляк, М.В. Калинская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№05(099). С. 566 – 584. – IDA [article ID]: 0991405037. – Режим доступа: http://ej.</w:t>
      </w:r>
      <w:r>
        <w:rPr>
          <w:rFonts w:ascii="Times New Roman" w:hAnsi="Times New Roman"/>
          <w:sz w:val="24"/>
          <w:szCs w:val="24"/>
        </w:rPr>
        <w:t>kubagro.ru/2014/05/pdf/37.pdf</w:t>
      </w:r>
    </w:p>
    <w:p w:rsidR="00C11C8F" w:rsidRPr="00D107C5" w:rsidRDefault="00C11C8F" w:rsidP="00D107C5">
      <w:pPr>
        <w:pStyle w:val="ConsPlusNormal"/>
        <w:numPr>
          <w:ilvl w:val="0"/>
          <w:numId w:val="3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107C5">
        <w:rPr>
          <w:rFonts w:ascii="Times New Roman" w:hAnsi="Times New Roman"/>
          <w:sz w:val="24"/>
          <w:szCs w:val="24"/>
        </w:rPr>
        <w:t>Налоговый кодекс РФ. В 2 ч. Ч. 2. Утв. Федеральным законом от 05.08.2000 г. №117-ФЗ [Электронный ресурс] // Справочно-правовая система «Консультант плюс».</w:t>
      </w:r>
    </w:p>
    <w:p w:rsidR="00C11C8F" w:rsidRDefault="00C11C8F" w:rsidP="00FE771C">
      <w:pPr>
        <w:jc w:val="center"/>
        <w:rPr>
          <w:rFonts w:cs="Times New Roman"/>
          <w:b/>
          <w:sz w:val="28"/>
          <w:szCs w:val="28"/>
        </w:rPr>
      </w:pPr>
      <w:r w:rsidRPr="001754F1">
        <w:rPr>
          <w:rFonts w:cs="Times New Roman"/>
          <w:b/>
          <w:sz w:val="28"/>
          <w:szCs w:val="28"/>
        </w:rPr>
        <w:t>References</w:t>
      </w:r>
    </w:p>
    <w:p w:rsidR="00C11C8F" w:rsidRPr="00C928E9" w:rsidRDefault="00C11C8F" w:rsidP="00704353">
      <w:pPr>
        <w:pStyle w:val="ConsPlusNormal"/>
        <w:numPr>
          <w:ilvl w:val="0"/>
          <w:numId w:val="6"/>
        </w:numPr>
        <w:tabs>
          <w:tab w:val="left" w:pos="709"/>
        </w:tabs>
        <w:ind w:hanging="720"/>
        <w:jc w:val="both"/>
        <w:rPr>
          <w:rFonts w:ascii="Times New Roman" w:hAnsi="Times New Roman"/>
          <w:sz w:val="24"/>
          <w:szCs w:val="24"/>
          <w:lang w:val="de-DE"/>
        </w:rPr>
      </w:pPr>
      <w:r w:rsidRPr="00C928E9">
        <w:rPr>
          <w:rFonts w:ascii="Times New Roman" w:hAnsi="Times New Roman"/>
          <w:sz w:val="24"/>
          <w:szCs w:val="24"/>
          <w:lang w:val="de-DE"/>
        </w:rPr>
        <w:t>Degalceva G. V. Modelirovanie sistemi nalogovogo ucheta v upravl</w:t>
      </w:r>
      <w:r>
        <w:rPr>
          <w:rFonts w:ascii="Times New Roman" w:hAnsi="Times New Roman"/>
          <w:sz w:val="24"/>
          <w:szCs w:val="24"/>
          <w:lang w:val="de-DE"/>
        </w:rPr>
        <w:t>yaushih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organizaciyah gilishno-kommunalnogo hozjaystva: monografia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 / </w:t>
      </w:r>
      <w:r>
        <w:rPr>
          <w:rFonts w:ascii="Times New Roman" w:hAnsi="Times New Roman"/>
          <w:sz w:val="24"/>
          <w:szCs w:val="24"/>
          <w:lang w:val="de-DE"/>
        </w:rPr>
        <w:t>G</w:t>
      </w:r>
      <w:r w:rsidRPr="00C928E9">
        <w:rPr>
          <w:rFonts w:ascii="Times New Roman" w:hAnsi="Times New Roman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 xml:space="preserve"> V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. </w:t>
      </w:r>
      <w:r>
        <w:rPr>
          <w:rFonts w:ascii="Times New Roman" w:hAnsi="Times New Roman"/>
          <w:sz w:val="24"/>
          <w:szCs w:val="24"/>
          <w:lang w:val="de-DE"/>
        </w:rPr>
        <w:t>Degalceva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S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. </w:t>
      </w:r>
      <w:r w:rsidRPr="00D107C5">
        <w:rPr>
          <w:rFonts w:ascii="Times New Roman" w:hAnsi="Times New Roman"/>
          <w:sz w:val="24"/>
          <w:szCs w:val="24"/>
        </w:rPr>
        <w:t>А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. </w:t>
      </w:r>
      <w:r>
        <w:rPr>
          <w:rFonts w:ascii="Times New Roman" w:hAnsi="Times New Roman"/>
          <w:sz w:val="24"/>
          <w:szCs w:val="24"/>
          <w:lang w:val="de-DE"/>
        </w:rPr>
        <w:t>Shulepina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. – </w:t>
      </w:r>
      <w:r w:rsidRPr="00D107C5">
        <w:rPr>
          <w:rFonts w:ascii="Times New Roman" w:hAnsi="Times New Roman"/>
          <w:sz w:val="24"/>
          <w:szCs w:val="24"/>
        </w:rPr>
        <w:t>К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ubGAU. - </w:t>
      </w:r>
      <w:r w:rsidRPr="00D107C5">
        <w:rPr>
          <w:rFonts w:ascii="Times New Roman" w:hAnsi="Times New Roman"/>
          <w:sz w:val="24"/>
          <w:szCs w:val="24"/>
        </w:rPr>
        <w:t>К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rasnodar, 2013. - 113 </w:t>
      </w:r>
      <w:r>
        <w:rPr>
          <w:rFonts w:ascii="Times New Roman" w:hAnsi="Times New Roman"/>
          <w:sz w:val="24"/>
          <w:szCs w:val="24"/>
          <w:lang w:val="de-DE"/>
        </w:rPr>
        <w:t>s</w:t>
      </w:r>
      <w:r w:rsidRPr="00C928E9">
        <w:rPr>
          <w:rFonts w:ascii="Times New Roman" w:hAnsi="Times New Roman"/>
          <w:sz w:val="24"/>
          <w:szCs w:val="24"/>
          <w:lang w:val="de-DE"/>
        </w:rPr>
        <w:t>.</w:t>
      </w:r>
    </w:p>
    <w:p w:rsidR="00C11C8F" w:rsidRPr="00704353" w:rsidRDefault="00C11C8F" w:rsidP="00704353">
      <w:pPr>
        <w:pStyle w:val="ConsPlusNormal"/>
        <w:numPr>
          <w:ilvl w:val="0"/>
          <w:numId w:val="6"/>
        </w:numPr>
        <w:tabs>
          <w:tab w:val="left" w:pos="709"/>
        </w:tabs>
        <w:ind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de-DE"/>
        </w:rPr>
        <w:t>Kruglyak</w:t>
      </w:r>
      <w:r w:rsidRPr="00C928E9">
        <w:rPr>
          <w:rFonts w:ascii="Times New Roman" w:hAnsi="Times New Roman"/>
          <w:sz w:val="24"/>
          <w:szCs w:val="24"/>
          <w:lang w:val="de-DE"/>
        </w:rPr>
        <w:t> Z.I. </w:t>
      </w:r>
      <w:r w:rsidRPr="00D107C5">
        <w:rPr>
          <w:rFonts w:ascii="Times New Roman" w:hAnsi="Times New Roman"/>
          <w:sz w:val="24"/>
          <w:szCs w:val="24"/>
        </w:rPr>
        <w:t>О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sobennosti nalogovogo ucheta materialnih rashodov (na primere  </w:t>
      </w:r>
      <w:r>
        <w:rPr>
          <w:rFonts w:ascii="Times New Roman" w:hAnsi="Times New Roman"/>
          <w:sz w:val="24"/>
          <w:szCs w:val="24"/>
          <w:lang w:val="de-DE"/>
        </w:rPr>
        <w:t>organizaciy po pererabotke moloka</w:t>
      </w:r>
      <w:r w:rsidRPr="00C928E9">
        <w:rPr>
          <w:rFonts w:ascii="Times New Roman" w:hAnsi="Times New Roman"/>
          <w:sz w:val="24"/>
          <w:szCs w:val="24"/>
          <w:lang w:val="de-DE"/>
        </w:rPr>
        <w:t>) /  Z.</w:t>
      </w:r>
      <w:r>
        <w:rPr>
          <w:rFonts w:ascii="Times New Roman" w:hAnsi="Times New Roman"/>
          <w:sz w:val="24"/>
          <w:szCs w:val="24"/>
          <w:lang w:val="de-DE"/>
        </w:rPr>
        <w:t>I</w:t>
      </w:r>
      <w:r w:rsidRPr="00C928E9">
        <w:rPr>
          <w:rFonts w:ascii="Times New Roman" w:hAnsi="Times New Roman"/>
          <w:sz w:val="24"/>
          <w:szCs w:val="24"/>
          <w:lang w:val="de-DE"/>
        </w:rPr>
        <w:t>. </w:t>
      </w:r>
      <w:r>
        <w:rPr>
          <w:rFonts w:ascii="Times New Roman" w:hAnsi="Times New Roman"/>
          <w:sz w:val="24"/>
          <w:szCs w:val="24"/>
          <w:lang w:val="de-DE"/>
        </w:rPr>
        <w:t>Kruglyak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, </w:t>
      </w:r>
      <w:r w:rsidRPr="00D107C5">
        <w:rPr>
          <w:rFonts w:ascii="Times New Roman" w:hAnsi="Times New Roman"/>
          <w:sz w:val="24"/>
          <w:szCs w:val="24"/>
        </w:rPr>
        <w:t>М</w:t>
      </w:r>
      <w:r w:rsidRPr="00C928E9">
        <w:rPr>
          <w:rFonts w:ascii="Times New Roman" w:hAnsi="Times New Roman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>V</w:t>
      </w:r>
      <w:r w:rsidRPr="00C928E9">
        <w:rPr>
          <w:rFonts w:ascii="Times New Roman" w:hAnsi="Times New Roman"/>
          <w:sz w:val="24"/>
          <w:szCs w:val="24"/>
          <w:lang w:val="de-DE"/>
        </w:rPr>
        <w:t>. </w:t>
      </w:r>
      <w:r w:rsidRPr="00D107C5">
        <w:rPr>
          <w:rFonts w:ascii="Times New Roman" w:hAnsi="Times New Roman"/>
          <w:sz w:val="24"/>
          <w:szCs w:val="24"/>
        </w:rPr>
        <w:t>Ка</w:t>
      </w:r>
      <w:r w:rsidRPr="00C928E9">
        <w:rPr>
          <w:rFonts w:ascii="Times New Roman" w:hAnsi="Times New Roman"/>
          <w:sz w:val="24"/>
          <w:szCs w:val="24"/>
          <w:lang w:val="de-DE"/>
        </w:rPr>
        <w:t>li</w:t>
      </w:r>
      <w:r>
        <w:rPr>
          <w:rFonts w:ascii="Times New Roman" w:hAnsi="Times New Roman"/>
          <w:sz w:val="24"/>
          <w:szCs w:val="24"/>
          <w:lang w:val="de-DE"/>
        </w:rPr>
        <w:t>nskaya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 // </w:t>
      </w:r>
      <w:r>
        <w:rPr>
          <w:rFonts w:ascii="Times New Roman" w:hAnsi="Times New Roman"/>
          <w:sz w:val="24"/>
          <w:szCs w:val="24"/>
          <w:lang w:val="de-DE"/>
        </w:rPr>
        <w:t>Politematicheskiy setevoy elektronniy nauchniy jurnal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D107C5">
        <w:rPr>
          <w:rFonts w:ascii="Times New Roman" w:hAnsi="Times New Roman"/>
          <w:sz w:val="24"/>
          <w:szCs w:val="24"/>
        </w:rPr>
        <w:t>К</w:t>
      </w:r>
      <w:r w:rsidRPr="00C928E9">
        <w:rPr>
          <w:rFonts w:ascii="Times New Roman" w:hAnsi="Times New Roman"/>
          <w:sz w:val="24"/>
          <w:szCs w:val="24"/>
          <w:lang w:val="de-DE"/>
        </w:rPr>
        <w:t>u</w:t>
      </w:r>
      <w:r>
        <w:rPr>
          <w:rFonts w:ascii="Times New Roman" w:hAnsi="Times New Roman"/>
          <w:sz w:val="24"/>
          <w:szCs w:val="24"/>
          <w:lang w:val="de-DE"/>
        </w:rPr>
        <w:t>banskogo gosudarstvennogo agrarnogo universiteta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sz w:val="24"/>
          <w:szCs w:val="24"/>
          <w:lang w:val="de-DE"/>
        </w:rPr>
        <w:t>Nauchniy jurnal KubGAU</w:t>
      </w:r>
      <w:r w:rsidRPr="00C928E9">
        <w:rPr>
          <w:rFonts w:ascii="Times New Roman" w:hAnsi="Times New Roman"/>
          <w:sz w:val="24"/>
          <w:szCs w:val="24"/>
          <w:lang w:val="de-DE"/>
        </w:rPr>
        <w:t>) [</w:t>
      </w:r>
      <w:r>
        <w:rPr>
          <w:rFonts w:ascii="Times New Roman" w:hAnsi="Times New Roman"/>
          <w:sz w:val="24"/>
          <w:szCs w:val="24"/>
          <w:lang w:val="de-DE"/>
        </w:rPr>
        <w:t>Electronniy resurs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]. – </w:t>
      </w:r>
      <w:r w:rsidRPr="00D107C5">
        <w:rPr>
          <w:rFonts w:ascii="Times New Roman" w:hAnsi="Times New Roman"/>
          <w:sz w:val="24"/>
          <w:szCs w:val="24"/>
        </w:rPr>
        <w:t>К</w:t>
      </w:r>
      <w:r w:rsidRPr="00704353">
        <w:rPr>
          <w:rFonts w:ascii="Times New Roman" w:hAnsi="Times New Roman"/>
          <w:sz w:val="24"/>
          <w:szCs w:val="24"/>
          <w:lang w:val="de-DE"/>
        </w:rPr>
        <w:t>rasnodar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: </w:t>
      </w:r>
      <w:r w:rsidRPr="00D107C5">
        <w:rPr>
          <w:rFonts w:ascii="Times New Roman" w:hAnsi="Times New Roman"/>
          <w:sz w:val="24"/>
          <w:szCs w:val="24"/>
        </w:rPr>
        <w:t>К</w:t>
      </w:r>
      <w:r w:rsidRPr="00704353">
        <w:rPr>
          <w:rFonts w:ascii="Times New Roman" w:hAnsi="Times New Roman"/>
          <w:sz w:val="24"/>
          <w:szCs w:val="24"/>
          <w:lang w:val="de-DE"/>
        </w:rPr>
        <w:t>ubGAU</w:t>
      </w:r>
      <w:r w:rsidRPr="00C928E9">
        <w:rPr>
          <w:rFonts w:ascii="Times New Roman" w:hAnsi="Times New Roman"/>
          <w:sz w:val="24"/>
          <w:szCs w:val="24"/>
          <w:lang w:val="de-DE"/>
        </w:rPr>
        <w:t xml:space="preserve">, 2014. – №05(099). </w:t>
      </w:r>
      <w:r>
        <w:rPr>
          <w:rFonts w:ascii="Times New Roman" w:hAnsi="Times New Roman"/>
          <w:sz w:val="24"/>
          <w:szCs w:val="24"/>
          <w:lang w:val="de-DE"/>
        </w:rPr>
        <w:t>S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. 566 – 584. – IDA [article ID]: 0991405037. – </w:t>
      </w:r>
      <w:r>
        <w:rPr>
          <w:rFonts w:ascii="Times New Roman" w:hAnsi="Times New Roman"/>
          <w:sz w:val="24"/>
          <w:szCs w:val="24"/>
          <w:lang w:val="en-US"/>
        </w:rPr>
        <w:t>Rejim dostupa</w:t>
      </w:r>
      <w:r w:rsidRPr="00704353">
        <w:rPr>
          <w:rFonts w:ascii="Times New Roman" w:hAnsi="Times New Roman"/>
          <w:sz w:val="24"/>
          <w:szCs w:val="24"/>
          <w:lang w:val="en-US"/>
        </w:rPr>
        <w:t>: http://ej.kubagro.ru/2014/05/pdf/37.pdf</w:t>
      </w:r>
    </w:p>
    <w:p w:rsidR="00C11C8F" w:rsidRPr="00704353" w:rsidRDefault="00C11C8F" w:rsidP="00704353">
      <w:pPr>
        <w:pStyle w:val="ConsPlusNormal"/>
        <w:numPr>
          <w:ilvl w:val="0"/>
          <w:numId w:val="6"/>
        </w:numPr>
        <w:tabs>
          <w:tab w:val="left" w:pos="709"/>
        </w:tabs>
        <w:ind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Nalogoviy kodeks RF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 2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. 2. Utv. </w:t>
      </w:r>
      <w:r>
        <w:rPr>
          <w:rFonts w:ascii="Times New Roman" w:hAnsi="Times New Roman"/>
          <w:sz w:val="24"/>
          <w:szCs w:val="24"/>
          <w:lang w:val="en-US"/>
        </w:rPr>
        <w:t>Federalnim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zakonom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ot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 05.08.2000 </w:t>
      </w:r>
      <w:r>
        <w:rPr>
          <w:rFonts w:ascii="Times New Roman" w:hAnsi="Times New Roman"/>
          <w:sz w:val="24"/>
          <w:szCs w:val="24"/>
          <w:lang w:val="en-US"/>
        </w:rPr>
        <w:t>g</w:t>
      </w:r>
      <w:r w:rsidRPr="00704353">
        <w:rPr>
          <w:rFonts w:ascii="Times New Roman" w:hAnsi="Times New Roman"/>
          <w:sz w:val="24"/>
          <w:szCs w:val="24"/>
          <w:lang w:val="en-US"/>
        </w:rPr>
        <w:t>. №117-</w:t>
      </w:r>
      <w:r>
        <w:rPr>
          <w:rFonts w:ascii="Times New Roman" w:hAnsi="Times New Roman"/>
          <w:sz w:val="24"/>
          <w:szCs w:val="24"/>
          <w:lang w:val="en-US"/>
        </w:rPr>
        <w:t>FZ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/>
          <w:sz w:val="24"/>
          <w:szCs w:val="24"/>
          <w:lang w:val="de-DE"/>
        </w:rPr>
        <w:t>Electronniy resurs</w:t>
      </w:r>
      <w:r w:rsidRPr="00704353">
        <w:rPr>
          <w:rFonts w:ascii="Times New Roman" w:hAnsi="Times New Roman"/>
          <w:sz w:val="24"/>
          <w:szCs w:val="24"/>
          <w:lang w:val="en-US"/>
        </w:rPr>
        <w:t xml:space="preserve">] // </w:t>
      </w:r>
      <w:r>
        <w:rPr>
          <w:rFonts w:ascii="Times New Roman" w:hAnsi="Times New Roman"/>
          <w:sz w:val="24"/>
          <w:szCs w:val="24"/>
          <w:lang w:val="en-US"/>
        </w:rPr>
        <w:t xml:space="preserve">Spravochno-pravovaja sistema </w:t>
      </w:r>
      <w:r w:rsidRPr="00704353">
        <w:rPr>
          <w:rFonts w:ascii="Times New Roman" w:hAnsi="Times New Roman"/>
          <w:sz w:val="24"/>
          <w:szCs w:val="24"/>
          <w:lang w:val="en-US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Konsultant plus</w:t>
      </w:r>
      <w:r w:rsidRPr="00704353">
        <w:rPr>
          <w:rFonts w:ascii="Times New Roman" w:hAnsi="Times New Roman"/>
          <w:sz w:val="24"/>
          <w:szCs w:val="24"/>
          <w:lang w:val="en-US"/>
        </w:rPr>
        <w:t>».</w:t>
      </w:r>
    </w:p>
    <w:p w:rsidR="00C11C8F" w:rsidRPr="00704353" w:rsidRDefault="00C11C8F" w:rsidP="00173EBC">
      <w:pPr>
        <w:pStyle w:val="Standard"/>
        <w:autoSpaceDE w:val="0"/>
        <w:spacing w:line="360" w:lineRule="auto"/>
        <w:ind w:firstLine="709"/>
        <w:jc w:val="both"/>
        <w:rPr>
          <w:rFonts w:cs="Arial CYR"/>
          <w:sz w:val="28"/>
          <w:szCs w:val="28"/>
          <w:lang w:val="en-US"/>
        </w:rPr>
      </w:pPr>
    </w:p>
    <w:sectPr w:rsidR="00C11C8F" w:rsidRPr="00704353" w:rsidSect="00173EBC">
      <w:headerReference w:type="even" r:id="rId11"/>
      <w:headerReference w:type="default" r:id="rId12"/>
      <w:footerReference w:type="default" r:id="rId13"/>
      <w:pgSz w:w="11905" w:h="16837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C8F" w:rsidRDefault="00C11C8F" w:rsidP="00C055C9">
      <w:r>
        <w:separator/>
      </w:r>
    </w:p>
  </w:endnote>
  <w:endnote w:type="continuationSeparator" w:id="1">
    <w:p w:rsidR="00C11C8F" w:rsidRDefault="00C11C8F" w:rsidP="00C0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8F" w:rsidRDefault="00C11C8F">
    <w:pPr>
      <w:pStyle w:val="Footer"/>
    </w:pPr>
    <w:bookmarkStart w:id="0" w:name="OLE_LINK130"/>
    <w:bookmarkStart w:id="1" w:name="OLE_LINK131"/>
    <w:r w:rsidRPr="00A132E4">
      <w:t>http://ej.kubagro.ru/201</w:t>
    </w:r>
    <w:r w:rsidRPr="00A132E4">
      <w:rPr>
        <w:lang w:val="en-US"/>
      </w:rPr>
      <w:t>4</w:t>
    </w:r>
    <w:r w:rsidRPr="00A132E4">
      <w:t>/</w:t>
    </w:r>
    <w:r w:rsidRPr="00A132E4">
      <w:rPr>
        <w:lang w:val="en-US"/>
      </w:rPr>
      <w:t>10</w:t>
    </w:r>
    <w:r w:rsidRPr="00A132E4">
      <w:t>/pdf/</w:t>
    </w:r>
    <w:r w:rsidRPr="00A132E4">
      <w:rPr>
        <w:lang w:val="en-US"/>
      </w:rPr>
      <w:t>0</w:t>
    </w:r>
    <w:r>
      <w:rPr>
        <w:lang w:val="en-US"/>
      </w:rPr>
      <w:t>96</w:t>
    </w:r>
    <w:r w:rsidRPr="00A132E4">
      <w:t>.pdf</w:t>
    </w:r>
    <w:bookmarkEnd w:id="0"/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C8F" w:rsidRDefault="00C11C8F" w:rsidP="00C055C9">
      <w:r w:rsidRPr="00C055C9">
        <w:rPr>
          <w:color w:val="000000"/>
        </w:rPr>
        <w:separator/>
      </w:r>
    </w:p>
  </w:footnote>
  <w:footnote w:type="continuationSeparator" w:id="1">
    <w:p w:rsidR="00C11C8F" w:rsidRDefault="00C11C8F" w:rsidP="00C05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8F" w:rsidRDefault="00C11C8F" w:rsidP="00B26930">
    <w:pPr>
      <w:pStyle w:val="Head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end"/>
    </w:r>
  </w:p>
  <w:p w:rsidR="00C11C8F" w:rsidRDefault="00C11C8F" w:rsidP="00274D0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8F" w:rsidRPr="00274D00" w:rsidRDefault="00C11C8F" w:rsidP="00B26930">
    <w:pPr>
      <w:pStyle w:val="Header"/>
      <w:framePr w:wrap="around" w:vAnchor="text" w:hAnchor="margin" w:xAlign="right" w:y="1"/>
      <w:rPr>
        <w:rStyle w:val="PageNumber"/>
        <w:rFonts w:cs="Tahoma"/>
        <w:sz w:val="28"/>
        <w:szCs w:val="28"/>
      </w:rPr>
    </w:pPr>
    <w:r w:rsidRPr="00274D00">
      <w:rPr>
        <w:rStyle w:val="PageNumber"/>
        <w:rFonts w:cs="Tahoma"/>
        <w:sz w:val="28"/>
        <w:szCs w:val="28"/>
      </w:rPr>
      <w:fldChar w:fldCharType="begin"/>
    </w:r>
    <w:r w:rsidRPr="00274D00">
      <w:rPr>
        <w:rStyle w:val="PageNumber"/>
        <w:rFonts w:cs="Tahoma"/>
        <w:sz w:val="28"/>
        <w:szCs w:val="28"/>
      </w:rPr>
      <w:instrText xml:space="preserve">PAGE  </w:instrText>
    </w:r>
    <w:r w:rsidRPr="00274D00">
      <w:rPr>
        <w:rStyle w:val="PageNumber"/>
        <w:rFonts w:cs="Tahoma"/>
        <w:sz w:val="28"/>
        <w:szCs w:val="28"/>
      </w:rPr>
      <w:fldChar w:fldCharType="separate"/>
    </w:r>
    <w:r>
      <w:rPr>
        <w:rStyle w:val="PageNumber"/>
        <w:rFonts w:cs="Tahoma"/>
        <w:noProof/>
        <w:sz w:val="28"/>
        <w:szCs w:val="28"/>
      </w:rPr>
      <w:t>11</w:t>
    </w:r>
    <w:r w:rsidRPr="00274D00">
      <w:rPr>
        <w:rStyle w:val="PageNumber"/>
        <w:rFonts w:cs="Tahoma"/>
        <w:sz w:val="28"/>
        <w:szCs w:val="28"/>
      </w:rPr>
      <w:fldChar w:fldCharType="end"/>
    </w:r>
  </w:p>
  <w:p w:rsidR="00C11C8F" w:rsidRPr="00274D00" w:rsidRDefault="00C11C8F" w:rsidP="00274D00">
    <w:pPr>
      <w:pStyle w:val="Header"/>
      <w:ind w:right="360"/>
      <w:rPr>
        <w:lang w:val="en-US"/>
      </w:rPr>
    </w:pPr>
    <w:r w:rsidRPr="00FB5846">
      <w:rPr>
        <w:rFonts w:cs="Times New Roman"/>
      </w:rPr>
      <w:t>Научный журнал КубГАУ, №10</w:t>
    </w:r>
    <w:r w:rsidRPr="00FB5846">
      <w:rPr>
        <w:rFonts w:cs="Times New Roman"/>
        <w:lang w:val="en-US"/>
      </w:rPr>
      <w:t>4</w:t>
    </w:r>
    <w:r w:rsidRPr="00FB5846">
      <w:rPr>
        <w:rFonts w:cs="Times New Roman"/>
      </w:rPr>
      <w:t>(</w:t>
    </w:r>
    <w:r w:rsidRPr="00FB5846">
      <w:rPr>
        <w:rFonts w:cs="Times New Roman"/>
        <w:lang w:val="en-US"/>
      </w:rPr>
      <w:t>1</w:t>
    </w:r>
    <w:r w:rsidRPr="00FB5846">
      <w:rPr>
        <w:rFonts w:cs="Times New Roman"/>
      </w:rPr>
      <w:t>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5EBE"/>
    <w:multiLevelType w:val="multilevel"/>
    <w:tmpl w:val="F3BC2820"/>
    <w:lvl w:ilvl="0">
      <w:numFmt w:val="bullet"/>
      <w:lvlText w:val="–"/>
      <w:lvlJc w:val="left"/>
      <w:rPr>
        <w:rFonts w:ascii="OpenSymbol" w:eastAsia="Times New Roman" w:hAnsi="OpenSymbol"/>
      </w:rPr>
    </w:lvl>
    <w:lvl w:ilvl="1">
      <w:numFmt w:val="bullet"/>
      <w:lvlText w:val="–"/>
      <w:lvlJc w:val="left"/>
      <w:rPr>
        <w:rFonts w:ascii="OpenSymbol" w:eastAsia="Times New Roman" w:hAnsi="OpenSymbol"/>
      </w:rPr>
    </w:lvl>
    <w:lvl w:ilvl="2">
      <w:numFmt w:val="bullet"/>
      <w:lvlText w:val="–"/>
      <w:lvlJc w:val="left"/>
      <w:rPr>
        <w:rFonts w:ascii="OpenSymbol" w:eastAsia="Times New Roman" w:hAnsi="OpenSymbol"/>
      </w:rPr>
    </w:lvl>
    <w:lvl w:ilvl="3">
      <w:numFmt w:val="bullet"/>
      <w:lvlText w:val="–"/>
      <w:lvlJc w:val="left"/>
      <w:rPr>
        <w:rFonts w:ascii="OpenSymbol" w:eastAsia="Times New Roman" w:hAnsi="OpenSymbol"/>
      </w:rPr>
    </w:lvl>
    <w:lvl w:ilvl="4">
      <w:numFmt w:val="bullet"/>
      <w:lvlText w:val="–"/>
      <w:lvlJc w:val="left"/>
      <w:rPr>
        <w:rFonts w:ascii="OpenSymbol" w:eastAsia="Times New Roman" w:hAnsi="OpenSymbol"/>
      </w:rPr>
    </w:lvl>
    <w:lvl w:ilvl="5">
      <w:numFmt w:val="bullet"/>
      <w:lvlText w:val="–"/>
      <w:lvlJc w:val="left"/>
      <w:rPr>
        <w:rFonts w:ascii="OpenSymbol" w:eastAsia="Times New Roman" w:hAnsi="OpenSymbol"/>
      </w:rPr>
    </w:lvl>
    <w:lvl w:ilvl="6">
      <w:numFmt w:val="bullet"/>
      <w:lvlText w:val="–"/>
      <w:lvlJc w:val="left"/>
      <w:rPr>
        <w:rFonts w:ascii="OpenSymbol" w:eastAsia="Times New Roman" w:hAnsi="OpenSymbol"/>
      </w:rPr>
    </w:lvl>
    <w:lvl w:ilvl="7">
      <w:numFmt w:val="bullet"/>
      <w:lvlText w:val="–"/>
      <w:lvlJc w:val="left"/>
      <w:rPr>
        <w:rFonts w:ascii="OpenSymbol" w:eastAsia="Times New Roman" w:hAnsi="OpenSymbol"/>
      </w:rPr>
    </w:lvl>
    <w:lvl w:ilvl="8">
      <w:numFmt w:val="bullet"/>
      <w:lvlText w:val="–"/>
      <w:lvlJc w:val="left"/>
      <w:rPr>
        <w:rFonts w:ascii="OpenSymbol" w:eastAsia="Times New Roman" w:hAnsi="OpenSymbol"/>
      </w:rPr>
    </w:lvl>
  </w:abstractNum>
  <w:abstractNum w:abstractNumId="1">
    <w:nsid w:val="2C0045F7"/>
    <w:multiLevelType w:val="hybridMultilevel"/>
    <w:tmpl w:val="CB94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250DA"/>
    <w:multiLevelType w:val="hybridMultilevel"/>
    <w:tmpl w:val="81A288B8"/>
    <w:lvl w:ilvl="0" w:tplc="CA523AE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CDF7FEA"/>
    <w:multiLevelType w:val="multilevel"/>
    <w:tmpl w:val="EBC8EE3C"/>
    <w:lvl w:ilvl="0">
      <w:numFmt w:val="bullet"/>
      <w:lvlText w:val="–"/>
      <w:lvlJc w:val="left"/>
      <w:rPr>
        <w:rFonts w:ascii="OpenSymbol" w:eastAsia="Times New Roman" w:hAnsi="OpenSymbol"/>
      </w:rPr>
    </w:lvl>
    <w:lvl w:ilvl="1">
      <w:numFmt w:val="bullet"/>
      <w:lvlText w:val="–"/>
      <w:lvlJc w:val="left"/>
      <w:rPr>
        <w:rFonts w:ascii="OpenSymbol" w:eastAsia="Times New Roman" w:hAnsi="OpenSymbol"/>
      </w:rPr>
    </w:lvl>
    <w:lvl w:ilvl="2">
      <w:numFmt w:val="bullet"/>
      <w:lvlText w:val="–"/>
      <w:lvlJc w:val="left"/>
      <w:rPr>
        <w:rFonts w:ascii="OpenSymbol" w:eastAsia="Times New Roman" w:hAnsi="OpenSymbol"/>
      </w:rPr>
    </w:lvl>
    <w:lvl w:ilvl="3">
      <w:numFmt w:val="bullet"/>
      <w:lvlText w:val="–"/>
      <w:lvlJc w:val="left"/>
      <w:rPr>
        <w:rFonts w:ascii="OpenSymbol" w:eastAsia="Times New Roman" w:hAnsi="OpenSymbol"/>
      </w:rPr>
    </w:lvl>
    <w:lvl w:ilvl="4">
      <w:numFmt w:val="bullet"/>
      <w:lvlText w:val="–"/>
      <w:lvlJc w:val="left"/>
      <w:rPr>
        <w:rFonts w:ascii="OpenSymbol" w:eastAsia="Times New Roman" w:hAnsi="OpenSymbol"/>
      </w:rPr>
    </w:lvl>
    <w:lvl w:ilvl="5">
      <w:numFmt w:val="bullet"/>
      <w:lvlText w:val="–"/>
      <w:lvlJc w:val="left"/>
      <w:rPr>
        <w:rFonts w:ascii="OpenSymbol" w:eastAsia="Times New Roman" w:hAnsi="OpenSymbol"/>
      </w:rPr>
    </w:lvl>
    <w:lvl w:ilvl="6">
      <w:numFmt w:val="bullet"/>
      <w:lvlText w:val="–"/>
      <w:lvlJc w:val="left"/>
      <w:rPr>
        <w:rFonts w:ascii="OpenSymbol" w:eastAsia="Times New Roman" w:hAnsi="OpenSymbol"/>
      </w:rPr>
    </w:lvl>
    <w:lvl w:ilvl="7">
      <w:numFmt w:val="bullet"/>
      <w:lvlText w:val="–"/>
      <w:lvlJc w:val="left"/>
      <w:rPr>
        <w:rFonts w:ascii="OpenSymbol" w:eastAsia="Times New Roman" w:hAnsi="OpenSymbol"/>
      </w:rPr>
    </w:lvl>
    <w:lvl w:ilvl="8">
      <w:numFmt w:val="bullet"/>
      <w:lvlText w:val="–"/>
      <w:lvlJc w:val="left"/>
      <w:rPr>
        <w:rFonts w:ascii="OpenSymbol" w:eastAsia="Times New Roman" w:hAnsi="OpenSymbol"/>
      </w:rPr>
    </w:lvl>
  </w:abstractNum>
  <w:abstractNum w:abstractNumId="4">
    <w:nsid w:val="422E2160"/>
    <w:multiLevelType w:val="hybridMultilevel"/>
    <w:tmpl w:val="368E54A8"/>
    <w:lvl w:ilvl="0" w:tplc="F74240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5BCD063F"/>
    <w:multiLevelType w:val="hybridMultilevel"/>
    <w:tmpl w:val="4A8C309A"/>
    <w:lvl w:ilvl="0" w:tplc="9566D8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6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5C9"/>
    <w:rsid w:val="0000280F"/>
    <w:rsid w:val="000246E6"/>
    <w:rsid w:val="000B30EA"/>
    <w:rsid w:val="00134A0F"/>
    <w:rsid w:val="00173C12"/>
    <w:rsid w:val="00173EBC"/>
    <w:rsid w:val="001754F1"/>
    <w:rsid w:val="001F107A"/>
    <w:rsid w:val="00274D00"/>
    <w:rsid w:val="002F6F3C"/>
    <w:rsid w:val="003635A5"/>
    <w:rsid w:val="003D6800"/>
    <w:rsid w:val="00437F43"/>
    <w:rsid w:val="00454228"/>
    <w:rsid w:val="00487973"/>
    <w:rsid w:val="00531657"/>
    <w:rsid w:val="00540475"/>
    <w:rsid w:val="005A394C"/>
    <w:rsid w:val="00704353"/>
    <w:rsid w:val="00962F2D"/>
    <w:rsid w:val="00974CAE"/>
    <w:rsid w:val="00997EA0"/>
    <w:rsid w:val="00A00FBA"/>
    <w:rsid w:val="00A132E4"/>
    <w:rsid w:val="00AF0C3D"/>
    <w:rsid w:val="00B26930"/>
    <w:rsid w:val="00B5551A"/>
    <w:rsid w:val="00BA6253"/>
    <w:rsid w:val="00BB63A4"/>
    <w:rsid w:val="00BE139A"/>
    <w:rsid w:val="00C055C9"/>
    <w:rsid w:val="00C11C8F"/>
    <w:rsid w:val="00C310F9"/>
    <w:rsid w:val="00C3305B"/>
    <w:rsid w:val="00C928E9"/>
    <w:rsid w:val="00CB69C3"/>
    <w:rsid w:val="00D107C5"/>
    <w:rsid w:val="00D32CFE"/>
    <w:rsid w:val="00D74B54"/>
    <w:rsid w:val="00D91058"/>
    <w:rsid w:val="00DE1DB1"/>
    <w:rsid w:val="00EF799E"/>
    <w:rsid w:val="00F65BE8"/>
    <w:rsid w:val="00F978D4"/>
    <w:rsid w:val="00FB5846"/>
    <w:rsid w:val="00FC0115"/>
    <w:rsid w:val="00FE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EA0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C055C9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uiPriority w:val="99"/>
    <w:rsid w:val="00C055C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C055C9"/>
    <w:pPr>
      <w:spacing w:after="120"/>
    </w:pPr>
  </w:style>
  <w:style w:type="paragraph" w:styleId="List">
    <w:name w:val="List"/>
    <w:basedOn w:val="Textbody"/>
    <w:uiPriority w:val="99"/>
    <w:rsid w:val="00C055C9"/>
  </w:style>
  <w:style w:type="paragraph" w:customStyle="1" w:styleId="Caption1">
    <w:name w:val="Caption1"/>
    <w:basedOn w:val="Standard"/>
    <w:uiPriority w:val="99"/>
    <w:rsid w:val="00C055C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C055C9"/>
    <w:pPr>
      <w:suppressLineNumbers/>
    </w:pPr>
  </w:style>
  <w:style w:type="paragraph" w:customStyle="1" w:styleId="ConsPlusDocList">
    <w:name w:val="ConsPlusDocList"/>
    <w:next w:val="Standard"/>
    <w:uiPriority w:val="99"/>
    <w:rsid w:val="00C055C9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sz w:val="20"/>
      <w:szCs w:val="20"/>
      <w:lang w:val="de-DE" w:eastAsia="ja-JP" w:bidi="fa-IR"/>
    </w:rPr>
  </w:style>
  <w:style w:type="paragraph" w:customStyle="1" w:styleId="ConsPlusCell">
    <w:name w:val="ConsPlusCell"/>
    <w:next w:val="Standard"/>
    <w:uiPriority w:val="99"/>
    <w:rsid w:val="00C055C9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sz w:val="20"/>
      <w:szCs w:val="20"/>
      <w:lang w:val="de-DE" w:eastAsia="ja-JP" w:bidi="fa-IR"/>
    </w:rPr>
  </w:style>
  <w:style w:type="paragraph" w:customStyle="1" w:styleId="ConsPlusNonformat">
    <w:name w:val="ConsPlusNonformat"/>
    <w:next w:val="Standard"/>
    <w:uiPriority w:val="99"/>
    <w:rsid w:val="00C055C9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uiPriority w:val="99"/>
    <w:rsid w:val="00C055C9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sz w:val="20"/>
      <w:szCs w:val="20"/>
      <w:lang w:val="de-DE" w:eastAsia="ja-JP" w:bidi="fa-IR"/>
    </w:rPr>
  </w:style>
  <w:style w:type="paragraph" w:customStyle="1" w:styleId="Heading11">
    <w:name w:val="Heading 11"/>
    <w:basedOn w:val="Heading"/>
    <w:next w:val="Textbody"/>
    <w:uiPriority w:val="99"/>
    <w:rsid w:val="00C055C9"/>
    <w:pPr>
      <w:outlineLvl w:val="0"/>
    </w:pPr>
    <w:rPr>
      <w:rFonts w:ascii="Times New Roman" w:eastAsia="MS PMincho" w:hAnsi="Times New Roman"/>
      <w:b/>
      <w:bCs/>
      <w:sz w:val="48"/>
      <w:szCs w:val="48"/>
    </w:rPr>
  </w:style>
  <w:style w:type="paragraph" w:customStyle="1" w:styleId="Heading21">
    <w:name w:val="Heading 21"/>
    <w:basedOn w:val="Heading"/>
    <w:next w:val="Textbody"/>
    <w:uiPriority w:val="99"/>
    <w:rsid w:val="00C055C9"/>
    <w:pPr>
      <w:outlineLvl w:val="1"/>
    </w:pPr>
    <w:rPr>
      <w:rFonts w:ascii="Times New Roman" w:eastAsia="MS PMincho" w:hAnsi="Times New Roman"/>
      <w:b/>
      <w:bCs/>
      <w:sz w:val="36"/>
      <w:szCs w:val="36"/>
    </w:rPr>
  </w:style>
  <w:style w:type="paragraph" w:customStyle="1" w:styleId="TableContents">
    <w:name w:val="Table Contents"/>
    <w:basedOn w:val="Standard"/>
    <w:uiPriority w:val="99"/>
    <w:rsid w:val="00C055C9"/>
    <w:pPr>
      <w:suppressLineNumbers/>
    </w:pPr>
  </w:style>
  <w:style w:type="character" w:customStyle="1" w:styleId="Internetlink">
    <w:name w:val="Internet link"/>
    <w:uiPriority w:val="99"/>
    <w:rsid w:val="00C055C9"/>
    <w:rPr>
      <w:color w:val="000080"/>
      <w:u w:val="single"/>
    </w:rPr>
  </w:style>
  <w:style w:type="character" w:customStyle="1" w:styleId="BulletSymbols">
    <w:name w:val="Bullet Symbols"/>
    <w:uiPriority w:val="99"/>
    <w:rsid w:val="00C055C9"/>
    <w:rPr>
      <w:rFonts w:ascii="OpenSymbol" w:hAnsi="OpenSymbol"/>
    </w:rPr>
  </w:style>
  <w:style w:type="character" w:customStyle="1" w:styleId="apple-converted-space">
    <w:name w:val="apple-converted-space"/>
    <w:basedOn w:val="DefaultParagraphFont"/>
    <w:uiPriority w:val="99"/>
    <w:rsid w:val="00D9105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9105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173EBC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Normal"/>
    <w:uiPriority w:val="99"/>
    <w:rsid w:val="00173EBC"/>
    <w:pPr>
      <w:widowControl w:val="0"/>
      <w:suppressAutoHyphens/>
      <w:autoSpaceDE w:val="0"/>
      <w:ind w:firstLine="720"/>
    </w:pPr>
    <w:rPr>
      <w:rFonts w:ascii="Arial" w:hAnsi="Arial" w:cs="Times New Roman"/>
      <w:kern w:val="2"/>
      <w:sz w:val="20"/>
      <w:szCs w:val="20"/>
    </w:rPr>
  </w:style>
  <w:style w:type="paragraph" w:styleId="Header">
    <w:name w:val="header"/>
    <w:basedOn w:val="Normal"/>
    <w:link w:val="HeaderChar"/>
    <w:uiPriority w:val="99"/>
    <w:rsid w:val="00FE77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E77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771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71C"/>
    <w:rPr>
      <w:rFonts w:cs="Times New Roman"/>
    </w:rPr>
  </w:style>
  <w:style w:type="paragraph" w:customStyle="1" w:styleId="1">
    <w:name w:val="Абзац списка1"/>
    <w:basedOn w:val="Normal"/>
    <w:uiPriority w:val="99"/>
    <w:rsid w:val="00C310F9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274D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ulepinasv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hulepinasv@mail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A2B2E1067E573773CE6F19BF6C87E71FC9A945463F30A7FE2AE4F652AF57F1DA0F169CB26E775C3IBV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2B2E1067E573773CE6F19BF6C87E71FC9A945463F30A7FE2AE4F652AF57F1DA0F169C827ECI7V4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11</Pages>
  <Words>2794</Words>
  <Characters>15932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9</cp:revision>
  <dcterms:created xsi:type="dcterms:W3CDTF">2014-11-25T08:42:00Z</dcterms:created>
  <dcterms:modified xsi:type="dcterms:W3CDTF">2015-01-05T16:11:00Z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