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61"/>
        <w:gridCol w:w="4625"/>
      </w:tblGrid>
      <w:tr w:rsidR="008E0722" w:rsidRPr="009E381B" w:rsidTr="00424B6A">
        <w:tc>
          <w:tcPr>
            <w:tcW w:w="4661" w:type="dxa"/>
          </w:tcPr>
          <w:p w:rsidR="008E0722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381B">
              <w:rPr>
                <w:rFonts w:ascii="Times New Roman" w:hAnsi="Times New Roman"/>
                <w:sz w:val="20"/>
                <w:szCs w:val="20"/>
              </w:rPr>
              <w:t xml:space="preserve">УДК 519.876.5 </w:t>
            </w:r>
          </w:p>
          <w:p w:rsidR="008E0722" w:rsidRPr="00424B6A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25" w:type="dxa"/>
          </w:tcPr>
          <w:p w:rsidR="008E0722" w:rsidRPr="009E381B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381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9E381B">
              <w:rPr>
                <w:rFonts w:ascii="Times New Roman" w:hAnsi="Times New Roman"/>
                <w:sz w:val="20"/>
                <w:szCs w:val="20"/>
              </w:rPr>
              <w:t>519.876.5</w:t>
            </w:r>
          </w:p>
        </w:tc>
      </w:tr>
      <w:tr w:rsidR="008E0722" w:rsidRPr="00277850" w:rsidTr="00424B6A">
        <w:tc>
          <w:tcPr>
            <w:tcW w:w="4661" w:type="dxa"/>
          </w:tcPr>
          <w:p w:rsidR="008E0722" w:rsidRPr="00B71899" w:rsidRDefault="008E0722" w:rsidP="00A073D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АКТУАЛЬНЫЕ</w:t>
            </w:r>
            <w:r w:rsidRPr="00B71899">
              <w:rPr>
                <w:rFonts w:ascii="Times New Roman" w:hAnsi="Times New Roman"/>
                <w:b/>
                <w:sz w:val="20"/>
                <w:szCs w:val="20"/>
              </w:rPr>
              <w:t xml:space="preserve"> ЗАДАЧИ МОДЕЛИРОВАНИЯ СОЦИАЛЬНО-ЭКОНОМИЧЕСКИХ ПРОЦЕССОВ</w:t>
            </w:r>
          </w:p>
          <w:p w:rsidR="008E0722" w:rsidRPr="004014C7" w:rsidRDefault="008E0722" w:rsidP="00A073D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25" w:type="dxa"/>
          </w:tcPr>
          <w:p w:rsidR="008E0722" w:rsidRPr="00046E84" w:rsidRDefault="008E0722" w:rsidP="00A073D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46E8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ACTUAL PROBLEMS OF MODELING OF SOCIAL AND ECONOMIC PROCESSES</w:t>
            </w:r>
          </w:p>
        </w:tc>
      </w:tr>
      <w:tr w:rsidR="008E0722" w:rsidTr="00424B6A">
        <w:tc>
          <w:tcPr>
            <w:tcW w:w="4661" w:type="dxa"/>
          </w:tcPr>
          <w:p w:rsidR="008E0722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Пшунетлев Адам Аскарбиевич</w:t>
            </w:r>
          </w:p>
        </w:tc>
        <w:tc>
          <w:tcPr>
            <w:tcW w:w="4625" w:type="dxa"/>
          </w:tcPr>
          <w:p w:rsidR="008E0722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Pshunetlev Adam Askarbievich</w:t>
            </w:r>
          </w:p>
        </w:tc>
      </w:tr>
      <w:tr w:rsidR="008E0722" w:rsidTr="00424B6A">
        <w:tc>
          <w:tcPr>
            <w:tcW w:w="4661" w:type="dxa"/>
          </w:tcPr>
          <w:p w:rsidR="008E0722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к.э.н.</w:t>
            </w:r>
          </w:p>
        </w:tc>
        <w:tc>
          <w:tcPr>
            <w:tcW w:w="4625" w:type="dxa"/>
          </w:tcPr>
          <w:p w:rsidR="008E0722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Econ.Sci.</w:t>
            </w:r>
          </w:p>
        </w:tc>
      </w:tr>
      <w:tr w:rsidR="008E0722" w:rsidRPr="00277850" w:rsidTr="00424B6A">
        <w:tc>
          <w:tcPr>
            <w:tcW w:w="4661" w:type="dxa"/>
          </w:tcPr>
          <w:p w:rsidR="008E0722" w:rsidRPr="00277850" w:rsidRDefault="008E0722" w:rsidP="00A073D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Академия маркетинга и социально – информационных технологий (ИМСИТ), Россия, 350010, Краснодар, Зиповская 8</w:t>
            </w:r>
          </w:p>
          <w:p w:rsidR="008E0722" w:rsidRPr="00277850" w:rsidRDefault="008E0722" w:rsidP="00A073D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25" w:type="dxa"/>
          </w:tcPr>
          <w:p w:rsidR="008E0722" w:rsidRDefault="008E0722" w:rsidP="00A073D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Type">
              <w:r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Academy</w:t>
              </w:r>
            </w:smartTag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of </w:t>
            </w:r>
            <w:smartTag w:uri="urn:schemas-microsoft-com:office:smarttags" w:element="PlaceName">
              <w:r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Marketing</w:t>
              </w:r>
            </w:smartTag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and Social - Information Technology (IMSIT), </w:t>
            </w:r>
            <w:smartTag w:uri="urn:schemas-microsoft-com:office:smarttags" w:element="country-region">
              <w:r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Russia</w:t>
              </w:r>
            </w:smartTag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350010, 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Zipovskaya 8 </w:t>
            </w:r>
          </w:p>
        </w:tc>
      </w:tr>
      <w:tr w:rsidR="008E0722" w:rsidRPr="00277850" w:rsidTr="00424B6A">
        <w:tc>
          <w:tcPr>
            <w:tcW w:w="4661" w:type="dxa"/>
          </w:tcPr>
          <w:p w:rsidR="008E0722" w:rsidRPr="00277850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статье представлены основные подходы к исследованию социально-экономических процессов, задачи математического обеспечения решений, обретающих возрастающую актуальность, проблем устойчивого, сбалансированного регионального развития</w:t>
            </w:r>
          </w:p>
        </w:tc>
        <w:tc>
          <w:tcPr>
            <w:tcW w:w="4625" w:type="dxa"/>
          </w:tcPr>
          <w:p w:rsidR="008E0722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46E84">
              <w:rPr>
                <w:rFonts w:ascii="Times New Roman" w:hAnsi="Times New Roman"/>
                <w:sz w:val="20"/>
                <w:szCs w:val="20"/>
                <w:lang w:val="en-US"/>
              </w:rPr>
              <w:t>The article presents the main approaches to the study of socio-economic processes, the problem of modeling, taking on increasing urgency, issues of sustainable 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 balanced regional development</w:t>
            </w:r>
          </w:p>
        </w:tc>
      </w:tr>
      <w:tr w:rsidR="008E0722" w:rsidRPr="00277850" w:rsidTr="00424B6A">
        <w:tc>
          <w:tcPr>
            <w:tcW w:w="4661" w:type="dxa"/>
          </w:tcPr>
          <w:p w:rsidR="008E0722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25" w:type="dxa"/>
          </w:tcPr>
          <w:p w:rsidR="008E0722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8E0722" w:rsidRPr="00277850" w:rsidTr="00424B6A">
        <w:tc>
          <w:tcPr>
            <w:tcW w:w="4661" w:type="dxa"/>
          </w:tcPr>
          <w:p w:rsidR="008E0722" w:rsidRPr="00277850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Ключевые слова: РЕГИОНАЛЬНОЕ РАЗВИТИЕ, МОДЕЛЬ, МОДЕЛИРОВАНИЕ, РАВНОВЕСИЕ, УСТОЙЧИВОСТЬ, СБАЛАНСИРОВАННОСТЬ</w:t>
            </w:r>
          </w:p>
        </w:tc>
        <w:tc>
          <w:tcPr>
            <w:tcW w:w="4625" w:type="dxa"/>
          </w:tcPr>
          <w:p w:rsidR="008E0722" w:rsidRPr="007D4EB8" w:rsidRDefault="008E0722" w:rsidP="00A073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D4E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REGIONAL DEVELOPMENT, MODEL, MODELING,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EQUILIBRIUM, STABILITY, BALANCE</w:t>
            </w:r>
          </w:p>
        </w:tc>
      </w:tr>
    </w:tbl>
    <w:p w:rsidR="008E0722" w:rsidRDefault="008E0722" w:rsidP="00A073D5">
      <w:pPr>
        <w:pStyle w:val="Heading6"/>
        <w:spacing w:before="0" w:after="0"/>
        <w:ind w:firstLine="708"/>
        <w:rPr>
          <w:b w:val="0"/>
          <w:i/>
          <w:sz w:val="28"/>
          <w:szCs w:val="28"/>
          <w:lang w:val="en-US"/>
        </w:rPr>
      </w:pPr>
    </w:p>
    <w:p w:rsidR="008E0722" w:rsidRPr="00AC324F" w:rsidRDefault="008E0722" w:rsidP="00A073D5">
      <w:pPr>
        <w:pStyle w:val="Heading6"/>
        <w:spacing w:before="0" w:after="0"/>
        <w:ind w:firstLine="708"/>
        <w:rPr>
          <w:b w:val="0"/>
          <w:i/>
          <w:sz w:val="28"/>
          <w:szCs w:val="28"/>
        </w:rPr>
      </w:pPr>
      <w:r w:rsidRPr="00AC324F">
        <w:rPr>
          <w:b w:val="0"/>
          <w:i/>
          <w:sz w:val="28"/>
          <w:szCs w:val="28"/>
        </w:rPr>
        <w:t>Введение</w:t>
      </w:r>
    </w:p>
    <w:p w:rsidR="008E0722" w:rsidRDefault="008E0722" w:rsidP="00A073D5">
      <w:pPr>
        <w:pStyle w:val="1"/>
        <w:spacing w:line="360" w:lineRule="auto"/>
        <w:ind w:right="28" w:firstLine="709"/>
        <w:rPr>
          <w:sz w:val="28"/>
          <w:szCs w:val="28"/>
        </w:rPr>
      </w:pPr>
      <w:r w:rsidRPr="007477EE">
        <w:rPr>
          <w:sz w:val="28"/>
          <w:szCs w:val="28"/>
        </w:rPr>
        <w:t xml:space="preserve">Традиционные подходы к моделированию </w:t>
      </w:r>
      <w:r>
        <w:rPr>
          <w:sz w:val="28"/>
          <w:szCs w:val="28"/>
        </w:rPr>
        <w:t>социально-экономических процессов</w:t>
      </w:r>
      <w:r w:rsidRPr="007477EE">
        <w:rPr>
          <w:sz w:val="28"/>
          <w:szCs w:val="28"/>
        </w:rPr>
        <w:t xml:space="preserve"> </w:t>
      </w:r>
      <w:r>
        <w:rPr>
          <w:sz w:val="28"/>
          <w:szCs w:val="28"/>
        </w:rPr>
        <w:t>ориентированы на достижение и поддержание равновесия, или обеспечения сбалансированного экономического роста, что, естественным образом, ограничивает сферу их применения в решении динамических, характеризуемых продолжительной несбалансированностью пропорций общественного воспроизводства, противоречивостью экономических, социальных, экологических критериев решения задач регионального развития.</w:t>
      </w:r>
    </w:p>
    <w:p w:rsidR="008E0722" w:rsidRDefault="008E0722" w:rsidP="00A073D5">
      <w:pPr>
        <w:pStyle w:val="1"/>
        <w:spacing w:line="360" w:lineRule="auto"/>
        <w:ind w:right="28" w:firstLine="709"/>
        <w:rPr>
          <w:sz w:val="28"/>
          <w:szCs w:val="28"/>
        </w:rPr>
      </w:pPr>
      <w:r>
        <w:rPr>
          <w:sz w:val="28"/>
          <w:szCs w:val="28"/>
        </w:rPr>
        <w:t>Такое положение, со всей очевидностью, свидетельствует о недостаточной проработанности вопросов математического обеспечения решения актуальных проблем регионального развития, и, на фоне нестабильных экономических трендов мировой экономики, настойчиво сигнализирует о необходимости разработки концепций, алгоритмов перевода социально-экономических систем на траектории устойчивого развития, определяет актуальность темы и цель исследования, а именно, определение перспективных направлений совершенствования математического аппарата исследования социально-экономических процессов. Достижение указанной цели требует решения следующих задач:</w:t>
      </w:r>
    </w:p>
    <w:p w:rsidR="008E0722" w:rsidRDefault="008E0722" w:rsidP="00A073D5">
      <w:pPr>
        <w:pStyle w:val="1"/>
        <w:numPr>
          <w:ilvl w:val="0"/>
          <w:numId w:val="43"/>
        </w:numPr>
        <w:spacing w:line="360" w:lineRule="auto"/>
        <w:ind w:right="28"/>
        <w:rPr>
          <w:sz w:val="28"/>
          <w:szCs w:val="28"/>
        </w:rPr>
      </w:pPr>
      <w:r>
        <w:rPr>
          <w:sz w:val="28"/>
          <w:szCs w:val="28"/>
        </w:rPr>
        <w:t>Изучить концепции, модели устойчивого регионального развития.</w:t>
      </w:r>
    </w:p>
    <w:p w:rsidR="008E0722" w:rsidRDefault="008E0722" w:rsidP="00A073D5">
      <w:pPr>
        <w:pStyle w:val="1"/>
        <w:numPr>
          <w:ilvl w:val="0"/>
          <w:numId w:val="43"/>
        </w:numPr>
        <w:spacing w:line="360" w:lineRule="auto"/>
        <w:ind w:right="28"/>
        <w:rPr>
          <w:sz w:val="28"/>
          <w:szCs w:val="28"/>
        </w:rPr>
      </w:pPr>
      <w:r>
        <w:rPr>
          <w:sz w:val="28"/>
          <w:szCs w:val="28"/>
        </w:rPr>
        <w:t xml:space="preserve">Сформулировать актуальные задачи моделирования социально-экономических процессов. </w:t>
      </w:r>
    </w:p>
    <w:p w:rsidR="008E0722" w:rsidRDefault="008E0722" w:rsidP="00A073D5">
      <w:pPr>
        <w:pStyle w:val="1"/>
        <w:numPr>
          <w:ilvl w:val="0"/>
          <w:numId w:val="43"/>
        </w:numPr>
        <w:spacing w:line="360" w:lineRule="auto"/>
        <w:ind w:right="28"/>
        <w:rPr>
          <w:sz w:val="28"/>
          <w:szCs w:val="28"/>
        </w:rPr>
      </w:pPr>
      <w:r>
        <w:rPr>
          <w:sz w:val="28"/>
          <w:szCs w:val="28"/>
        </w:rPr>
        <w:t>Сделать выводы.</w:t>
      </w:r>
    </w:p>
    <w:p w:rsidR="008E0722" w:rsidRPr="00AC324F" w:rsidRDefault="008E0722" w:rsidP="00A073D5">
      <w:pPr>
        <w:pStyle w:val="1"/>
        <w:spacing w:line="360" w:lineRule="auto"/>
        <w:ind w:left="709" w:right="28"/>
        <w:rPr>
          <w:sz w:val="28"/>
          <w:szCs w:val="28"/>
        </w:rPr>
      </w:pPr>
      <w:r w:rsidRPr="00AC324F">
        <w:rPr>
          <w:i/>
          <w:sz w:val="28"/>
          <w:szCs w:val="28"/>
        </w:rPr>
        <w:t>Обзор литератур</w:t>
      </w:r>
      <w:r>
        <w:rPr>
          <w:i/>
          <w:sz w:val="28"/>
          <w:szCs w:val="28"/>
        </w:rPr>
        <w:t>ы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Динамизм процессов протекающих в социально-экономических системах, определил их рассмотрение, преимущественно, с позиции системного подхода, с применением возможностей прикладного инструментария системного анализа, центральное место в котором занимает моделирование. Моделирование, есть построение и изучение моделей реально существующих предметов, явлений, живых и неживых систем, инженерных конструкций, разнообразных процессов – физических, биологических, химических, социальных, для определения, уточнения их характеристик, рационализации способов их построения </w:t>
      </w:r>
      <w:r w:rsidRPr="00022C0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022C0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Настоящее определение, содержит указание на субъектно-объектное отношение, по поводу целенаправленного изменения модели.</w:t>
      </w:r>
    </w:p>
    <w:p w:rsidR="008E0722" w:rsidRDefault="008E0722" w:rsidP="00A073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Модель (лат. </w:t>
      </w:r>
      <w:r>
        <w:rPr>
          <w:rFonts w:ascii="Times New Roman" w:hAnsi="Times New Roman"/>
          <w:sz w:val="28"/>
          <w:szCs w:val="28"/>
          <w:lang w:val="en-US"/>
        </w:rPr>
        <w:t>Modelium</w:t>
      </w:r>
      <w:r>
        <w:rPr>
          <w:rFonts w:ascii="Times New Roman" w:hAnsi="Times New Roman"/>
          <w:sz w:val="28"/>
          <w:szCs w:val="28"/>
        </w:rPr>
        <w:t xml:space="preserve"> - мера, образ, способ) – это система, исследование которой является средством получения информации о другой системе [2</w:t>
      </w:r>
      <w:r w:rsidRPr="00B654F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Академик Н. Моисеев формулирует ценность модели следующим образом: «Модель содержит в себе потенциальное знание, которое человек, исследуя ее, может приобрести, сделать наглядным и использовать в своих практических, жизненных нуждах» </w:t>
      </w:r>
      <w:r w:rsidRPr="0056405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56405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Необходимость сходства модели с объектом исследования, отражена в определении В. Могилевского, «моделью называется специально синтезированный для удобства исследователя объект, который обладает необходимой степенью подобия исходному» </w:t>
      </w:r>
      <w:r w:rsidRPr="00F152B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1D355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Исследовательская направленность модели логично предполагает предъявление к ней следующих требований:</w:t>
      </w:r>
    </w:p>
    <w:p w:rsidR="008E0722" w:rsidRDefault="008E0722" w:rsidP="00A073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адекватность, или способность модели воспроизвести интересующую исследователя проблему;</w:t>
      </w:r>
    </w:p>
    <w:p w:rsidR="008E0722" w:rsidRDefault="008E0722" w:rsidP="00A073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точность, близость к данным наблюдения за объектом исследования;</w:t>
      </w:r>
    </w:p>
    <w:p w:rsidR="008E0722" w:rsidRDefault="008E0722" w:rsidP="00A073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универсальность, применимость модели к ряду однотипных объектов;</w:t>
      </w:r>
    </w:p>
    <w:p w:rsidR="008E0722" w:rsidRDefault="008E0722" w:rsidP="00A073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экономичность, сопоставимость качества модели, которое интегрирует показатели адекватности, точности и универсальности, и затрат на построение и исследование модели. Удачной следует признать модель, в рамках которой достигается компромисс между результатами исследования и затратами на их проведение.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Именно об этом, говорит Нейлор Т., указывая на то, что, качество модели определяется тем, насколько успешно, в соответствии с целью исследования, в ней сочетаются два противоречивых начала – простота и реализм</w:t>
      </w:r>
      <w:r w:rsidRPr="001D355D">
        <w:rPr>
          <w:rFonts w:ascii="Times New Roman" w:hAnsi="Times New Roman"/>
          <w:sz w:val="28"/>
          <w:szCs w:val="28"/>
        </w:rPr>
        <w:t xml:space="preserve"> </w:t>
      </w:r>
      <w:r w:rsidRPr="003B2DE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3B2DEF">
        <w:rPr>
          <w:rFonts w:ascii="Times New Roman" w:hAnsi="Times New Roman"/>
          <w:sz w:val="28"/>
          <w:szCs w:val="28"/>
        </w:rPr>
        <w:t>]</w:t>
      </w:r>
      <w:r w:rsidRPr="001D355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 одной стороны, модель должна быть реалистичной, отражать наиболее существенные качества исследуемого объекта, а с другой стороны, она должна быть достаточно простой, недорогой, удобной в применении, в том числе и в практической деятельности.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Исследовательский потенциал модели не ограничивается возможностью наблюдения за поведением проблемы. По мнению Рута и Хэннона, модели разрабатываются и используются для того, чтобы понять влияние решений, на интересующую исследователя часть реальности или проблемы </w:t>
      </w:r>
      <w:r w:rsidRPr="007F00E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7F00E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моделирования обеспечили ему на протяжении нескольких веков заметное место в методологии общественных наук. Отмечая системность знаний, преемственность социологии к абстрактным наукам, О. Конт объединил общественные науки в рамках социальной физики </w:t>
      </w:r>
      <w:r w:rsidRPr="00C4451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C4451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Настолько естественной для точных наук является классификация Конта общественного знания на социальную статику и социальную динамику! В дальнейшем, моделирование способствовало пониманию и решению парадокса Кондорсе, нашедшего обобщение в теореме Эрроу</w:t>
      </w:r>
      <w:r w:rsidRPr="00C44510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8</w:t>
      </w:r>
      <w:r w:rsidRPr="00C4451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Первые работы, в которых моделирование применяется, как метод анализа экономических процессов, связаны с именами Ф. Кенэ и А. Курно. Если первый, в соответствующих таблицах, представил статичное описание макроэкономики, то второй рассмотрел динамику дуополии, значительно расширив границы применения моделирования </w:t>
      </w:r>
      <w:r w:rsidRPr="00C4451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9,10</w:t>
      </w:r>
      <w:r w:rsidRPr="00C4451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В последующие годы происходит интенсивное освоение математикой пространства макро и микроэкономики. Вначале У. Джевонс, в рамках соответствующих моделей, формулирует теорию предельной полезности, а затем Л. Вальрас, А. Маршалл и Ф. Эджворт завершают оформление математического инструментария экономической классики.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Мировой экономический кризис, в начале прошлого века, привлек внимание науки к проблеме макроэкономического равновесия. В работах Дж. Кейнса, Р. Солоу, П. Самуэльсона, в значительной степени определивших уровень анализа в области экономической науки, акцент переносится в сторону вопросов, связанных с исследованием макроэкономики в точке равновесия или ее окрестности. Развитие в рамках равновесной концепции представляет последовательность равновесных состояний, чередующихся непродолжительными переходными процессами. Пожалуй, в наибольшей степени такому представлению о развитии динамических процессов соответствует известное изречение Лейбница о том, что «природа не делает скачков» </w:t>
      </w:r>
      <w:r w:rsidRPr="007C20D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11</w:t>
      </w:r>
      <w:r w:rsidRPr="007C20D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8E0722" w:rsidRPr="007C20D3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Соответственно, в математическом аппарате исследования преобладают равновесные модели, основанные на предположении о линейности оператора эволюции системы, гладкости аппроксимирующих функций. Такой характер поведения переменных предоставляет возможность применения аппарата дифференциального, интегрального исчисления, аналитического определения траекторий развития экономики </w:t>
      </w:r>
      <w:r w:rsidRPr="0016452D">
        <w:rPr>
          <w:rFonts w:ascii="Times New Roman" w:hAnsi="Times New Roman"/>
          <w:sz w:val="28"/>
          <w:szCs w:val="28"/>
        </w:rPr>
        <w:t>[12]</w:t>
      </w:r>
      <w:r>
        <w:rPr>
          <w:rFonts w:ascii="Times New Roman" w:hAnsi="Times New Roman"/>
          <w:sz w:val="28"/>
          <w:szCs w:val="28"/>
        </w:rPr>
        <w:t>.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масштаба общественного производства на фоне возрастающей актуальности экологической проблематики, межнациональных, межконфессиональных противоречий, стали отправной точкой перехода к новому состоянию мира. Региональные проблемы перестают носить локальный характер и приобретают глобальное значение, а страны, регионы, люди становятся частью единой социально-экономической системы, в которой элементы, их поведение тесно взаимосвязаны и взаимообусловлены.</w:t>
      </w:r>
    </w:p>
    <w:p w:rsidR="008E0722" w:rsidRPr="00C44510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Наряду с преимуществами глобализации, которые выражаются в возможности доступа к международным, межрегиональным рынкам товаров, факторов производства, совершенствования технологий, регионы сталкиваются с новыми проблемами, отток капитала, рабочей силы, обострение демографических, экологических проблем, которые в совокупности определяют существование множества дисбалансов региональной экономики, неравновесный характер ее развития, а также острое противоречие между содержанием научной проблематики и возможностями математического аппарата. 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Осознание неравновесного характера динамики социально-экономических систем, их открытости, а, следовательно, и зависимости от состояния макросистем, стимулировали интерес к проблеме устойчивости траекторий регионального развития по отношению к возмущениям внешней среды, изменению режима управления. Более настойчиво, в теоретико-методологическом базисе исследования социально-экономических систем, наряду с равновесными моделями, занимают место и такие, относительно новые области знаний, как синергетика, теория бифуркаций, теория катастроф,</w:t>
      </w:r>
      <w:r w:rsidRPr="00213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системная динамика. 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Синергетика – междисциплинарное направление науки, изучающее общие закономерности явлений и процессов в сложных неравновесных системах на основе присущих им принципов самоорганизации </w:t>
      </w:r>
      <w:r w:rsidRPr="0021322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16452D">
        <w:rPr>
          <w:rFonts w:ascii="Times New Roman" w:hAnsi="Times New Roman"/>
          <w:sz w:val="28"/>
          <w:szCs w:val="28"/>
        </w:rPr>
        <w:t>3</w:t>
      </w:r>
      <w:r w:rsidRPr="0021322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В научный оборот термин ввел физиолог Шеррингтон в ходе исследования мышечных систем и управления ими со стороны спинного мозга. Впоследствии, термин был использован Г. Хакеном, при изучении законов самоорганизации сложных систем </w:t>
      </w:r>
      <w:r w:rsidRPr="0021322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16452D">
        <w:rPr>
          <w:rFonts w:ascii="Times New Roman" w:hAnsi="Times New Roman"/>
          <w:sz w:val="28"/>
          <w:szCs w:val="28"/>
        </w:rPr>
        <w:t>4</w:t>
      </w:r>
      <w:r w:rsidRPr="0021322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Оказалось, что принципы самоорганизации сложных систем одни и те же, безотносительно природы систем, а, следовательно, могут быть представлены общим для них математическим аппаратом. К наиболее значительным качественным выводам исследований сложных систем можно отнести следующие положения </w:t>
      </w:r>
      <w:r w:rsidRPr="007935C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16452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,1</w:t>
      </w:r>
      <w:r w:rsidRPr="0016452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,1</w:t>
      </w:r>
      <w:r w:rsidRPr="0016452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,1</w:t>
      </w:r>
      <w:r w:rsidRPr="0016452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,1</w:t>
      </w:r>
      <w:r w:rsidRPr="0016452D">
        <w:rPr>
          <w:rFonts w:ascii="Times New Roman" w:hAnsi="Times New Roman"/>
          <w:sz w:val="28"/>
          <w:szCs w:val="28"/>
        </w:rPr>
        <w:t>9</w:t>
      </w:r>
      <w:r w:rsidRPr="007935C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8E0722" w:rsidRDefault="008E0722" w:rsidP="00A073D5">
      <w:pPr>
        <w:pStyle w:val="ListParagraph"/>
        <w:numPr>
          <w:ilvl w:val="0"/>
          <w:numId w:val="38"/>
        </w:numPr>
        <w:spacing w:before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Неравновесность системы является необходимым признаками ее развития. С позиции синергетики, развитие системы представляет собой последовательность ее состояний вблизи некоторого равновесного уровня, с последующим переходом на новый уровень развития, характеризуемый обновленной структурой. Для перехода на качественно новый уровень, система должна потерять устойчивость. </w:t>
      </w:r>
    </w:p>
    <w:p w:rsidR="008E0722" w:rsidRDefault="008E0722" w:rsidP="00A073D5">
      <w:pPr>
        <w:pStyle w:val="ListParagraph"/>
        <w:numPr>
          <w:ilvl w:val="0"/>
          <w:numId w:val="38"/>
        </w:numPr>
        <w:spacing w:before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Лишь достаточно сложные системы способны к эволюции. Количество, многообразие связей между элементами системы определяют ее способность к самоорганизации. Недостаточно сложные системы под воздействием внешних сил разрушаются.</w:t>
      </w:r>
    </w:p>
    <w:p w:rsidR="008E0722" w:rsidRDefault="008E0722" w:rsidP="00A073D5">
      <w:pPr>
        <w:pStyle w:val="ListParagraph"/>
        <w:numPr>
          <w:ilvl w:val="0"/>
          <w:numId w:val="38"/>
        </w:numPr>
        <w:spacing w:before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Ключевой ингредиент механизма самоорганизации – случайные отклонения в поведении элементов системы (флуктуации). Оказывается, что случайные флуктуации элементов системы способны в совокупности определить системное поведение. Причем, чем дальше система от равновесного состояния, тем отчетливее корпоративный характер поведения ее элементов. Если в стабильных, адаптивных системах такие отклонения погашаются отрицательными обратными связями, то в эволюционирующих системах, они накапливаются, и при достаточной энергии из вне, способны расшатать систему, и через краткосрочное хаотическое состояние привести к ее новому порядку.</w:t>
      </w:r>
    </w:p>
    <w:p w:rsidR="008E0722" w:rsidRDefault="008E0722" w:rsidP="00A073D5">
      <w:pPr>
        <w:pStyle w:val="ListParagraph"/>
        <w:numPr>
          <w:ilvl w:val="0"/>
          <w:numId w:val="38"/>
        </w:numPr>
        <w:spacing w:before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Развивающаяся система должна быть открытой, что позволяет получать энергию из внешней среды, необходимую для самоорганизации и упорядоченности. Закрытая система, согласно второму началу термодинамики, приходит к состоянию с максимальной энтропией и прекращает эволюцию.</w:t>
      </w:r>
    </w:p>
    <w:p w:rsidR="008E0722" w:rsidRDefault="008E0722" w:rsidP="00A073D5">
      <w:pPr>
        <w:pStyle w:val="ListParagraph"/>
        <w:numPr>
          <w:ilvl w:val="0"/>
          <w:numId w:val="38"/>
        </w:numPr>
        <w:spacing w:before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Установление стабильного режима функционирования системы сопряжено с прохождением точек бифуркаций, или состояний, характеризуемых высокой степенью неопределенности выбора пути развития.</w:t>
      </w:r>
    </w:p>
    <w:p w:rsidR="008E0722" w:rsidRDefault="008E0722" w:rsidP="00A073D5">
      <w:pPr>
        <w:pStyle w:val="ListParagraph"/>
        <w:spacing w:before="0"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Одной из насущных задач анализа динамики социально-экономических </w:t>
      </w:r>
    </w:p>
    <w:p w:rsidR="008E0722" w:rsidRDefault="008E0722" w:rsidP="00A073D5">
      <w:pPr>
        <w:spacing w:after="0" w:line="360" w:lineRule="auto"/>
        <w:jc w:val="both"/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систем является оценка чувствительности к изменению значений параметров. Теоретическим базисом такого анализа являются положения теории бифуркаций. Основные идеи теории восходят к работам А. Пуанкаре, А.М. Ляпунова. Слово бифуркация означает «раздвоение» и употребляется как обозначение скачкообразного изменения, происходящего при плавном изменении значений параметра в системе</w:t>
      </w:r>
      <w:r w:rsidRPr="00A0391A">
        <w:rPr>
          <w:rFonts w:ascii="Times New Roman" w:hAnsi="Times New Roman"/>
          <w:sz w:val="28"/>
          <w:szCs w:val="28"/>
        </w:rPr>
        <w:t xml:space="preserve"> [</w:t>
      </w:r>
      <w:r w:rsidRPr="0016452D">
        <w:rPr>
          <w:rFonts w:ascii="Times New Roman" w:hAnsi="Times New Roman"/>
          <w:sz w:val="28"/>
          <w:szCs w:val="28"/>
        </w:rPr>
        <w:t>20</w:t>
      </w:r>
      <w:r w:rsidRPr="00A0391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Теория бифуркаций изучает изменение качественной картины разбиения фазового пространства системы при изменении значений ее параметров. Применительно к социально-экономическим системам изучение фазового пространства представляет значительный интерес, так как принятие решений необходимо учитывает различные сценарии развития условий внешней среды, вариацию режимов управления, а, следовательно, и реакцию системы на такие изменения. С позиции теории бифуркаций, хорошей системой следует признать ту, в которой удается достичь компромисса между грубостью и чувствительностью, реактивностью системы. </w:t>
      </w:r>
      <w:r w:rsidRPr="00A0391A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Грубая система — это такая, качественный характер движений которой не меняется при достаточно малом изменении параметров [</w:t>
      </w:r>
      <w:r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2</w:t>
      </w:r>
      <w:r w:rsidRPr="00E068AA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1</w:t>
      </w:r>
      <w:r w:rsidRPr="00A0391A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].</w:t>
      </w:r>
      <w:r>
        <w:rPr>
          <w:rFonts w:ascii="Arial" w:hAnsi="Arial" w:cs="Arial"/>
          <w:i/>
          <w:iCs/>
          <w:color w:val="252525"/>
          <w:sz w:val="23"/>
          <w:szCs w:val="23"/>
          <w:shd w:val="clear" w:color="auto" w:fill="FFFFFF"/>
        </w:rPr>
        <w:t xml:space="preserve"> </w:t>
      </w:r>
      <w:r w:rsidRPr="00A0391A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Грубость позволяет</w:t>
      </w:r>
      <w:r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 xml:space="preserve"> сохранить характер развития при незначительном изменении условий внешней среды, в то время как чувствительность отличает систему, способную своевременно реагировать на управляющие команды.</w:t>
      </w:r>
    </w:p>
    <w:p w:rsidR="008E0722" w:rsidRDefault="008E0722" w:rsidP="00A073D5">
      <w:pPr>
        <w:spacing w:after="0" w:line="360" w:lineRule="auto"/>
        <w:jc w:val="both"/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ab/>
        <w:t xml:space="preserve">Идея теории бифуркаций развиты в положениях теории катастроф. Катастрофой называется скачкообразное изменение, возникающее в виде внезапного ответа системы на плавное изменение внешних условий </w:t>
      </w:r>
      <w:r w:rsidRPr="000B6ABE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2</w:t>
      </w:r>
      <w:r w:rsidRPr="00E068AA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2</w:t>
      </w:r>
      <w:r w:rsidRPr="000B6ABE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. Вот несколько качественных выводов этой теории, применительно к нелинейно системе, находящейся в установившемся устойчивом состоянии, признанном плохим, поскольку в пределах видимости существует лучшее, более предпочтительное состояние системы:</w:t>
      </w:r>
    </w:p>
    <w:p w:rsidR="008E0722" w:rsidRDefault="008E0722" w:rsidP="00A073D5">
      <w:pPr>
        <w:pStyle w:val="ListParagraph"/>
        <w:numPr>
          <w:ilvl w:val="0"/>
          <w:numId w:val="40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Постепенное движение в сторону лучшего состояния сразу же приводит к ухудшению. Скорость ухудшения при равномерном движении в сторону лучшего состояния увеличивается. </w:t>
      </w:r>
    </w:p>
    <w:p w:rsidR="008E0722" w:rsidRDefault="008E0722" w:rsidP="00A073D5">
      <w:pPr>
        <w:pStyle w:val="ListParagraph"/>
        <w:numPr>
          <w:ilvl w:val="0"/>
          <w:numId w:val="40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мере движения от худшего состояния системы к лучшему, сопротивление системы ее изменению возрастает.</w:t>
      </w:r>
    </w:p>
    <w:p w:rsidR="008E0722" w:rsidRDefault="008E0722" w:rsidP="00A073D5">
      <w:pPr>
        <w:pStyle w:val="ListParagraph"/>
        <w:numPr>
          <w:ilvl w:val="0"/>
          <w:numId w:val="40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Максимум сопротивления достигается раньше, чем худшее состояние, через которое необходимо пройти для достижения лучшего состояния. После максимума сопротивления состояние системы продолжает ухудшаться.</w:t>
      </w:r>
    </w:p>
    <w:p w:rsidR="008E0722" w:rsidRDefault="008E0722" w:rsidP="00A073D5">
      <w:pPr>
        <w:pStyle w:val="ListParagraph"/>
        <w:numPr>
          <w:ilvl w:val="0"/>
          <w:numId w:val="40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мере приближения к самому плохому состоянию, сопротивление системы, с некоторого момента начинает уменьшаться, и как только самое плохое состояние пройдено, не только полностью исчезает сопротивление, но система начинает притягиваться к лучшему состоянию.</w:t>
      </w:r>
    </w:p>
    <w:p w:rsidR="008E0722" w:rsidRDefault="008E0722" w:rsidP="00A073D5">
      <w:pPr>
        <w:pStyle w:val="ListParagraph"/>
        <w:numPr>
          <w:ilvl w:val="0"/>
          <w:numId w:val="40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Величина ухудшения необходимого для перехода в лучшее состояние, сравнима с финальным улучшением и увеличивается по мере совершенствования системы. Слабо развитая система может перейти лучшее состояние почти без предварительного ухудшения, в то время как, развитая система, в силу своей устойчивости, на такое постепенное, непрерывное улучшение не способна.</w:t>
      </w:r>
    </w:p>
    <w:p w:rsidR="008E0722" w:rsidRDefault="008E0722" w:rsidP="00A073D5">
      <w:pPr>
        <w:pStyle w:val="ListParagraph"/>
        <w:numPr>
          <w:ilvl w:val="0"/>
          <w:numId w:val="40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систему удается сразу, скачком, а не непрерывно, из устойчивого плохого состояния достаточно близко к хорошему, то дальше она сама собой будет эволюционировать в сторону хорошего состояния.</w:t>
      </w:r>
    </w:p>
    <w:p w:rsidR="008E0722" w:rsidRDefault="008E0722" w:rsidP="00A073D5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7440BD">
        <w:rPr>
          <w:rFonts w:ascii="Times New Roman" w:hAnsi="Times New Roman"/>
          <w:sz w:val="28"/>
          <w:szCs w:val="28"/>
        </w:rPr>
        <w:t>Графическ</w:t>
      </w:r>
      <w:r>
        <w:rPr>
          <w:rFonts w:ascii="Times New Roman" w:hAnsi="Times New Roman"/>
          <w:sz w:val="28"/>
          <w:szCs w:val="28"/>
        </w:rPr>
        <w:t>ой</w:t>
      </w:r>
      <w:r w:rsidRPr="007440BD">
        <w:rPr>
          <w:rFonts w:ascii="Times New Roman" w:hAnsi="Times New Roman"/>
          <w:sz w:val="28"/>
          <w:szCs w:val="28"/>
        </w:rPr>
        <w:t xml:space="preserve"> иллюстраци</w:t>
      </w:r>
      <w:r>
        <w:rPr>
          <w:rFonts w:ascii="Times New Roman" w:hAnsi="Times New Roman"/>
          <w:sz w:val="28"/>
          <w:szCs w:val="28"/>
        </w:rPr>
        <w:t>ей приведенных положений, может служить динамика</w:t>
      </w:r>
      <w:r w:rsidRPr="007440BD">
        <w:rPr>
          <w:rFonts w:ascii="Times New Roman" w:hAnsi="Times New Roman"/>
          <w:sz w:val="28"/>
          <w:szCs w:val="28"/>
        </w:rPr>
        <w:t xml:space="preserve"> перестройки </w:t>
      </w:r>
      <w:r>
        <w:rPr>
          <w:rFonts w:ascii="Times New Roman" w:hAnsi="Times New Roman"/>
          <w:sz w:val="28"/>
          <w:szCs w:val="28"/>
        </w:rPr>
        <w:t xml:space="preserve">хозяйственной </w:t>
      </w:r>
      <w:r w:rsidRPr="007440BD">
        <w:rPr>
          <w:rFonts w:ascii="Times New Roman" w:hAnsi="Times New Roman"/>
          <w:sz w:val="28"/>
          <w:szCs w:val="28"/>
        </w:rPr>
        <w:t xml:space="preserve">системы </w:t>
      </w:r>
      <w:r>
        <w:rPr>
          <w:rFonts w:ascii="Times New Roman" w:hAnsi="Times New Roman"/>
          <w:sz w:val="28"/>
          <w:szCs w:val="28"/>
        </w:rPr>
        <w:t xml:space="preserve">России, </w:t>
      </w:r>
      <w:r w:rsidRPr="007440BD">
        <w:rPr>
          <w:rFonts w:ascii="Times New Roman" w:hAnsi="Times New Roman"/>
          <w:sz w:val="28"/>
          <w:szCs w:val="28"/>
        </w:rPr>
        <w:t>представленн</w:t>
      </w:r>
      <w:r>
        <w:rPr>
          <w:rFonts w:ascii="Times New Roman" w:hAnsi="Times New Roman"/>
          <w:sz w:val="28"/>
          <w:szCs w:val="28"/>
        </w:rPr>
        <w:t>ая</w:t>
      </w:r>
      <w:r w:rsidRPr="007440BD">
        <w:rPr>
          <w:rFonts w:ascii="Times New Roman" w:hAnsi="Times New Roman"/>
          <w:sz w:val="28"/>
          <w:szCs w:val="28"/>
        </w:rPr>
        <w:t xml:space="preserve"> на рисунке</w:t>
      </w:r>
      <w:r>
        <w:rPr>
          <w:rFonts w:ascii="Times New Roman" w:hAnsi="Times New Roman"/>
          <w:sz w:val="28"/>
          <w:szCs w:val="28"/>
        </w:rPr>
        <w:t>1.</w:t>
      </w:r>
    </w:p>
    <w:p w:rsidR="008E0722" w:rsidRPr="007440BD" w:rsidRDefault="008E0722" w:rsidP="00A073D5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</w:rPr>
      </w:pPr>
      <w:r w:rsidRPr="00C927B0">
        <w:rPr>
          <w:noProof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04" o:spid="_x0000_i1025" type="#_x0000_t75" style="width:300pt;height:153pt;visibility:visible">
            <v:imagedata r:id="rId7" o:title=""/>
          </v:shape>
        </w:pict>
      </w:r>
    </w:p>
    <w:p w:rsidR="008E0722" w:rsidRPr="00C84E12" w:rsidRDefault="008E0722" w:rsidP="00A073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1. Переход российской экономики к лучшему состоянию </w:t>
      </w:r>
      <w:r w:rsidRPr="00C84E1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046E84">
        <w:rPr>
          <w:rFonts w:ascii="Times New Roman" w:hAnsi="Times New Roman"/>
          <w:sz w:val="28"/>
          <w:szCs w:val="28"/>
        </w:rPr>
        <w:t>3</w:t>
      </w:r>
      <w:r w:rsidRPr="00C84E12">
        <w:rPr>
          <w:rFonts w:ascii="Times New Roman" w:hAnsi="Times New Roman"/>
          <w:sz w:val="28"/>
          <w:szCs w:val="28"/>
        </w:rPr>
        <w:t>]</w:t>
      </w:r>
    </w:p>
    <w:p w:rsidR="008E0722" w:rsidRDefault="008E0722" w:rsidP="00A073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Теория нелинейных динамических процессов постулирует общие принципы развития сложных систем. Их применимость к социально-экономическим системам обусловлена тем, что:</w:t>
      </w:r>
    </w:p>
    <w:p w:rsidR="008E0722" w:rsidRDefault="008E0722" w:rsidP="00A073D5">
      <w:pPr>
        <w:pStyle w:val="ListParagraph"/>
        <w:numPr>
          <w:ilvl w:val="0"/>
          <w:numId w:val="41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Такие системы являются сложными, то есть не сводятся редукцией к сумме их компонент;</w:t>
      </w:r>
    </w:p>
    <w:p w:rsidR="008E0722" w:rsidRDefault="008E0722" w:rsidP="00A073D5">
      <w:pPr>
        <w:pStyle w:val="ListParagraph"/>
        <w:numPr>
          <w:ilvl w:val="0"/>
          <w:numId w:val="41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Социально-экономические процессы устойчиво несбалансированны. Среди дисбалансов: неравновесие рынка товаров, которое является следствием задержки предложения по отношению к спросу, дисбаланс между потребностями экономики и предложением факторов производства, дефицит регионального бюджета, экологическое неравновесие, дисбаланс между экономикой и социальной сферой региона,  актуальные противоречия политического, межнационального характера и др;</w:t>
      </w:r>
    </w:p>
    <w:p w:rsidR="008E0722" w:rsidRDefault="008E0722" w:rsidP="00A073D5">
      <w:pPr>
        <w:pStyle w:val="ListParagraph"/>
        <w:numPr>
          <w:ilvl w:val="0"/>
          <w:numId w:val="41"/>
        </w:numPr>
        <w:spacing w:before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Социально-экономическая система открыта по отношению к системам макроуровня. Регион получает и передает внешней среде товары, факторы производства, информацию, природные, энергетические ресурсы.</w:t>
      </w:r>
    </w:p>
    <w:p w:rsidR="008E0722" w:rsidRDefault="008E0722" w:rsidP="00A073D5">
      <w:pPr>
        <w:pStyle w:val="ListParagraph"/>
        <w:spacing w:before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Отмечая успехи в разработке теоретических основ нелинейных динамических процессов, возрастающее понимание их фундаментального значения в изучении регионального развития следует, однако, признать значительный потенциал соответствующих прикладных разработок. Практика управления убедительно свидетельствует о насущной необходимости совершенствования методологии, прикладного инструментария исследования системных процессов [2</w:t>
      </w:r>
      <w:r w:rsidRPr="00E068AA">
        <w:rPr>
          <w:rFonts w:ascii="Times New Roman" w:hAnsi="Times New Roman"/>
          <w:sz w:val="28"/>
          <w:szCs w:val="28"/>
        </w:rPr>
        <w:t>4</w:t>
      </w:r>
      <w:r w:rsidRPr="002A030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8E0722" w:rsidRDefault="008E0722" w:rsidP="00A073D5">
      <w:pPr>
        <w:pStyle w:val="ListParagraph"/>
        <w:spacing w:before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Органы регионального управления находят широкое применение возможностям моделирования, в форме схем, графиков, уравнений, при планировании производственной деятельности, распределении бюджетных средств, формулировании регламентов взаимодействия органов власти и др. На стратегическом уровне управления применяется мысленное моделирование, обыгрывание ситуаций, как правило, в рамках узкого контекста. Пожалуй, общими чертами, применяемых средств анализа, являются ориентация на статичные свойства объекта, краткосрочный горизонт исследования, ограниченность проблемы, несовместимая с системным, динамическим характером современных задач науки. </w:t>
      </w:r>
    </w:p>
    <w:p w:rsidR="008E0722" w:rsidRDefault="008E0722" w:rsidP="00A073D5">
      <w:pPr>
        <w:pStyle w:val="ListParagraph"/>
        <w:spacing w:before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Совершенно очевидным становится противоречие между аналитическими, прогностическими возможностями органов регионального управления и содержанием региональной проблематики. Острота противоречия зависит от ряда факторов, имеющих объективный или субъективный характер.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Естественным ограничением сферы применения моделирования выступает либо несоответствие существующих моделей отмеченному выше неравновесному, нелинейному характеру развития, либо их излишняя теоретизированность, исключающая получение надежных результатов, имеющих практическое значение. В этой связи, как не вспомнить слова В. Леонтьева, о том, что росту недоверия к результатам анализа, полученных на основе моделей, служит «пренебрежение академической экономической наукой упорным, эмпирическим, систематическим анализом и увлечение изящными, но пустыми, формальными, главным образом математическими, теоретическими упражнениями». Ситуация усугубляется тем, что проверка адекватности моделей часто носит формальный характер, и как результат, большое количество работ в области математического моделирования региональных систем, и исключительные примеры использования результатов исследований в ежедневной деятельности органов государственного управления.</w:t>
      </w:r>
    </w:p>
    <w:p w:rsidR="008E0722" w:rsidRDefault="008E0722" w:rsidP="00A073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Указанные противоречия обуславливают необходимость совершенствования методологии исследования региональных процессов. Среди направлений такого улучшения, наиболее перспективными представляются:</w:t>
      </w:r>
    </w:p>
    <w:p w:rsidR="008E0722" w:rsidRDefault="008E0722" w:rsidP="00A073D5">
      <w:pPr>
        <w:pStyle w:val="ListParagraph"/>
        <w:numPr>
          <w:ilvl w:val="0"/>
          <w:numId w:val="42"/>
        </w:numPr>
        <w:spacing w:before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региона как сложной, развивающейся системы, поведение которой формируется в результате взаимодействия ее элементов, самой системы и внешней среды. При этом, характер эволюции социально-экономических процессов, формируется</w:t>
      </w:r>
      <w:r w:rsidRPr="00FA4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обратными информационными связями. Положительные обратные связи инициируют и развивают изменения в системе, а отрицательные обратные связи обеспечивают ее устойчивость.</w:t>
      </w:r>
    </w:p>
    <w:p w:rsidR="008E0722" w:rsidRDefault="008E0722" w:rsidP="00A073D5">
      <w:pPr>
        <w:pStyle w:val="ListParagraph"/>
        <w:numPr>
          <w:ilvl w:val="0"/>
          <w:numId w:val="42"/>
        </w:numPr>
        <w:spacing w:before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исследования с позиции междисциплинарного подхода.</w:t>
      </w:r>
      <w:r w:rsidRPr="004110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Доминирующая точка зрения о достаточности для моделирования социально-экономических процессов определенного уровня математической подготовки, трансформируется в представления о необходимости коллективной исследовательской работы, объединяющей усилия специалистов разных областей знаний, сфер производства и управления. Опыт моделирования сложных систем убедительно свидетельствует о возможности и необходимости интеграции знаний в области психологии, менеджмента, организационного развития.</w:t>
      </w:r>
    </w:p>
    <w:p w:rsidR="008E0722" w:rsidRDefault="008E0722" w:rsidP="00A073D5">
      <w:pPr>
        <w:pStyle w:val="ListParagraph"/>
        <w:numPr>
          <w:ilvl w:val="0"/>
          <w:numId w:val="42"/>
        </w:numPr>
        <w:spacing w:before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моделей адекватных сложному, нелинейному характеру социально-экономических процессов, на основе возрастающих возможностей вычислительной техники, обеспечивающих решение задач анализа, прогнозирования регионального развития. Как представляется, решению этой задачи будет способствовать большая практическая ориентация исследований, а высокой оценкой качества научных разработок может стать их применение в повседневной работе органов регионального управления.</w:t>
      </w:r>
    </w:p>
    <w:p w:rsidR="008E0722" w:rsidRDefault="008E0722" w:rsidP="00A073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Среди причин препятствующих практической реализации возрастающих возможностей моделирования можно отметить и субъективные факторы: устойчивый линейный тип мышления, ориентация на краткосрочные</w:t>
      </w:r>
      <w:r w:rsidRPr="005806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задачи, которые игнорируют пропорции региональных воспроизводственных циклов, тенденции развития внешней среды. Представляется, что курс на постепенное повышение уровня требований к региональному управлению, обострение конкуренции на межрегиональных рынках товаров, факторов производства будет способствовать ориентации на глубокий, систематический анализ региональных процессов,</w:t>
      </w:r>
      <w:r w:rsidRPr="00AA5B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на этой основе развитию ментальной модели регионального управления. </w:t>
      </w:r>
    </w:p>
    <w:p w:rsidR="008E0722" w:rsidRDefault="008E0722" w:rsidP="00A073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Критический анализ возможностей прикладного инструментария науки, относительно сложных, динамических проблем регионального развития позволяет обосновать вывод о необходимости совершенствования методологического обеспечения исследований социально-экономических процессов с позиции системного подхода, на основе объединения усилий научных работников, специалистов в сфере государственного управления, информационных технологий, в направлении поиска алгоритмов устойчивого общественного прогресса.</w:t>
      </w:r>
    </w:p>
    <w:p w:rsidR="008E0722" w:rsidRDefault="008E0722" w:rsidP="00A073D5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71899">
        <w:rPr>
          <w:rFonts w:ascii="Times New Roman" w:hAnsi="Times New Roman"/>
          <w:i/>
          <w:sz w:val="28"/>
          <w:szCs w:val="28"/>
        </w:rPr>
        <w:t>Заключение</w:t>
      </w:r>
    </w:p>
    <w:p w:rsidR="008E0722" w:rsidRDefault="008E0722" w:rsidP="00A073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12B">
        <w:rPr>
          <w:rFonts w:ascii="Times New Roman" w:hAnsi="Times New Roman"/>
          <w:sz w:val="28"/>
          <w:szCs w:val="28"/>
        </w:rPr>
        <w:t xml:space="preserve">Возрастающая роль регионов в решении задач модернизации России, на фоне их значительной дифференциации, </w:t>
      </w:r>
      <w:r>
        <w:rPr>
          <w:rFonts w:ascii="Times New Roman" w:hAnsi="Times New Roman"/>
          <w:sz w:val="28"/>
          <w:szCs w:val="28"/>
        </w:rPr>
        <w:t>хронической финансовой ресурсной, трудовой несбалансированности определяет актуальность поиска алгоритмов устойчивого прогресса. Не последнюю роль в решении такой задачи призваны сыграть модели, отражающие структуру региональных воспроизводственных циклов, и таким образом развивающие представление о связи структуры региона и его системного поведения.</w:t>
      </w:r>
    </w:p>
    <w:p w:rsidR="008E0722" w:rsidRPr="00277850" w:rsidRDefault="008E0722" w:rsidP="00A073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указанной задачи может быть найдено в сформулированных в статье направлениях совершенствования математического аппарата исследования региональных процессов. </w:t>
      </w:r>
    </w:p>
    <w:p w:rsidR="008E0722" w:rsidRPr="00277850" w:rsidRDefault="008E0722" w:rsidP="00A073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722" w:rsidRDefault="008E0722" w:rsidP="00A073D5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24B6A">
        <w:rPr>
          <w:rFonts w:ascii="Times New Roman" w:hAnsi="Times New Roman"/>
          <w:b/>
          <w:sz w:val="24"/>
          <w:szCs w:val="24"/>
        </w:rPr>
        <w:t>Литература</w:t>
      </w:r>
    </w:p>
    <w:p w:rsidR="008E0722" w:rsidRPr="00277850" w:rsidRDefault="008E0722" w:rsidP="00A073D5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E0722" w:rsidRPr="00424B6A" w:rsidRDefault="008E0722" w:rsidP="00A073D5">
      <w:pPr>
        <w:pStyle w:val="ListParagraph"/>
        <w:numPr>
          <w:ilvl w:val="0"/>
          <w:numId w:val="17"/>
        </w:numPr>
        <w:tabs>
          <w:tab w:val="left" w:pos="900"/>
        </w:tabs>
        <w:spacing w:before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24B6A">
        <w:rPr>
          <w:rFonts w:ascii="Times New Roman" w:hAnsi="Times New Roman"/>
          <w:color w:val="000000"/>
          <w:sz w:val="24"/>
          <w:szCs w:val="24"/>
        </w:rPr>
        <w:t>Моделирование // </w:t>
      </w:r>
      <w:hyperlink r:id="rId8" w:anchor=".D0.A2.D1.80.D0.B5.D1.82.D1.8C.D0.B5_.D0.B8.D0.B7.D0.B4.D0.B0.D0.BD.D0.B8.D0.B5" w:tooltip="Большая советская энциклопедия" w:history="1">
        <w:r w:rsidRPr="00424B6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Большая советская энциклопедия</w:t>
        </w:r>
      </w:hyperlink>
      <w:r w:rsidRPr="00424B6A">
        <w:rPr>
          <w:rFonts w:ascii="Times New Roman" w:hAnsi="Times New Roman"/>
          <w:color w:val="000000"/>
          <w:sz w:val="24"/>
          <w:szCs w:val="24"/>
        </w:rPr>
        <w:t> : в 30 т. / гл. ред. </w:t>
      </w:r>
      <w:hyperlink r:id="rId9" w:tooltip="Прохоров, Александр Михайлович" w:history="1">
        <w:r w:rsidRPr="00424B6A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А. М. Прохоров</w:t>
        </w:r>
      </w:hyperlink>
      <w:r w:rsidRPr="00424B6A">
        <w:rPr>
          <w:rFonts w:ascii="Times New Roman" w:hAnsi="Times New Roman"/>
          <w:color w:val="000000"/>
          <w:sz w:val="24"/>
          <w:szCs w:val="24"/>
        </w:rPr>
        <w:t>. — 3-е изд. — М. : Советская энциклопедия, 1974. — Т. 16 : Мезия — Моршанск. — 592 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 xml:space="preserve"> Уемов А. И. Логические основы метода моделирования. – М.: Мысль, 1971. – 311с.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>Моисеев Н.Н. Системный анализ: математические методы. - М.: Наука, 1983. – 426с.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>Могилевский В.Д. Методология систем. - М.: Экономика, 1999. – 268с.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 xml:space="preserve"> Нейлор Н. Машинные имитационные эксперименты с моделями экономических систем: пер. с англ. - М.: Мир, 1975. – 336с.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 xml:space="preserve"> </w:t>
      </w:r>
      <w:r w:rsidRPr="00424B6A">
        <w:rPr>
          <w:lang w:val="en-US"/>
        </w:rPr>
        <w:t xml:space="preserve">Ruth M., Hannon B., 1997. </w:t>
      </w:r>
      <w:r w:rsidRPr="00424B6A">
        <w:rPr>
          <w:iCs/>
          <w:lang w:val="en-US"/>
        </w:rPr>
        <w:t>Modeling dynamic economic systems</w:t>
      </w:r>
      <w:r w:rsidRPr="00424B6A">
        <w:rPr>
          <w:lang w:val="en-US"/>
        </w:rPr>
        <w:t xml:space="preserve">. </w:t>
      </w:r>
      <w:r w:rsidRPr="00424B6A">
        <w:t>Springer Verlag, New York.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 xml:space="preserve"> </w:t>
      </w:r>
      <w:r w:rsidRPr="00424B6A">
        <w:rPr>
          <w:iCs/>
          <w:shd w:val="clear" w:color="auto" w:fill="FFFFFF"/>
        </w:rPr>
        <w:t>Конт О.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>Общий обзор позитивизма / Перевод с французского И.  А. Шапиро. Под ред. Э. Л. Радлова. — Изд. 2-е. —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>М.:</w:t>
      </w:r>
      <w:r w:rsidRPr="00424B6A">
        <w:rPr>
          <w:rStyle w:val="apple-converted-space"/>
          <w:shd w:val="clear" w:color="auto" w:fill="FFFFFF"/>
        </w:rPr>
        <w:t> </w:t>
      </w:r>
      <w:hyperlink r:id="rId10" w:tooltip="Эдиториал УРСС" w:history="1">
        <w:r w:rsidRPr="00424B6A">
          <w:rPr>
            <w:rStyle w:val="Hyperlink"/>
            <w:color w:val="auto"/>
            <w:u w:val="none"/>
            <w:shd w:val="clear" w:color="auto" w:fill="FFFFFF"/>
          </w:rPr>
          <w:t>Книжный дом «ЛИБРОКОМ»</w:t>
        </w:r>
      </w:hyperlink>
      <w:r w:rsidRPr="00424B6A">
        <w:rPr>
          <w:shd w:val="clear" w:color="auto" w:fill="FFFFFF"/>
        </w:rPr>
        <w:t>, 2011. — 296 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  <w:rPr>
          <w:lang w:val="en-US"/>
        </w:rPr>
      </w:pPr>
      <w:r w:rsidRPr="00424B6A">
        <w:t xml:space="preserve"> </w:t>
      </w:r>
      <w:r w:rsidRPr="00424B6A">
        <w:rPr>
          <w:lang w:val="en-US"/>
        </w:rPr>
        <w:t>Arrow K. J, Social Choice and Individual Values, London, 1951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rPr>
          <w:lang w:val="en-US"/>
        </w:rPr>
        <w:t xml:space="preserve"> </w:t>
      </w:r>
      <w:r w:rsidRPr="00424B6A">
        <w:rPr>
          <w:iCs/>
          <w:lang w:val="en-US"/>
        </w:rPr>
        <w:t xml:space="preserve"> </w:t>
      </w:r>
      <w:r w:rsidRPr="00424B6A">
        <w:rPr>
          <w:iCs/>
        </w:rPr>
        <w:t>Кенэ Ф.</w:t>
      </w:r>
      <w:r w:rsidRPr="00424B6A">
        <w:t> Избранные экономические произведения. — М.: Соцэкгиз, 1960.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 xml:space="preserve"> </w:t>
      </w:r>
      <w:hyperlink r:id="rId11" w:tooltip="Аникин, Андрей Владимирович" w:history="1">
        <w:r w:rsidRPr="00424B6A">
          <w:rPr>
            <w:rStyle w:val="Hyperlink"/>
            <w:iCs/>
            <w:color w:val="auto"/>
            <w:u w:val="none"/>
            <w:shd w:val="clear" w:color="auto" w:fill="FFFFFF"/>
          </w:rPr>
          <w:t>Аникин А. В.</w:t>
        </w:r>
      </w:hyperlink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>Глава шестнадцатая. «Школа Сэя» и вклад Курно // Юность науки: Жизнь и идеи мыслителей-экономистов до Маркса. — 2-е изд. —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>М.:</w:t>
      </w:r>
      <w:r w:rsidRPr="00424B6A">
        <w:rPr>
          <w:rStyle w:val="apple-converted-space"/>
          <w:shd w:val="clear" w:color="auto" w:fill="FFFFFF"/>
        </w:rPr>
        <w:t> </w:t>
      </w:r>
      <w:hyperlink r:id="rId12" w:tooltip="Политиздат" w:history="1">
        <w:r w:rsidRPr="00424B6A">
          <w:rPr>
            <w:rStyle w:val="Hyperlink"/>
            <w:color w:val="auto"/>
            <w:u w:val="none"/>
            <w:shd w:val="clear" w:color="auto" w:fill="FFFFFF"/>
          </w:rPr>
          <w:t>Политиздат</w:t>
        </w:r>
      </w:hyperlink>
      <w:r w:rsidRPr="00424B6A">
        <w:rPr>
          <w:shd w:val="clear" w:color="auto" w:fill="FFFFFF"/>
        </w:rPr>
        <w:t>, 1975. — 384 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 xml:space="preserve"> </w:t>
      </w:r>
      <w:hyperlink r:id="rId13" w:history="1">
        <w:r w:rsidRPr="00424B6A">
          <w:rPr>
            <w:rStyle w:val="Hyperlink"/>
            <w:color w:val="auto"/>
            <w:u w:val="none"/>
          </w:rPr>
          <w:t>Латинско-русский и русско-латинский словарь крылатых слов и выражений</w:t>
        </w:r>
      </w:hyperlink>
      <w:r w:rsidRPr="00424B6A">
        <w:t xml:space="preserve">: [Электронный ресурс]. </w:t>
      </w:r>
      <w:hyperlink r:id="rId14" w:history="1">
        <w:r w:rsidRPr="00424B6A">
          <w:rPr>
            <w:rStyle w:val="Hyperlink"/>
            <w:color w:val="auto"/>
            <w:u w:val="none"/>
            <w:lang w:val="en-US"/>
          </w:rPr>
          <w:t>URL</w:t>
        </w:r>
        <w:r w:rsidRPr="00424B6A">
          <w:rPr>
            <w:rStyle w:val="Hyperlink"/>
            <w:color w:val="auto"/>
            <w:u w:val="none"/>
          </w:rPr>
          <w:t>:</w:t>
        </w:r>
        <w:r w:rsidRPr="00424B6A">
          <w:rPr>
            <w:rStyle w:val="Hyperlink"/>
            <w:color w:val="auto"/>
            <w:u w:val="none"/>
            <w:lang w:val="en-US"/>
          </w:rPr>
          <w:t>http</w:t>
        </w:r>
      </w:hyperlink>
      <w:r w:rsidRPr="00424B6A">
        <w:t xml:space="preserve">: </w:t>
      </w:r>
      <w:r w:rsidRPr="00424B6A">
        <w:rPr>
          <w:lang w:val="en-US"/>
        </w:rPr>
        <w:t>http</w:t>
      </w:r>
      <w:r w:rsidRPr="00424B6A">
        <w:t>:/</w:t>
      </w:r>
      <w:r w:rsidRPr="00424B6A">
        <w:rPr>
          <w:lang w:val="en-US"/>
        </w:rPr>
        <w:t>dic</w:t>
      </w:r>
      <w:r w:rsidRPr="00424B6A">
        <w:t>.</w:t>
      </w:r>
      <w:r w:rsidRPr="00424B6A">
        <w:rPr>
          <w:lang w:val="en-US"/>
        </w:rPr>
        <w:t>academic</w:t>
      </w:r>
      <w:r w:rsidRPr="00424B6A">
        <w:t>.</w:t>
      </w:r>
      <w:r w:rsidRPr="00424B6A">
        <w:rPr>
          <w:lang w:val="en-US"/>
        </w:rPr>
        <w:t>ru</w:t>
      </w:r>
      <w:r w:rsidRPr="00424B6A">
        <w:t>/</w:t>
      </w:r>
      <w:r w:rsidRPr="00424B6A">
        <w:rPr>
          <w:lang w:val="en-US"/>
        </w:rPr>
        <w:t>dic</w:t>
      </w:r>
      <w:r w:rsidRPr="00424B6A">
        <w:t>.</w:t>
      </w:r>
      <w:r w:rsidRPr="00424B6A">
        <w:rPr>
          <w:lang w:val="en-US"/>
        </w:rPr>
        <w:t>nsf</w:t>
      </w:r>
      <w:r w:rsidRPr="00424B6A">
        <w:t>/</w:t>
      </w:r>
      <w:r w:rsidRPr="00424B6A">
        <w:rPr>
          <w:lang w:val="en-US"/>
        </w:rPr>
        <w:t>latin</w:t>
      </w:r>
      <w:r w:rsidRPr="00424B6A">
        <w:t>_</w:t>
      </w:r>
      <w:r w:rsidRPr="00424B6A">
        <w:rPr>
          <w:lang w:val="en-US"/>
        </w:rPr>
        <w:t>proverbs</w:t>
      </w:r>
      <w:r w:rsidRPr="00424B6A">
        <w:t>/5031.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>Камалян Р.З., Камалян З.Р., Мнацаканян А.Р. Математические модели управления процессами региональной экономики // Сфера услуг: инновации и качество. – 2012. – №8. – С.60-65.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  <w:rPr>
          <w:rStyle w:val="citation"/>
        </w:rPr>
      </w:pPr>
      <w:r w:rsidRPr="00424B6A">
        <w:t xml:space="preserve"> 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rStyle w:val="citation"/>
          <w:iCs/>
          <w:shd w:val="clear" w:color="auto" w:fill="FFFFFF"/>
        </w:rPr>
        <w:t>Лоскутов А. Ю., Михайлов А. С.</w:t>
      </w:r>
      <w:r w:rsidRPr="00424B6A">
        <w:rPr>
          <w:rStyle w:val="apple-converted-space"/>
          <w:shd w:val="clear" w:color="auto" w:fill="FFFFFF"/>
        </w:rPr>
        <w:t> </w:t>
      </w:r>
      <w:hyperlink r:id="rId15" w:history="1">
        <w:r w:rsidRPr="00424B6A">
          <w:rPr>
            <w:rStyle w:val="Hyperlink"/>
            <w:color w:val="auto"/>
            <w:u w:val="none"/>
            <w:shd w:val="clear" w:color="auto" w:fill="FFFFFF"/>
          </w:rPr>
          <w:t>Основы теории сложных систем</w:t>
        </w:r>
      </w:hyperlink>
      <w:r w:rsidRPr="00424B6A">
        <w:rPr>
          <w:rStyle w:val="citation"/>
          <w:shd w:val="clear" w:color="auto" w:fill="FFFFFF"/>
        </w:rPr>
        <w:t>. -Ижевск: Институт компьютерных исследований, 2007. — 620 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rPr>
          <w:rStyle w:val="citation"/>
          <w:shd w:val="clear" w:color="auto" w:fill="FFFFFF"/>
        </w:rPr>
        <w:t xml:space="preserve"> </w:t>
      </w:r>
      <w:r w:rsidRPr="00424B6A">
        <w:rPr>
          <w:shd w:val="clear" w:color="auto" w:fill="FFFFFF"/>
        </w:rPr>
        <w:t>Хакен Г. Синергетика. - М.: Мир, 1980. – 403с.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 xml:space="preserve"> </w:t>
      </w:r>
      <w:r w:rsidRPr="00424B6A">
        <w:rPr>
          <w:shd w:val="clear" w:color="auto" w:fill="FFFFFF"/>
        </w:rPr>
        <w:t>Николис Г., Пригожин И. Самоорганизация в неравновесных системах: От диссипативных структур к упорядоченности через флуктуации. М.: Мир, 1979. — 512 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rPr>
          <w:shd w:val="clear" w:color="auto" w:fill="FFFFFF"/>
        </w:rPr>
        <w:t xml:space="preserve"> Пригожин И., Стенгерс И. Порядок из хаоса: Новый диалог человека с природой. М.: Прогресс, 1986.</w:t>
      </w:r>
    </w:p>
    <w:p w:rsidR="008E0722" w:rsidRPr="00424B6A" w:rsidRDefault="008E0722" w:rsidP="00A073D5">
      <w:pPr>
        <w:numPr>
          <w:ilvl w:val="0"/>
          <w:numId w:val="17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24B6A">
        <w:rPr>
          <w:rStyle w:val="reference-text"/>
          <w:rFonts w:ascii="Times New Roman" w:hAnsi="Times New Roman"/>
          <w:sz w:val="24"/>
          <w:szCs w:val="24"/>
        </w:rPr>
        <w:t>Пригожин И. От существующего к возникающему: Время и сложность в физических науках. М.: Наука, 1985.</w:t>
      </w:r>
    </w:p>
    <w:p w:rsidR="008E0722" w:rsidRPr="00424B6A" w:rsidRDefault="008E0722" w:rsidP="00A073D5">
      <w:pPr>
        <w:numPr>
          <w:ilvl w:val="0"/>
          <w:numId w:val="17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24B6A">
        <w:rPr>
          <w:rStyle w:val="reference-text"/>
          <w:rFonts w:ascii="Times New Roman" w:hAnsi="Times New Roman"/>
          <w:sz w:val="24"/>
          <w:szCs w:val="24"/>
        </w:rPr>
        <w:t>Николис Г., Пригожин И. Познание сложного. — М.: Мир, 1990.</w:t>
      </w:r>
    </w:p>
    <w:p w:rsidR="008E0722" w:rsidRPr="00424B6A" w:rsidRDefault="008E0722" w:rsidP="00A073D5">
      <w:pPr>
        <w:numPr>
          <w:ilvl w:val="0"/>
          <w:numId w:val="17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24B6A">
        <w:rPr>
          <w:rStyle w:val="reference-text"/>
          <w:rFonts w:ascii="Times New Roman" w:hAnsi="Times New Roman"/>
          <w:sz w:val="24"/>
          <w:szCs w:val="24"/>
        </w:rPr>
        <w:t>Хакен Г. Информация и самоорганизация: Макроскопический подход к сложным системам. М.: Мир, 1991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 xml:space="preserve"> </w:t>
      </w:r>
      <w:r w:rsidRPr="00424B6A">
        <w:rPr>
          <w:iCs/>
          <w:shd w:val="clear" w:color="auto" w:fill="FFFFFF"/>
        </w:rPr>
        <w:t>Арнольд В. И., Афраймович В. С., Ильяшенко Ю. С., Шильников Л. П..</w:t>
      </w:r>
      <w:r w:rsidRPr="00424B6A">
        <w:rPr>
          <w:shd w:val="clear" w:color="auto" w:fill="FFFFFF"/>
        </w:rPr>
        <w:t> </w:t>
      </w:r>
      <w:hyperlink r:id="rId16" w:history="1">
        <w:r w:rsidRPr="00424B6A">
          <w:rPr>
            <w:rStyle w:val="Hyperlink"/>
            <w:color w:val="auto"/>
            <w:u w:val="none"/>
            <w:shd w:val="clear" w:color="auto" w:fill="FFFFFF"/>
          </w:rPr>
          <w:t>Теория бифуркаций</w:t>
        </w:r>
      </w:hyperlink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>//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iCs/>
          <w:shd w:val="clear" w:color="auto" w:fill="FFFFFF"/>
        </w:rPr>
        <w:t>Динамические системы—5. Итоги науки и техники. Современные проблемы математики. Фундаментальные направления</w:t>
      </w:r>
      <w:r w:rsidRPr="00424B6A">
        <w:rPr>
          <w:shd w:val="clear" w:color="auto" w:fill="FFFFFF"/>
        </w:rPr>
        <w:t>. —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>М.:</w:t>
      </w:r>
      <w:r w:rsidRPr="00424B6A">
        <w:rPr>
          <w:rStyle w:val="apple-converted-space"/>
          <w:shd w:val="clear" w:color="auto" w:fill="FFFFFF"/>
        </w:rPr>
        <w:t> </w:t>
      </w:r>
      <w:hyperlink r:id="rId17" w:tooltip="ВИНИТИ" w:history="1">
        <w:r w:rsidRPr="00424B6A">
          <w:rPr>
            <w:rStyle w:val="Hyperlink"/>
            <w:color w:val="auto"/>
            <w:u w:val="none"/>
            <w:shd w:val="clear" w:color="auto" w:fill="FFFFFF"/>
          </w:rPr>
          <w:t>ВИНИТИ</w:t>
        </w:r>
      </w:hyperlink>
      <w:r w:rsidRPr="00424B6A">
        <w:rPr>
          <w:shd w:val="clear" w:color="auto" w:fill="FFFFFF"/>
        </w:rPr>
        <w:t>, 1986. — Т. 5. — С. 5—218.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rPr>
          <w:iCs/>
          <w:shd w:val="clear" w:color="auto" w:fill="FFFFFF"/>
        </w:rPr>
        <w:t>Андронов А. А.,</w:t>
      </w:r>
      <w:r w:rsidRPr="00424B6A">
        <w:rPr>
          <w:rStyle w:val="apple-converted-space"/>
          <w:iCs/>
          <w:shd w:val="clear" w:color="auto" w:fill="FFFFFF"/>
        </w:rPr>
        <w:t> </w:t>
      </w:r>
      <w:r w:rsidRPr="00424B6A">
        <w:rPr>
          <w:iCs/>
          <w:shd w:val="clear" w:color="auto" w:fill="FFFFFF"/>
        </w:rPr>
        <w:t>Леонтович Е. А.,</w:t>
      </w:r>
      <w:r w:rsidRPr="00424B6A">
        <w:rPr>
          <w:rStyle w:val="apple-converted-space"/>
          <w:iCs/>
          <w:shd w:val="clear" w:color="auto" w:fill="FFFFFF"/>
        </w:rPr>
        <w:t> </w:t>
      </w:r>
      <w:r w:rsidRPr="00424B6A">
        <w:rPr>
          <w:iCs/>
          <w:shd w:val="clear" w:color="auto" w:fill="FFFFFF"/>
        </w:rPr>
        <w:t>Гордон И. М.,</w:t>
      </w:r>
      <w:r w:rsidRPr="00424B6A">
        <w:rPr>
          <w:rStyle w:val="apple-converted-space"/>
          <w:iCs/>
          <w:shd w:val="clear" w:color="auto" w:fill="FFFFFF"/>
        </w:rPr>
        <w:t> </w:t>
      </w:r>
      <w:r w:rsidRPr="00424B6A">
        <w:rPr>
          <w:iCs/>
          <w:shd w:val="clear" w:color="auto" w:fill="FFFFFF"/>
        </w:rPr>
        <w:t>Майер А. Г.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>Теория бифуркаций динамических систем на плоскости. —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>М.: Наука, 1967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 xml:space="preserve"> </w:t>
      </w:r>
      <w:r w:rsidRPr="00424B6A">
        <w:rPr>
          <w:iCs/>
          <w:shd w:val="clear" w:color="auto" w:fill="FFFFFF"/>
        </w:rPr>
        <w:t>Горелик Г С,</w:t>
      </w:r>
      <w:r w:rsidRPr="00424B6A">
        <w:rPr>
          <w:rStyle w:val="apple-converted-space"/>
          <w:iCs/>
          <w:shd w:val="clear" w:color="auto" w:fill="FFFFFF"/>
        </w:rPr>
        <w:t> </w:t>
      </w:r>
      <w:r w:rsidRPr="00424B6A">
        <w:rPr>
          <w:iCs/>
          <w:shd w:val="clear" w:color="auto" w:fill="FFFFFF"/>
        </w:rPr>
        <w:t>Айаерман М А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 xml:space="preserve"> / Под ред.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>Леонтович М.А.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>и др. —</w:t>
      </w:r>
      <w:r w:rsidRPr="00424B6A">
        <w:rPr>
          <w:rStyle w:val="apple-converted-space"/>
          <w:shd w:val="clear" w:color="auto" w:fill="FFFFFF"/>
        </w:rPr>
        <w:t> </w:t>
      </w:r>
      <w:r w:rsidRPr="00424B6A">
        <w:rPr>
          <w:shd w:val="clear" w:color="auto" w:fill="FFFFFF"/>
        </w:rPr>
        <w:t>М.: Изд. АН СССР, 1955. — 718 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 xml:space="preserve"> Арнольд В.И. Теория катастроф. – 3-е изд., доп. – М.: Наука, 1990. – 128с.</w:t>
      </w:r>
    </w:p>
    <w:p w:rsidR="008E0722" w:rsidRPr="00424B6A" w:rsidRDefault="008E0722" w:rsidP="00A073D5">
      <w:pPr>
        <w:pStyle w:val="NormalWeb"/>
        <w:numPr>
          <w:ilvl w:val="0"/>
          <w:numId w:val="17"/>
        </w:numPr>
        <w:tabs>
          <w:tab w:val="left" w:pos="900"/>
        </w:tabs>
        <w:spacing w:before="0" w:beforeAutospacing="0" w:after="0" w:afterAutospacing="0"/>
        <w:ind w:left="0" w:firstLine="540"/>
        <w:jc w:val="both"/>
      </w:pPr>
      <w:r w:rsidRPr="00424B6A">
        <w:t>Симанко В.С. Шпех И.А., Саакян Р.Р. Процедурно-ролевой алгоритм построения и анализа дерева целей сложной системы в задаче определения критериев их достижения // Информатика и системы управления. – 2013. - 2(36). –С. 64-72.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8E0722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lang w:val="en-US"/>
        </w:rPr>
      </w:pP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1.</w:t>
      </w:r>
      <w:r w:rsidRPr="00277850">
        <w:rPr>
          <w:lang w:val="en-US"/>
        </w:rPr>
        <w:tab/>
        <w:t>Modelirovanie // Bol'shaja sovetskaja jenciklopedija : v 30 t. / gl. red. A. M. Prohorov. — 3-e izd. — M. : Sovetskaja jenciklopedija, 1974. — T. 16 : Mezija — Morshansk. — 592 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2.</w:t>
      </w:r>
      <w:r w:rsidRPr="00277850">
        <w:rPr>
          <w:lang w:val="en-US"/>
        </w:rPr>
        <w:tab/>
        <w:t xml:space="preserve"> Uemov A. I. Logicheskie osnovy metoda modelirovanija. – M.: Mysl', 1971. – 311s.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3.</w:t>
      </w:r>
      <w:r w:rsidRPr="00277850">
        <w:rPr>
          <w:lang w:val="en-US"/>
        </w:rPr>
        <w:tab/>
        <w:t>Moiseev N.N. Sistemnyj analiz: matematicheskie metody. - M.: Nauka, 1983. – 426s.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4.</w:t>
      </w:r>
      <w:r w:rsidRPr="00277850">
        <w:rPr>
          <w:lang w:val="en-US"/>
        </w:rPr>
        <w:tab/>
        <w:t>Mogilevskij V.D. Metodologija sistem. - M.: Jekonomika, 1999. – 268s.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5.</w:t>
      </w:r>
      <w:r w:rsidRPr="00277850">
        <w:rPr>
          <w:lang w:val="en-US"/>
        </w:rPr>
        <w:tab/>
        <w:t xml:space="preserve"> Nejlor N. Mashinnye imitacionnye jeksperimenty s modeljami jekonomicheskih sistem: per. s angl. - M.: Mir, 1975. – 336s.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6.</w:t>
      </w:r>
      <w:r w:rsidRPr="00277850">
        <w:rPr>
          <w:lang w:val="en-US"/>
        </w:rPr>
        <w:tab/>
        <w:t xml:space="preserve"> Ruth M., Hannon B., 1997. Modeling dynamic economic systems. Springer Verlag, New York.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7.</w:t>
      </w:r>
      <w:r w:rsidRPr="00277850">
        <w:rPr>
          <w:lang w:val="en-US"/>
        </w:rPr>
        <w:tab/>
        <w:t xml:space="preserve"> Kont O. Obshhij obzor pozitivizma / Perevod s francuzskogo I.  A. Shapiro. Pod red. Je. L. Radlova. — Izd. 2-e. — M.: Knizhnyj dom «LIBROKOM», 2011. — 296 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8.</w:t>
      </w:r>
      <w:r w:rsidRPr="00277850">
        <w:rPr>
          <w:lang w:val="en-US"/>
        </w:rPr>
        <w:tab/>
        <w:t xml:space="preserve"> Arrow K. J, Social Choice and Individual Values, London, 1951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9.</w:t>
      </w:r>
      <w:r w:rsidRPr="00277850">
        <w:rPr>
          <w:lang w:val="en-US"/>
        </w:rPr>
        <w:tab/>
        <w:t xml:space="preserve">  Kenje F. Izbrannye jekonomicheskie proizvedenija. — M.: Socjekgiz, 1960.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10.</w:t>
      </w:r>
      <w:r w:rsidRPr="00277850">
        <w:rPr>
          <w:lang w:val="en-US"/>
        </w:rPr>
        <w:tab/>
        <w:t xml:space="preserve"> Anikin A. V. Glava shestnadcataja. «Shkola Sjeja» i vklad Kurno // Junost' nauki: Zhizn' i idei myslitelej-jekonomistov do Marksa. — 2-e izd. — M.: Politizdat, 1975. — 384 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11.</w:t>
      </w:r>
      <w:r w:rsidRPr="00277850">
        <w:rPr>
          <w:lang w:val="en-US"/>
        </w:rPr>
        <w:tab/>
        <w:t xml:space="preserve"> Latinsko-russkij i russko-latinskij slovar' krylatyh slov i vyrazhenij: [Jelektronnyj resurs]. URL:http: http:/dic.academic.ru/dic.nsf/latin_proverbs/5031.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12.</w:t>
      </w:r>
      <w:r w:rsidRPr="00277850">
        <w:rPr>
          <w:lang w:val="en-US"/>
        </w:rPr>
        <w:tab/>
        <w:t>Kamaljan R.Z., Kamaljan Z.R., Mnacakanjan A.R. Matematicheskie modeli upravlenija processami regional'noj jekonomiki // Sfera uslug: innovacii i kachestvo. – 2012. – №8. – S.60-65.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13.</w:t>
      </w:r>
      <w:r w:rsidRPr="00277850">
        <w:rPr>
          <w:lang w:val="en-US"/>
        </w:rPr>
        <w:tab/>
        <w:t xml:space="preserve">  Loskutov A. Ju., Mihajlov A. S. Osnovy teorii slozhnyh sistem. -Izhevsk: Institut komp'juternyh issledovanij, 2007. — 620 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14.</w:t>
      </w:r>
      <w:r w:rsidRPr="00277850">
        <w:rPr>
          <w:lang w:val="en-US"/>
        </w:rPr>
        <w:tab/>
        <w:t xml:space="preserve"> Haken G. Sinergetika. - M.: Mir, 1980. – 403s.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15.</w:t>
      </w:r>
      <w:r w:rsidRPr="00277850">
        <w:rPr>
          <w:lang w:val="en-US"/>
        </w:rPr>
        <w:tab/>
        <w:t xml:space="preserve"> Nikolis G., Prigozhin I. Samoorganizacija v neravnovesnyh sistemah: Ot dissipativnyh struktur k uporjadochennosti cherez fluktuacii. M.: Mir, 1979. — 512 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16.</w:t>
      </w:r>
      <w:r w:rsidRPr="00277850">
        <w:rPr>
          <w:lang w:val="en-US"/>
        </w:rPr>
        <w:tab/>
        <w:t xml:space="preserve"> Prigozhin I., Stengers I. Porjadok iz haosa: Novyj dialog cheloveka s prirodoj. M.: Progress, 1986.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17.</w:t>
      </w:r>
      <w:r w:rsidRPr="00277850">
        <w:rPr>
          <w:lang w:val="en-US"/>
        </w:rPr>
        <w:tab/>
        <w:t>Prigozhin I. Ot sushhestvujushhego k voznikajushhemu: Vremja i slozhnost' v fizicheskih naukah. M.: Nauka, 1985.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18.</w:t>
      </w:r>
      <w:r w:rsidRPr="00277850">
        <w:rPr>
          <w:lang w:val="en-US"/>
        </w:rPr>
        <w:tab/>
        <w:t>Nikolis G., Prigozhin I. Poznanie slozhnogo. — M.: Mir, 1990.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19.</w:t>
      </w:r>
      <w:r w:rsidRPr="00277850">
        <w:rPr>
          <w:lang w:val="en-US"/>
        </w:rPr>
        <w:tab/>
        <w:t>Haken G. Informacija i samoorganizacija: Makroskopicheskij podhod k slozhnym sistemam. M.: Mir, 1991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20.</w:t>
      </w:r>
      <w:r w:rsidRPr="00277850">
        <w:rPr>
          <w:lang w:val="en-US"/>
        </w:rPr>
        <w:tab/>
        <w:t xml:space="preserve"> Arnol'd V. I., Afrajmovich V. S., Il'jashenko Ju. S., Shil'nikov L. P.. Teorija bifurkacij // Dinamicheskie sistemy—5. Itogi nauki i tehniki. Sovremennye problemy matematiki. Fundamental'nye napravlenija. — M.: VINITI, 1986. — T. 5. — S. 5—218.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21.</w:t>
      </w:r>
      <w:r w:rsidRPr="00277850">
        <w:rPr>
          <w:lang w:val="en-US"/>
        </w:rPr>
        <w:tab/>
        <w:t>Andronov A. A., Leontovich E. A., Gordon I. M., Majer A. G. Teorija bifurkacij dinamicheskih sistem na ploskosti. — M.: Nauka, 1967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22.</w:t>
      </w:r>
      <w:r w:rsidRPr="00277850">
        <w:rPr>
          <w:lang w:val="en-US"/>
        </w:rPr>
        <w:tab/>
        <w:t xml:space="preserve"> Gorelik G S, Ajaerman M A  / Pod red. Leontovich M.A. i dr. — M.: Izd. AN SSSR, 1955. — 718 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23.</w:t>
      </w:r>
      <w:r w:rsidRPr="00277850">
        <w:rPr>
          <w:lang w:val="en-US"/>
        </w:rPr>
        <w:tab/>
        <w:t xml:space="preserve"> Arnol'd V.I. Teorija katastrof. – 3-e izd., dop. – M.: Nauka, 1990. – 128s.</w:t>
      </w:r>
    </w:p>
    <w:p w:rsidR="008E0722" w:rsidRPr="00277850" w:rsidRDefault="008E0722" w:rsidP="00A073D5">
      <w:pPr>
        <w:pStyle w:val="NormalWeb"/>
        <w:tabs>
          <w:tab w:val="left" w:pos="900"/>
        </w:tabs>
        <w:spacing w:before="0" w:beforeAutospacing="0" w:after="0" w:afterAutospacing="0"/>
        <w:ind w:firstLine="540"/>
        <w:jc w:val="both"/>
        <w:rPr>
          <w:lang w:val="en-US"/>
        </w:rPr>
      </w:pPr>
      <w:r w:rsidRPr="00277850">
        <w:rPr>
          <w:lang w:val="en-US"/>
        </w:rPr>
        <w:t>24.</w:t>
      </w:r>
      <w:r w:rsidRPr="00277850">
        <w:rPr>
          <w:lang w:val="en-US"/>
        </w:rPr>
        <w:tab/>
        <w:t>Simanko V.S. Shpeh I.A., Saakjan R.R. Procedurno-rolevoj algoritm postroenija i analiza dereva celej slozhnoj sistemy v zadache opredelenija kriteriev ih dostizhenija // Informatika i sistemy upravlenija. – 2013. - 2(36). –S. 64-72.</w:t>
      </w:r>
    </w:p>
    <w:p w:rsidR="008E0722" w:rsidRPr="00277850" w:rsidRDefault="008E0722" w:rsidP="00A073D5">
      <w:pPr>
        <w:pStyle w:val="NormalWeb"/>
        <w:spacing w:before="0" w:beforeAutospacing="0" w:after="0" w:afterAutospacing="0"/>
        <w:jc w:val="both"/>
        <w:rPr>
          <w:lang w:val="en-US"/>
        </w:rPr>
      </w:pPr>
    </w:p>
    <w:sectPr w:rsidR="008E0722" w:rsidRPr="00277850" w:rsidSect="00424B6A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722" w:rsidRDefault="008E0722">
      <w:r>
        <w:separator/>
      </w:r>
    </w:p>
  </w:endnote>
  <w:endnote w:type="continuationSeparator" w:id="1">
    <w:p w:rsidR="008E0722" w:rsidRDefault="008E0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722" w:rsidRDefault="008E0722">
    <w:pPr>
      <w:pStyle w:val="Footer"/>
    </w:pPr>
    <w:r w:rsidRPr="00B9007D">
      <w:rPr>
        <w:rFonts w:ascii="Times New Roman" w:hAnsi="Times New Roman"/>
        <w:sz w:val="24"/>
        <w:szCs w:val="24"/>
        <w:lang w:val="en-US"/>
      </w:rPr>
      <w:t>http://ej.kubagro.ru/2014/09/pdf/</w:t>
    </w:r>
    <w:r>
      <w:rPr>
        <w:rFonts w:ascii="Times New Roman" w:hAnsi="Times New Roman"/>
        <w:sz w:val="24"/>
        <w:szCs w:val="24"/>
        <w:lang w:val="en-US"/>
      </w:rPr>
      <w:t>56</w:t>
    </w:r>
    <w:r w:rsidRPr="00B9007D">
      <w:rPr>
        <w:rFonts w:ascii="Times New Roman" w:hAnsi="Times New Roman"/>
        <w:sz w:val="24"/>
        <w:szCs w:val="24"/>
        <w:lang w:val="en-US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722" w:rsidRDefault="008E0722">
      <w:r>
        <w:separator/>
      </w:r>
    </w:p>
  </w:footnote>
  <w:footnote w:type="continuationSeparator" w:id="1">
    <w:p w:rsidR="008E0722" w:rsidRDefault="008E07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722" w:rsidRDefault="008E0722" w:rsidP="009C669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0722" w:rsidRDefault="008E0722" w:rsidP="00E1153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722" w:rsidRPr="001D0846" w:rsidRDefault="008E0722" w:rsidP="009C669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D0846">
      <w:rPr>
        <w:rStyle w:val="PageNumber"/>
        <w:rFonts w:ascii="Times New Roman" w:hAnsi="Times New Roman"/>
        <w:sz w:val="28"/>
        <w:szCs w:val="28"/>
      </w:rPr>
      <w:fldChar w:fldCharType="begin"/>
    </w:r>
    <w:r w:rsidRPr="001D084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D084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1D0846">
      <w:rPr>
        <w:rStyle w:val="PageNumber"/>
        <w:rFonts w:ascii="Times New Roman" w:hAnsi="Times New Roman"/>
        <w:sz w:val="28"/>
        <w:szCs w:val="28"/>
      </w:rPr>
      <w:fldChar w:fldCharType="end"/>
    </w:r>
  </w:p>
  <w:p w:rsidR="008E0722" w:rsidRPr="001D0846" w:rsidRDefault="008E0722" w:rsidP="00E1153F">
    <w:pPr>
      <w:pStyle w:val="Header"/>
      <w:ind w:right="360"/>
      <w:rPr>
        <w:sz w:val="24"/>
        <w:szCs w:val="24"/>
      </w:rPr>
    </w:pPr>
    <w:r w:rsidRPr="001D0846">
      <w:rPr>
        <w:rFonts w:ascii="Times New Roman" w:hAnsi="Times New Roman"/>
        <w:sz w:val="24"/>
        <w:szCs w:val="24"/>
      </w:rPr>
      <w:t>Научный журнал КубГАУ, №10</w:t>
    </w:r>
    <w:r>
      <w:rPr>
        <w:rFonts w:ascii="Times New Roman" w:hAnsi="Times New Roman"/>
        <w:sz w:val="24"/>
        <w:szCs w:val="24"/>
        <w:lang w:val="en-US"/>
      </w:rPr>
      <w:t>3</w:t>
    </w:r>
    <w:r w:rsidRPr="001D0846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9</w:t>
    </w:r>
    <w:r w:rsidRPr="001D0846">
      <w:rPr>
        <w:rFonts w:ascii="Times New Roman" w:hAnsi="Times New Roman"/>
        <w:sz w:val="24"/>
        <w:szCs w:val="24"/>
      </w:rPr>
      <w:t>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13B30"/>
    <w:multiLevelType w:val="hybridMultilevel"/>
    <w:tmpl w:val="D1CC0DF6"/>
    <w:lvl w:ilvl="0" w:tplc="F398B1B4">
      <w:start w:val="1"/>
      <w:numFmt w:val="decimal"/>
      <w:lvlText w:val="%1.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2ED4CE98">
      <w:start w:val="1"/>
      <w:numFmt w:val="lowerLetter"/>
      <w:lvlText w:val="%2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2" w:tplc="45B45C10">
      <w:start w:val="1"/>
      <w:numFmt w:val="lowerRoman"/>
      <w:lvlText w:val="%3"/>
      <w:lvlJc w:val="left"/>
      <w:pPr>
        <w:ind w:left="2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3" w:tplc="46D6D548">
      <w:start w:val="1"/>
      <w:numFmt w:val="decimal"/>
      <w:lvlText w:val="%4"/>
      <w:lvlJc w:val="left"/>
      <w:pPr>
        <w:ind w:left="2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4" w:tplc="DD1884E6">
      <w:start w:val="1"/>
      <w:numFmt w:val="lowerLetter"/>
      <w:lvlText w:val="%5"/>
      <w:lvlJc w:val="left"/>
      <w:pPr>
        <w:ind w:left="3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5" w:tplc="F0D82352">
      <w:start w:val="1"/>
      <w:numFmt w:val="lowerRoman"/>
      <w:lvlText w:val="%6"/>
      <w:lvlJc w:val="left"/>
      <w:pPr>
        <w:ind w:left="4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6" w:tplc="86E44D9A">
      <w:start w:val="1"/>
      <w:numFmt w:val="decimal"/>
      <w:lvlText w:val="%7"/>
      <w:lvlJc w:val="left"/>
      <w:pPr>
        <w:ind w:left="4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7" w:tplc="9098C4E8">
      <w:start w:val="1"/>
      <w:numFmt w:val="lowerLetter"/>
      <w:lvlText w:val="%8"/>
      <w:lvlJc w:val="left"/>
      <w:pPr>
        <w:ind w:left="5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8" w:tplc="9D180C86">
      <w:start w:val="1"/>
      <w:numFmt w:val="lowerRoman"/>
      <w:lvlText w:val="%9"/>
      <w:lvlJc w:val="left"/>
      <w:pPr>
        <w:ind w:left="6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</w:abstractNum>
  <w:abstractNum w:abstractNumId="1">
    <w:nsid w:val="092E4E34"/>
    <w:multiLevelType w:val="hybridMultilevel"/>
    <w:tmpl w:val="AE463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AE079A"/>
    <w:multiLevelType w:val="hybridMultilevel"/>
    <w:tmpl w:val="FFB0A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C228B9"/>
    <w:multiLevelType w:val="hybridMultilevel"/>
    <w:tmpl w:val="903E2354"/>
    <w:lvl w:ilvl="0" w:tplc="D20A78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E3A73C6"/>
    <w:multiLevelType w:val="multilevel"/>
    <w:tmpl w:val="DFA0A35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369" w:hanging="6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</w:rPr>
    </w:lvl>
  </w:abstractNum>
  <w:abstractNum w:abstractNumId="5">
    <w:nsid w:val="10C17AD5"/>
    <w:multiLevelType w:val="multilevel"/>
    <w:tmpl w:val="11D2F0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119C39F4"/>
    <w:multiLevelType w:val="hybridMultilevel"/>
    <w:tmpl w:val="D1FAFDC4"/>
    <w:lvl w:ilvl="0" w:tplc="C22EE16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34B5F71"/>
    <w:multiLevelType w:val="multilevel"/>
    <w:tmpl w:val="7852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6F43C44"/>
    <w:multiLevelType w:val="hybridMultilevel"/>
    <w:tmpl w:val="FFB0A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B83BDE"/>
    <w:multiLevelType w:val="multilevel"/>
    <w:tmpl w:val="0C8800F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864" w:hanging="115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64" w:hanging="1155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64" w:hanging="1155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0">
    <w:nsid w:val="2099501D"/>
    <w:multiLevelType w:val="hybridMultilevel"/>
    <w:tmpl w:val="47447BDA"/>
    <w:lvl w:ilvl="0" w:tplc="CCA8C7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0AB00C0"/>
    <w:multiLevelType w:val="multilevel"/>
    <w:tmpl w:val="278817D2"/>
    <w:lvl w:ilvl="0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>
    <w:nsid w:val="211F5ABA"/>
    <w:multiLevelType w:val="singleLevel"/>
    <w:tmpl w:val="A54CD9E4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3">
    <w:nsid w:val="23971084"/>
    <w:multiLevelType w:val="hybridMultilevel"/>
    <w:tmpl w:val="B3EA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63D2B94"/>
    <w:multiLevelType w:val="hybridMultilevel"/>
    <w:tmpl w:val="68028542"/>
    <w:lvl w:ilvl="0" w:tplc="6BF2AD1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B5636E8"/>
    <w:multiLevelType w:val="multilevel"/>
    <w:tmpl w:val="59046784"/>
    <w:lvl w:ilvl="0">
      <w:start w:val="1"/>
      <w:numFmt w:val="decimal"/>
      <w:pStyle w:val="Heading1"/>
      <w:lvlText w:val="%1."/>
      <w:lvlJc w:val="left"/>
      <w:pPr>
        <w:tabs>
          <w:tab w:val="num" w:pos="1134"/>
        </w:tabs>
        <w:ind w:left="1701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tabs>
          <w:tab w:val="num" w:pos="1827"/>
        </w:tabs>
        <w:ind w:left="1827" w:hanging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8"/>
        </w:tabs>
        <w:ind w:left="1928" w:hanging="79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02"/>
        </w:tabs>
        <w:ind w:left="34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76"/>
        </w:tabs>
        <w:ind w:left="41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83"/>
        </w:tabs>
        <w:ind w:left="438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</w:abstractNum>
  <w:abstractNum w:abstractNumId="16">
    <w:nsid w:val="2F2137ED"/>
    <w:multiLevelType w:val="hybridMultilevel"/>
    <w:tmpl w:val="FFB0A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7A4C94"/>
    <w:multiLevelType w:val="hybridMultilevel"/>
    <w:tmpl w:val="FFB0A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31D1635"/>
    <w:multiLevelType w:val="hybridMultilevel"/>
    <w:tmpl w:val="B3EA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4586416"/>
    <w:multiLevelType w:val="hybridMultilevel"/>
    <w:tmpl w:val="A7863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49462E9"/>
    <w:multiLevelType w:val="hybridMultilevel"/>
    <w:tmpl w:val="FFB0A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67264AD"/>
    <w:multiLevelType w:val="hybridMultilevel"/>
    <w:tmpl w:val="B4E8A7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899166D"/>
    <w:multiLevelType w:val="multilevel"/>
    <w:tmpl w:val="21E23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58E1C07"/>
    <w:multiLevelType w:val="hybridMultilevel"/>
    <w:tmpl w:val="900CC742"/>
    <w:lvl w:ilvl="0" w:tplc="9D80B0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2525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473DE8"/>
    <w:multiLevelType w:val="hybridMultilevel"/>
    <w:tmpl w:val="DD94F6F2"/>
    <w:lvl w:ilvl="0" w:tplc="B31CAE9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AB72022"/>
    <w:multiLevelType w:val="hybridMultilevel"/>
    <w:tmpl w:val="DD22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CB2F3D"/>
    <w:multiLevelType w:val="hybridMultilevel"/>
    <w:tmpl w:val="ACE66472"/>
    <w:lvl w:ilvl="0" w:tplc="C694D7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37F08CB"/>
    <w:multiLevelType w:val="hybridMultilevel"/>
    <w:tmpl w:val="CB88D83E"/>
    <w:lvl w:ilvl="0" w:tplc="5560AE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5613640B"/>
    <w:multiLevelType w:val="hybridMultilevel"/>
    <w:tmpl w:val="564E88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1E6735D"/>
    <w:multiLevelType w:val="hybridMultilevel"/>
    <w:tmpl w:val="58BECE20"/>
    <w:lvl w:ilvl="0" w:tplc="9F4A7B94">
      <w:start w:val="77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BB4738"/>
    <w:multiLevelType w:val="multilevel"/>
    <w:tmpl w:val="DF7AE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4CC2750"/>
    <w:multiLevelType w:val="hybridMultilevel"/>
    <w:tmpl w:val="CD48E3EA"/>
    <w:lvl w:ilvl="0" w:tplc="5A3891A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65013693"/>
    <w:multiLevelType w:val="hybridMultilevel"/>
    <w:tmpl w:val="420C46E4"/>
    <w:lvl w:ilvl="0" w:tplc="D8749A1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F26EEE72">
      <w:start w:val="1"/>
      <w:numFmt w:val="bullet"/>
      <w:lvlText w:val=""/>
      <w:lvlJc w:val="left"/>
      <w:pPr>
        <w:tabs>
          <w:tab w:val="num" w:pos="1600"/>
        </w:tabs>
        <w:ind w:left="1657" w:hanging="227"/>
      </w:pPr>
      <w:rPr>
        <w:rFonts w:ascii="Symbol" w:hAnsi="Symbol" w:hint="default"/>
        <w:color w:val="000080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33">
    <w:nsid w:val="65BD44B7"/>
    <w:multiLevelType w:val="multilevel"/>
    <w:tmpl w:val="B0EA84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34">
    <w:nsid w:val="68A718CF"/>
    <w:multiLevelType w:val="hybridMultilevel"/>
    <w:tmpl w:val="A7863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E75256"/>
    <w:multiLevelType w:val="hybridMultilevel"/>
    <w:tmpl w:val="2E4A335C"/>
    <w:lvl w:ilvl="0" w:tplc="53A2092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>
    <w:nsid w:val="715B1293"/>
    <w:multiLevelType w:val="hybridMultilevel"/>
    <w:tmpl w:val="FFB0A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4DD0E0D"/>
    <w:multiLevelType w:val="hybridMultilevel"/>
    <w:tmpl w:val="CB645042"/>
    <w:lvl w:ilvl="0" w:tplc="670832CA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B70384C"/>
    <w:multiLevelType w:val="hybridMultilevel"/>
    <w:tmpl w:val="AADE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CF0800C">
      <w:start w:val="1"/>
      <w:numFmt w:val="decimal"/>
      <w:lvlText w:val="%2."/>
      <w:lvlJc w:val="left"/>
      <w:pPr>
        <w:ind w:left="2640" w:hanging="15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C837E98"/>
    <w:multiLevelType w:val="multilevel"/>
    <w:tmpl w:val="7F8C7B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0">
    <w:nsid w:val="7E415E7B"/>
    <w:multiLevelType w:val="multilevel"/>
    <w:tmpl w:val="B0EA84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41">
    <w:nsid w:val="7F8D27BE"/>
    <w:multiLevelType w:val="hybridMultilevel"/>
    <w:tmpl w:val="18C212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40"/>
  </w:num>
  <w:num w:numId="4">
    <w:abstractNumId w:val="39"/>
  </w:num>
  <w:num w:numId="5">
    <w:abstractNumId w:val="15"/>
  </w:num>
  <w:num w:numId="6">
    <w:abstractNumId w:val="38"/>
  </w:num>
  <w:num w:numId="7">
    <w:abstractNumId w:val="32"/>
  </w:num>
  <w:num w:numId="8">
    <w:abstractNumId w:val="37"/>
  </w:num>
  <w:num w:numId="9">
    <w:abstractNumId w:val="25"/>
  </w:num>
  <w:num w:numId="10">
    <w:abstractNumId w:val="35"/>
  </w:num>
  <w:num w:numId="11">
    <w:abstractNumId w:val="3"/>
  </w:num>
  <w:num w:numId="12">
    <w:abstractNumId w:val="14"/>
  </w:num>
  <w:num w:numId="13">
    <w:abstractNumId w:val="12"/>
  </w:num>
  <w:num w:numId="14">
    <w:abstractNumId w:val="21"/>
  </w:num>
  <w:num w:numId="15">
    <w:abstractNumId w:val="11"/>
  </w:num>
  <w:num w:numId="16">
    <w:abstractNumId w:val="9"/>
  </w:num>
  <w:num w:numId="17">
    <w:abstractNumId w:val="17"/>
  </w:num>
  <w:num w:numId="18">
    <w:abstractNumId w:val="24"/>
  </w:num>
  <w:num w:numId="19">
    <w:abstractNumId w:val="18"/>
  </w:num>
  <w:num w:numId="20">
    <w:abstractNumId w:val="13"/>
  </w:num>
  <w:num w:numId="21">
    <w:abstractNumId w:val="34"/>
  </w:num>
  <w:num w:numId="22">
    <w:abstractNumId w:val="19"/>
  </w:num>
  <w:num w:numId="23">
    <w:abstractNumId w:val="29"/>
  </w:num>
  <w:num w:numId="24">
    <w:abstractNumId w:val="28"/>
  </w:num>
  <w:num w:numId="25">
    <w:abstractNumId w:val="33"/>
  </w:num>
  <w:num w:numId="26">
    <w:abstractNumId w:val="10"/>
  </w:num>
  <w:num w:numId="27">
    <w:abstractNumId w:val="36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6"/>
  </w:num>
  <w:num w:numId="31">
    <w:abstractNumId w:val="6"/>
  </w:num>
  <w:num w:numId="32">
    <w:abstractNumId w:val="2"/>
  </w:num>
  <w:num w:numId="33">
    <w:abstractNumId w:val="8"/>
  </w:num>
  <w:num w:numId="34">
    <w:abstractNumId w:val="20"/>
  </w:num>
  <w:num w:numId="35">
    <w:abstractNumId w:val="16"/>
  </w:num>
  <w:num w:numId="36">
    <w:abstractNumId w:val="30"/>
  </w:num>
  <w:num w:numId="37">
    <w:abstractNumId w:val="7"/>
  </w:num>
  <w:num w:numId="38">
    <w:abstractNumId w:val="31"/>
  </w:num>
  <w:num w:numId="39">
    <w:abstractNumId w:val="22"/>
  </w:num>
  <w:num w:numId="40">
    <w:abstractNumId w:val="23"/>
  </w:num>
  <w:num w:numId="41">
    <w:abstractNumId w:val="1"/>
  </w:num>
  <w:num w:numId="42">
    <w:abstractNumId w:val="41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633"/>
    <w:rsid w:val="000035A8"/>
    <w:rsid w:val="000047DC"/>
    <w:rsid w:val="00010702"/>
    <w:rsid w:val="0001481F"/>
    <w:rsid w:val="000168C7"/>
    <w:rsid w:val="00017FA7"/>
    <w:rsid w:val="00022C07"/>
    <w:rsid w:val="00022F18"/>
    <w:rsid w:val="00026A8A"/>
    <w:rsid w:val="00046341"/>
    <w:rsid w:val="00046CBC"/>
    <w:rsid w:val="00046E84"/>
    <w:rsid w:val="000508EE"/>
    <w:rsid w:val="00050DA3"/>
    <w:rsid w:val="0006273F"/>
    <w:rsid w:val="000630BB"/>
    <w:rsid w:val="00067D52"/>
    <w:rsid w:val="00070610"/>
    <w:rsid w:val="0007790F"/>
    <w:rsid w:val="00081206"/>
    <w:rsid w:val="00082418"/>
    <w:rsid w:val="0008287B"/>
    <w:rsid w:val="00083113"/>
    <w:rsid w:val="00084492"/>
    <w:rsid w:val="000847CD"/>
    <w:rsid w:val="000861D6"/>
    <w:rsid w:val="000872F0"/>
    <w:rsid w:val="000901BB"/>
    <w:rsid w:val="000934AD"/>
    <w:rsid w:val="00095DEB"/>
    <w:rsid w:val="000A03DA"/>
    <w:rsid w:val="000A2659"/>
    <w:rsid w:val="000A4CDB"/>
    <w:rsid w:val="000B0DED"/>
    <w:rsid w:val="000B5591"/>
    <w:rsid w:val="000B6ABE"/>
    <w:rsid w:val="000C50F2"/>
    <w:rsid w:val="000D07DA"/>
    <w:rsid w:val="000D691C"/>
    <w:rsid w:val="000D7903"/>
    <w:rsid w:val="000E1437"/>
    <w:rsid w:val="000E44D1"/>
    <w:rsid w:val="000E6A31"/>
    <w:rsid w:val="000E7C2B"/>
    <w:rsid w:val="000F2D72"/>
    <w:rsid w:val="000F3867"/>
    <w:rsid w:val="000F6E06"/>
    <w:rsid w:val="00103FC2"/>
    <w:rsid w:val="00117223"/>
    <w:rsid w:val="00125372"/>
    <w:rsid w:val="001270DE"/>
    <w:rsid w:val="00127B09"/>
    <w:rsid w:val="001329B1"/>
    <w:rsid w:val="00133BDC"/>
    <w:rsid w:val="00133DC4"/>
    <w:rsid w:val="00134B8C"/>
    <w:rsid w:val="0013696D"/>
    <w:rsid w:val="00140428"/>
    <w:rsid w:val="00144636"/>
    <w:rsid w:val="00151585"/>
    <w:rsid w:val="00152CED"/>
    <w:rsid w:val="00154493"/>
    <w:rsid w:val="00157C26"/>
    <w:rsid w:val="00160608"/>
    <w:rsid w:val="0016452D"/>
    <w:rsid w:val="001728F6"/>
    <w:rsid w:val="00181C6E"/>
    <w:rsid w:val="0019323F"/>
    <w:rsid w:val="0019653B"/>
    <w:rsid w:val="001A750E"/>
    <w:rsid w:val="001B7A71"/>
    <w:rsid w:val="001C5998"/>
    <w:rsid w:val="001C743D"/>
    <w:rsid w:val="001D0846"/>
    <w:rsid w:val="001D355D"/>
    <w:rsid w:val="001D4D84"/>
    <w:rsid w:val="001E71B4"/>
    <w:rsid w:val="00204087"/>
    <w:rsid w:val="00206850"/>
    <w:rsid w:val="00213227"/>
    <w:rsid w:val="00214D41"/>
    <w:rsid w:val="00220BB7"/>
    <w:rsid w:val="00233451"/>
    <w:rsid w:val="00234D18"/>
    <w:rsid w:val="00235372"/>
    <w:rsid w:val="00247C8A"/>
    <w:rsid w:val="00250489"/>
    <w:rsid w:val="002510A4"/>
    <w:rsid w:val="002534E8"/>
    <w:rsid w:val="002579BB"/>
    <w:rsid w:val="002612CC"/>
    <w:rsid w:val="00261482"/>
    <w:rsid w:val="00267F97"/>
    <w:rsid w:val="00270B8F"/>
    <w:rsid w:val="00277850"/>
    <w:rsid w:val="00287170"/>
    <w:rsid w:val="002973D5"/>
    <w:rsid w:val="002A030A"/>
    <w:rsid w:val="002D6B8E"/>
    <w:rsid w:val="002E09C1"/>
    <w:rsid w:val="002E483B"/>
    <w:rsid w:val="002E7619"/>
    <w:rsid w:val="002F08C6"/>
    <w:rsid w:val="002F3B94"/>
    <w:rsid w:val="0030039C"/>
    <w:rsid w:val="00301B4A"/>
    <w:rsid w:val="0030387D"/>
    <w:rsid w:val="00304105"/>
    <w:rsid w:val="003048A8"/>
    <w:rsid w:val="0030744A"/>
    <w:rsid w:val="0031506A"/>
    <w:rsid w:val="00325BDF"/>
    <w:rsid w:val="00326E21"/>
    <w:rsid w:val="003274C1"/>
    <w:rsid w:val="00327ABD"/>
    <w:rsid w:val="003329EB"/>
    <w:rsid w:val="003336EA"/>
    <w:rsid w:val="00345265"/>
    <w:rsid w:val="003452E9"/>
    <w:rsid w:val="003507BA"/>
    <w:rsid w:val="00352549"/>
    <w:rsid w:val="00355FBA"/>
    <w:rsid w:val="0036008E"/>
    <w:rsid w:val="00363CB6"/>
    <w:rsid w:val="00364657"/>
    <w:rsid w:val="003655BB"/>
    <w:rsid w:val="00377EC7"/>
    <w:rsid w:val="003914C6"/>
    <w:rsid w:val="003A1604"/>
    <w:rsid w:val="003A1F7E"/>
    <w:rsid w:val="003A2AE7"/>
    <w:rsid w:val="003A7A64"/>
    <w:rsid w:val="003B2DEF"/>
    <w:rsid w:val="003B3ECA"/>
    <w:rsid w:val="003C10A7"/>
    <w:rsid w:val="003C740E"/>
    <w:rsid w:val="003D1AD2"/>
    <w:rsid w:val="003E0091"/>
    <w:rsid w:val="003E43E2"/>
    <w:rsid w:val="003F10D7"/>
    <w:rsid w:val="003F2D23"/>
    <w:rsid w:val="003F601B"/>
    <w:rsid w:val="004014C7"/>
    <w:rsid w:val="00406CF5"/>
    <w:rsid w:val="004110D3"/>
    <w:rsid w:val="00413DC2"/>
    <w:rsid w:val="00415370"/>
    <w:rsid w:val="00415FDC"/>
    <w:rsid w:val="0041681E"/>
    <w:rsid w:val="00416BD0"/>
    <w:rsid w:val="00421D6B"/>
    <w:rsid w:val="00424B6A"/>
    <w:rsid w:val="0042647C"/>
    <w:rsid w:val="00434D54"/>
    <w:rsid w:val="004420CA"/>
    <w:rsid w:val="00445C8E"/>
    <w:rsid w:val="00450478"/>
    <w:rsid w:val="0045181F"/>
    <w:rsid w:val="00453B69"/>
    <w:rsid w:val="00456E3D"/>
    <w:rsid w:val="004623D2"/>
    <w:rsid w:val="00463513"/>
    <w:rsid w:val="004648A9"/>
    <w:rsid w:val="0047385B"/>
    <w:rsid w:val="0047481F"/>
    <w:rsid w:val="004762E4"/>
    <w:rsid w:val="004810C0"/>
    <w:rsid w:val="004823B0"/>
    <w:rsid w:val="00493CD1"/>
    <w:rsid w:val="0049550A"/>
    <w:rsid w:val="0049618E"/>
    <w:rsid w:val="004A51D7"/>
    <w:rsid w:val="004A7249"/>
    <w:rsid w:val="004B0FFD"/>
    <w:rsid w:val="004B47B5"/>
    <w:rsid w:val="004B58DD"/>
    <w:rsid w:val="004C3E01"/>
    <w:rsid w:val="004C4C00"/>
    <w:rsid w:val="004C7B5F"/>
    <w:rsid w:val="004D27C7"/>
    <w:rsid w:val="004D4825"/>
    <w:rsid w:val="004E2223"/>
    <w:rsid w:val="004E39E2"/>
    <w:rsid w:val="004E5081"/>
    <w:rsid w:val="004F38A4"/>
    <w:rsid w:val="004F470B"/>
    <w:rsid w:val="004F58C0"/>
    <w:rsid w:val="00504ACE"/>
    <w:rsid w:val="0050538B"/>
    <w:rsid w:val="00505753"/>
    <w:rsid w:val="005065E7"/>
    <w:rsid w:val="005127E1"/>
    <w:rsid w:val="005171EF"/>
    <w:rsid w:val="00521A8F"/>
    <w:rsid w:val="00533CF0"/>
    <w:rsid w:val="00535029"/>
    <w:rsid w:val="00541D75"/>
    <w:rsid w:val="00541E10"/>
    <w:rsid w:val="00551915"/>
    <w:rsid w:val="0056405A"/>
    <w:rsid w:val="005651CC"/>
    <w:rsid w:val="005669F6"/>
    <w:rsid w:val="0058060E"/>
    <w:rsid w:val="00580A46"/>
    <w:rsid w:val="0059241C"/>
    <w:rsid w:val="00595B6B"/>
    <w:rsid w:val="00596A49"/>
    <w:rsid w:val="00597373"/>
    <w:rsid w:val="005A2A80"/>
    <w:rsid w:val="005A31E8"/>
    <w:rsid w:val="005B3782"/>
    <w:rsid w:val="005C1E8B"/>
    <w:rsid w:val="005C1FFA"/>
    <w:rsid w:val="005C2BE0"/>
    <w:rsid w:val="005C4F03"/>
    <w:rsid w:val="005C58AF"/>
    <w:rsid w:val="005D19A9"/>
    <w:rsid w:val="005D2AB6"/>
    <w:rsid w:val="005D669D"/>
    <w:rsid w:val="005E3BE0"/>
    <w:rsid w:val="005E5792"/>
    <w:rsid w:val="005E64A6"/>
    <w:rsid w:val="005F4D9F"/>
    <w:rsid w:val="005F73E4"/>
    <w:rsid w:val="00600E52"/>
    <w:rsid w:val="006012CC"/>
    <w:rsid w:val="00601B1A"/>
    <w:rsid w:val="0060732D"/>
    <w:rsid w:val="00613143"/>
    <w:rsid w:val="006173BB"/>
    <w:rsid w:val="00620ADE"/>
    <w:rsid w:val="00620B64"/>
    <w:rsid w:val="00622E95"/>
    <w:rsid w:val="00625432"/>
    <w:rsid w:val="00630E9C"/>
    <w:rsid w:val="00634423"/>
    <w:rsid w:val="006374B6"/>
    <w:rsid w:val="006375A6"/>
    <w:rsid w:val="0066011D"/>
    <w:rsid w:val="00670525"/>
    <w:rsid w:val="00674297"/>
    <w:rsid w:val="0067480A"/>
    <w:rsid w:val="00675AF8"/>
    <w:rsid w:val="00677806"/>
    <w:rsid w:val="006836D6"/>
    <w:rsid w:val="006940EA"/>
    <w:rsid w:val="006948B4"/>
    <w:rsid w:val="006B2E3E"/>
    <w:rsid w:val="006B2FD9"/>
    <w:rsid w:val="006B6A15"/>
    <w:rsid w:val="006C636E"/>
    <w:rsid w:val="006C6A5A"/>
    <w:rsid w:val="006D1388"/>
    <w:rsid w:val="006D161E"/>
    <w:rsid w:val="006D637F"/>
    <w:rsid w:val="006E66C4"/>
    <w:rsid w:val="006E74AF"/>
    <w:rsid w:val="0070113A"/>
    <w:rsid w:val="00704F3F"/>
    <w:rsid w:val="0070664A"/>
    <w:rsid w:val="007237C1"/>
    <w:rsid w:val="007254D5"/>
    <w:rsid w:val="00734751"/>
    <w:rsid w:val="00737B0D"/>
    <w:rsid w:val="00742C27"/>
    <w:rsid w:val="007440BD"/>
    <w:rsid w:val="007477EE"/>
    <w:rsid w:val="00747C25"/>
    <w:rsid w:val="00753B9B"/>
    <w:rsid w:val="007616F9"/>
    <w:rsid w:val="007653B4"/>
    <w:rsid w:val="00767DE5"/>
    <w:rsid w:val="007740D2"/>
    <w:rsid w:val="007935CF"/>
    <w:rsid w:val="007A1C21"/>
    <w:rsid w:val="007A574D"/>
    <w:rsid w:val="007C20D3"/>
    <w:rsid w:val="007D4EB8"/>
    <w:rsid w:val="007E1ACB"/>
    <w:rsid w:val="007E23AE"/>
    <w:rsid w:val="007E3DE9"/>
    <w:rsid w:val="007E4DEA"/>
    <w:rsid w:val="007E4F3F"/>
    <w:rsid w:val="007E74DA"/>
    <w:rsid w:val="007F00EA"/>
    <w:rsid w:val="007F2F6C"/>
    <w:rsid w:val="007F420F"/>
    <w:rsid w:val="00801C8C"/>
    <w:rsid w:val="00801EB8"/>
    <w:rsid w:val="008032A7"/>
    <w:rsid w:val="008039F2"/>
    <w:rsid w:val="0080516A"/>
    <w:rsid w:val="0081086E"/>
    <w:rsid w:val="00815A83"/>
    <w:rsid w:val="00817108"/>
    <w:rsid w:val="008172C6"/>
    <w:rsid w:val="00823B56"/>
    <w:rsid w:val="008313D6"/>
    <w:rsid w:val="0084491A"/>
    <w:rsid w:val="00856347"/>
    <w:rsid w:val="0086048D"/>
    <w:rsid w:val="00860C3F"/>
    <w:rsid w:val="00861FB9"/>
    <w:rsid w:val="00866A9F"/>
    <w:rsid w:val="00866D9B"/>
    <w:rsid w:val="00875782"/>
    <w:rsid w:val="00875B62"/>
    <w:rsid w:val="0088047A"/>
    <w:rsid w:val="0088206D"/>
    <w:rsid w:val="00893E2E"/>
    <w:rsid w:val="0089592C"/>
    <w:rsid w:val="0089646E"/>
    <w:rsid w:val="00896D2E"/>
    <w:rsid w:val="00897397"/>
    <w:rsid w:val="008A19E3"/>
    <w:rsid w:val="008A4045"/>
    <w:rsid w:val="008A6509"/>
    <w:rsid w:val="008B0539"/>
    <w:rsid w:val="008B1C7F"/>
    <w:rsid w:val="008B24A4"/>
    <w:rsid w:val="008B3121"/>
    <w:rsid w:val="008B4A1D"/>
    <w:rsid w:val="008C3452"/>
    <w:rsid w:val="008C497C"/>
    <w:rsid w:val="008C5070"/>
    <w:rsid w:val="008C6E0F"/>
    <w:rsid w:val="008D25A4"/>
    <w:rsid w:val="008D739B"/>
    <w:rsid w:val="008E04BA"/>
    <w:rsid w:val="008E0722"/>
    <w:rsid w:val="008F27B0"/>
    <w:rsid w:val="008F46A9"/>
    <w:rsid w:val="008F52A6"/>
    <w:rsid w:val="00901393"/>
    <w:rsid w:val="00904307"/>
    <w:rsid w:val="009057DE"/>
    <w:rsid w:val="00905D2F"/>
    <w:rsid w:val="0090750A"/>
    <w:rsid w:val="009103A1"/>
    <w:rsid w:val="00912072"/>
    <w:rsid w:val="00912416"/>
    <w:rsid w:val="00914395"/>
    <w:rsid w:val="009156AE"/>
    <w:rsid w:val="00915D2E"/>
    <w:rsid w:val="00922D48"/>
    <w:rsid w:val="009241CE"/>
    <w:rsid w:val="0092718A"/>
    <w:rsid w:val="009308DD"/>
    <w:rsid w:val="0093195B"/>
    <w:rsid w:val="00941C5C"/>
    <w:rsid w:val="009438CB"/>
    <w:rsid w:val="0094749F"/>
    <w:rsid w:val="0094770F"/>
    <w:rsid w:val="00955633"/>
    <w:rsid w:val="00956494"/>
    <w:rsid w:val="00965563"/>
    <w:rsid w:val="00966934"/>
    <w:rsid w:val="0097094A"/>
    <w:rsid w:val="00973750"/>
    <w:rsid w:val="00974D95"/>
    <w:rsid w:val="00976AC2"/>
    <w:rsid w:val="00984C33"/>
    <w:rsid w:val="00984FC0"/>
    <w:rsid w:val="009A1CA3"/>
    <w:rsid w:val="009A25FF"/>
    <w:rsid w:val="009A65F9"/>
    <w:rsid w:val="009A728F"/>
    <w:rsid w:val="009A7F7E"/>
    <w:rsid w:val="009B0D55"/>
    <w:rsid w:val="009B2D78"/>
    <w:rsid w:val="009B3D2B"/>
    <w:rsid w:val="009B5006"/>
    <w:rsid w:val="009C6691"/>
    <w:rsid w:val="009D08D3"/>
    <w:rsid w:val="009D7047"/>
    <w:rsid w:val="009E26E0"/>
    <w:rsid w:val="009E381B"/>
    <w:rsid w:val="009E78D7"/>
    <w:rsid w:val="009E7CAE"/>
    <w:rsid w:val="009E7DA2"/>
    <w:rsid w:val="009F0883"/>
    <w:rsid w:val="00A0391A"/>
    <w:rsid w:val="00A073D5"/>
    <w:rsid w:val="00A1189E"/>
    <w:rsid w:val="00A16511"/>
    <w:rsid w:val="00A208D2"/>
    <w:rsid w:val="00A219CA"/>
    <w:rsid w:val="00A21D3F"/>
    <w:rsid w:val="00A2484B"/>
    <w:rsid w:val="00A24D32"/>
    <w:rsid w:val="00A25073"/>
    <w:rsid w:val="00A3109C"/>
    <w:rsid w:val="00A34564"/>
    <w:rsid w:val="00A366EC"/>
    <w:rsid w:val="00A36908"/>
    <w:rsid w:val="00A60EDD"/>
    <w:rsid w:val="00A64A03"/>
    <w:rsid w:val="00A7383F"/>
    <w:rsid w:val="00A73E08"/>
    <w:rsid w:val="00A80D98"/>
    <w:rsid w:val="00A8412B"/>
    <w:rsid w:val="00A873D2"/>
    <w:rsid w:val="00A874A1"/>
    <w:rsid w:val="00A90AFB"/>
    <w:rsid w:val="00A96E4D"/>
    <w:rsid w:val="00A97958"/>
    <w:rsid w:val="00AA5BEF"/>
    <w:rsid w:val="00AA7D68"/>
    <w:rsid w:val="00AB3A47"/>
    <w:rsid w:val="00AB4B17"/>
    <w:rsid w:val="00AC1A92"/>
    <w:rsid w:val="00AC324F"/>
    <w:rsid w:val="00AD11E9"/>
    <w:rsid w:val="00AE6B17"/>
    <w:rsid w:val="00AF01C5"/>
    <w:rsid w:val="00AF2716"/>
    <w:rsid w:val="00AF3B04"/>
    <w:rsid w:val="00AF44E3"/>
    <w:rsid w:val="00AF772F"/>
    <w:rsid w:val="00AF78BD"/>
    <w:rsid w:val="00B03BC8"/>
    <w:rsid w:val="00B131A4"/>
    <w:rsid w:val="00B14A56"/>
    <w:rsid w:val="00B169A6"/>
    <w:rsid w:val="00B207A5"/>
    <w:rsid w:val="00B2563E"/>
    <w:rsid w:val="00B3022F"/>
    <w:rsid w:val="00B309E0"/>
    <w:rsid w:val="00B42DFD"/>
    <w:rsid w:val="00B432BC"/>
    <w:rsid w:val="00B513A3"/>
    <w:rsid w:val="00B55E7C"/>
    <w:rsid w:val="00B647FE"/>
    <w:rsid w:val="00B654F5"/>
    <w:rsid w:val="00B6684A"/>
    <w:rsid w:val="00B71899"/>
    <w:rsid w:val="00B7398F"/>
    <w:rsid w:val="00B74040"/>
    <w:rsid w:val="00B772BB"/>
    <w:rsid w:val="00B80667"/>
    <w:rsid w:val="00B82756"/>
    <w:rsid w:val="00B85D2B"/>
    <w:rsid w:val="00B86196"/>
    <w:rsid w:val="00B87B1B"/>
    <w:rsid w:val="00B9007D"/>
    <w:rsid w:val="00B91021"/>
    <w:rsid w:val="00B92A9A"/>
    <w:rsid w:val="00B94805"/>
    <w:rsid w:val="00B94855"/>
    <w:rsid w:val="00B94DF3"/>
    <w:rsid w:val="00BA086C"/>
    <w:rsid w:val="00BA115B"/>
    <w:rsid w:val="00BC0E95"/>
    <w:rsid w:val="00BC359B"/>
    <w:rsid w:val="00BC71EA"/>
    <w:rsid w:val="00BD7DEC"/>
    <w:rsid w:val="00BE2ACB"/>
    <w:rsid w:val="00BF0446"/>
    <w:rsid w:val="00BF5066"/>
    <w:rsid w:val="00BF706A"/>
    <w:rsid w:val="00C06B49"/>
    <w:rsid w:val="00C113EA"/>
    <w:rsid w:val="00C13004"/>
    <w:rsid w:val="00C20BFD"/>
    <w:rsid w:val="00C23C20"/>
    <w:rsid w:val="00C3316B"/>
    <w:rsid w:val="00C3780E"/>
    <w:rsid w:val="00C44510"/>
    <w:rsid w:val="00C45DC4"/>
    <w:rsid w:val="00C51FBF"/>
    <w:rsid w:val="00C53029"/>
    <w:rsid w:val="00C537AF"/>
    <w:rsid w:val="00C57B3D"/>
    <w:rsid w:val="00C61A12"/>
    <w:rsid w:val="00C62E0D"/>
    <w:rsid w:val="00C72F6D"/>
    <w:rsid w:val="00C73A5B"/>
    <w:rsid w:val="00C75E03"/>
    <w:rsid w:val="00C76E75"/>
    <w:rsid w:val="00C807DB"/>
    <w:rsid w:val="00C81E89"/>
    <w:rsid w:val="00C82BA0"/>
    <w:rsid w:val="00C84E12"/>
    <w:rsid w:val="00C927B0"/>
    <w:rsid w:val="00C94C68"/>
    <w:rsid w:val="00CA198D"/>
    <w:rsid w:val="00CB0DD1"/>
    <w:rsid w:val="00CB2B3B"/>
    <w:rsid w:val="00CC6519"/>
    <w:rsid w:val="00CC665F"/>
    <w:rsid w:val="00CC679C"/>
    <w:rsid w:val="00CC72C2"/>
    <w:rsid w:val="00CE5C22"/>
    <w:rsid w:val="00CE5EA6"/>
    <w:rsid w:val="00CE7B21"/>
    <w:rsid w:val="00CF353F"/>
    <w:rsid w:val="00D005B3"/>
    <w:rsid w:val="00D00CDE"/>
    <w:rsid w:val="00D01529"/>
    <w:rsid w:val="00D067C6"/>
    <w:rsid w:val="00D11DEA"/>
    <w:rsid w:val="00D12D11"/>
    <w:rsid w:val="00D14983"/>
    <w:rsid w:val="00D1679C"/>
    <w:rsid w:val="00D17564"/>
    <w:rsid w:val="00D223A2"/>
    <w:rsid w:val="00D4586D"/>
    <w:rsid w:val="00D53547"/>
    <w:rsid w:val="00D568AF"/>
    <w:rsid w:val="00D56D5A"/>
    <w:rsid w:val="00D7096F"/>
    <w:rsid w:val="00D7208A"/>
    <w:rsid w:val="00D72B88"/>
    <w:rsid w:val="00D74B4E"/>
    <w:rsid w:val="00D74D6E"/>
    <w:rsid w:val="00D80EDF"/>
    <w:rsid w:val="00D83FB5"/>
    <w:rsid w:val="00D9030F"/>
    <w:rsid w:val="00D90C31"/>
    <w:rsid w:val="00D90E0B"/>
    <w:rsid w:val="00D9150A"/>
    <w:rsid w:val="00D96007"/>
    <w:rsid w:val="00D9696E"/>
    <w:rsid w:val="00DB1371"/>
    <w:rsid w:val="00DC07BB"/>
    <w:rsid w:val="00DC0B4E"/>
    <w:rsid w:val="00DC1839"/>
    <w:rsid w:val="00DC36F1"/>
    <w:rsid w:val="00DC7AEF"/>
    <w:rsid w:val="00DD06C3"/>
    <w:rsid w:val="00DD1C92"/>
    <w:rsid w:val="00DE232F"/>
    <w:rsid w:val="00DE57B8"/>
    <w:rsid w:val="00DE6254"/>
    <w:rsid w:val="00DF4411"/>
    <w:rsid w:val="00DF52EB"/>
    <w:rsid w:val="00DF5463"/>
    <w:rsid w:val="00DF6BD5"/>
    <w:rsid w:val="00DF7A10"/>
    <w:rsid w:val="00E00218"/>
    <w:rsid w:val="00E02AF4"/>
    <w:rsid w:val="00E068AA"/>
    <w:rsid w:val="00E0790C"/>
    <w:rsid w:val="00E1027D"/>
    <w:rsid w:val="00E1153F"/>
    <w:rsid w:val="00E11FD3"/>
    <w:rsid w:val="00E13774"/>
    <w:rsid w:val="00E214F5"/>
    <w:rsid w:val="00E2409E"/>
    <w:rsid w:val="00E24A3F"/>
    <w:rsid w:val="00E30534"/>
    <w:rsid w:val="00E339E3"/>
    <w:rsid w:val="00E33AD1"/>
    <w:rsid w:val="00E36900"/>
    <w:rsid w:val="00E407E5"/>
    <w:rsid w:val="00E42E1B"/>
    <w:rsid w:val="00E442E9"/>
    <w:rsid w:val="00E44458"/>
    <w:rsid w:val="00E543D2"/>
    <w:rsid w:val="00E62FB2"/>
    <w:rsid w:val="00E70F61"/>
    <w:rsid w:val="00E73EEF"/>
    <w:rsid w:val="00E75681"/>
    <w:rsid w:val="00E7678F"/>
    <w:rsid w:val="00E863C6"/>
    <w:rsid w:val="00E97BE2"/>
    <w:rsid w:val="00E97D25"/>
    <w:rsid w:val="00EA1805"/>
    <w:rsid w:val="00EA5990"/>
    <w:rsid w:val="00EA6BC2"/>
    <w:rsid w:val="00EA74F6"/>
    <w:rsid w:val="00EB0178"/>
    <w:rsid w:val="00EB031C"/>
    <w:rsid w:val="00EC0F94"/>
    <w:rsid w:val="00EC19CD"/>
    <w:rsid w:val="00EC4120"/>
    <w:rsid w:val="00EC7DDC"/>
    <w:rsid w:val="00ED0BF6"/>
    <w:rsid w:val="00ED0E6E"/>
    <w:rsid w:val="00ED0F2C"/>
    <w:rsid w:val="00EE4EA0"/>
    <w:rsid w:val="00EF24C6"/>
    <w:rsid w:val="00EF294C"/>
    <w:rsid w:val="00EF7B9B"/>
    <w:rsid w:val="00F035D7"/>
    <w:rsid w:val="00F0491D"/>
    <w:rsid w:val="00F04A46"/>
    <w:rsid w:val="00F04E03"/>
    <w:rsid w:val="00F14E9B"/>
    <w:rsid w:val="00F152BD"/>
    <w:rsid w:val="00F17FCF"/>
    <w:rsid w:val="00F24B67"/>
    <w:rsid w:val="00F24E75"/>
    <w:rsid w:val="00F26DBE"/>
    <w:rsid w:val="00F2772C"/>
    <w:rsid w:val="00F3174F"/>
    <w:rsid w:val="00F35028"/>
    <w:rsid w:val="00F357CB"/>
    <w:rsid w:val="00F458AE"/>
    <w:rsid w:val="00F47DF3"/>
    <w:rsid w:val="00F52A4A"/>
    <w:rsid w:val="00F541C5"/>
    <w:rsid w:val="00F60531"/>
    <w:rsid w:val="00F70B6A"/>
    <w:rsid w:val="00F726BF"/>
    <w:rsid w:val="00F75452"/>
    <w:rsid w:val="00F80AF6"/>
    <w:rsid w:val="00F83B9B"/>
    <w:rsid w:val="00F84B88"/>
    <w:rsid w:val="00F864D9"/>
    <w:rsid w:val="00F87448"/>
    <w:rsid w:val="00F87469"/>
    <w:rsid w:val="00F9118F"/>
    <w:rsid w:val="00FA263D"/>
    <w:rsid w:val="00FA33DD"/>
    <w:rsid w:val="00FA4391"/>
    <w:rsid w:val="00FA5CA2"/>
    <w:rsid w:val="00FB0986"/>
    <w:rsid w:val="00FB0B65"/>
    <w:rsid w:val="00FB3B12"/>
    <w:rsid w:val="00FB6FD3"/>
    <w:rsid w:val="00FB7677"/>
    <w:rsid w:val="00FB7829"/>
    <w:rsid w:val="00FD3587"/>
    <w:rsid w:val="00FE29B8"/>
    <w:rsid w:val="00FE4D7C"/>
    <w:rsid w:val="00FE5837"/>
    <w:rsid w:val="00FE7B50"/>
    <w:rsid w:val="00FF6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5563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55633"/>
    <w:pPr>
      <w:keepNext/>
      <w:numPr>
        <w:numId w:val="5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5563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55633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5563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55633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55633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55633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55633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55633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5563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55633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55633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55633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55633"/>
    <w:rPr>
      <w:rFonts w:ascii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55633"/>
    <w:rPr>
      <w:rFonts w:ascii="Cambria" w:hAnsi="Cambria" w:cs="Times New Roman"/>
      <w:i/>
      <w:iCs/>
      <w:color w:val="40404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55633"/>
    <w:rPr>
      <w:rFonts w:ascii="Cambria" w:hAnsi="Cambria" w:cs="Times New Roman"/>
    </w:rPr>
  </w:style>
  <w:style w:type="paragraph" w:styleId="ListParagraph">
    <w:name w:val="List Paragraph"/>
    <w:basedOn w:val="Normal"/>
    <w:uiPriority w:val="99"/>
    <w:qFormat/>
    <w:rsid w:val="00955633"/>
    <w:pPr>
      <w:spacing w:before="120" w:after="0"/>
      <w:ind w:left="720"/>
      <w:contextualSpacing/>
      <w:jc w:val="right"/>
    </w:pPr>
  </w:style>
  <w:style w:type="paragraph" w:styleId="BalloonText">
    <w:name w:val="Balloon Text"/>
    <w:basedOn w:val="Normal"/>
    <w:link w:val="BalloonTextChar"/>
    <w:uiPriority w:val="99"/>
    <w:semiHidden/>
    <w:rsid w:val="00955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563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95563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55633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5633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955633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9556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7"/>
      <w:szCs w:val="17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55633"/>
    <w:rPr>
      <w:rFonts w:ascii="Courier New" w:hAnsi="Courier New" w:cs="Courier New"/>
      <w:color w:val="000000"/>
      <w:sz w:val="17"/>
      <w:szCs w:val="17"/>
      <w:lang w:eastAsia="ru-RU"/>
    </w:rPr>
  </w:style>
  <w:style w:type="paragraph" w:customStyle="1" w:styleId="4">
    <w:name w:val="Стиль4"/>
    <w:basedOn w:val="Heading2"/>
    <w:link w:val="40"/>
    <w:uiPriority w:val="99"/>
    <w:rsid w:val="00955633"/>
    <w:pPr>
      <w:keepLines w:val="0"/>
      <w:widowControl w:val="0"/>
      <w:tabs>
        <w:tab w:val="num" w:pos="2701"/>
      </w:tabs>
      <w:spacing w:before="240" w:after="240" w:line="240" w:lineRule="auto"/>
      <w:ind w:left="2701" w:hanging="432"/>
      <w:jc w:val="both"/>
    </w:pPr>
    <w:rPr>
      <w:rFonts w:ascii="Arial Narrow" w:eastAsia="Calibri" w:hAnsi="Arial Narrow"/>
      <w:bCs w:val="0"/>
      <w:i/>
      <w:smallCaps/>
      <w:color w:val="000080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955633"/>
    <w:rPr>
      <w:rFonts w:ascii="Arial Narrow" w:hAnsi="Arial Narrow"/>
      <w:b/>
      <w:i/>
      <w:smallCaps/>
      <w:color w:val="000080"/>
      <w:sz w:val="24"/>
    </w:rPr>
  </w:style>
  <w:style w:type="paragraph" w:customStyle="1" w:styleId="1">
    <w:name w:val="Обычный1"/>
    <w:uiPriority w:val="99"/>
    <w:rsid w:val="00955633"/>
    <w:pPr>
      <w:widowControl w:val="0"/>
      <w:spacing w:line="260" w:lineRule="auto"/>
      <w:jc w:val="both"/>
    </w:pPr>
    <w:rPr>
      <w:rFonts w:ascii="Times New Roman" w:eastAsia="Times New Roman" w:hAnsi="Times New Roman"/>
      <w:sz w:val="18"/>
      <w:szCs w:val="20"/>
    </w:rPr>
  </w:style>
  <w:style w:type="paragraph" w:customStyle="1" w:styleId="FR3">
    <w:name w:val="FR3"/>
    <w:uiPriority w:val="99"/>
    <w:rsid w:val="00955633"/>
    <w:pPr>
      <w:widowControl w:val="0"/>
      <w:spacing w:line="260" w:lineRule="auto"/>
      <w:ind w:firstLine="440"/>
      <w:jc w:val="both"/>
    </w:pPr>
    <w:rPr>
      <w:rFonts w:ascii="Arial" w:eastAsia="Times New Roman" w:hAnsi="Arial"/>
      <w:sz w:val="18"/>
      <w:szCs w:val="20"/>
    </w:rPr>
  </w:style>
  <w:style w:type="table" w:styleId="TableGrid">
    <w:name w:val="Table Grid"/>
    <w:basedOn w:val="TableNormal"/>
    <w:uiPriority w:val="99"/>
    <w:rsid w:val="0095563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ВерхКолонтитул"/>
    <w:basedOn w:val="Normal"/>
    <w:link w:val="HeaderChar"/>
    <w:uiPriority w:val="99"/>
    <w:rsid w:val="00955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955633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955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55633"/>
    <w:rPr>
      <w:rFonts w:ascii="Calibri" w:hAnsi="Calibri" w:cs="Times New Roman"/>
    </w:rPr>
  </w:style>
  <w:style w:type="character" w:customStyle="1" w:styleId="codeline">
    <w:name w:val="codeline"/>
    <w:basedOn w:val="DefaultParagraphFont"/>
    <w:uiPriority w:val="99"/>
    <w:rsid w:val="00955633"/>
    <w:rPr>
      <w:rFonts w:cs="Times New Roman"/>
    </w:rPr>
  </w:style>
  <w:style w:type="paragraph" w:customStyle="1" w:styleId="3">
    <w:name w:val="боковик3"/>
    <w:basedOn w:val="Normal"/>
    <w:uiPriority w:val="99"/>
    <w:rsid w:val="00955633"/>
    <w:pPr>
      <w:spacing w:before="72" w:after="0" w:line="240" w:lineRule="auto"/>
      <w:jc w:val="center"/>
    </w:pPr>
    <w:rPr>
      <w:rFonts w:ascii="JournalRub" w:eastAsia="Times New Roman" w:hAnsi="JournalRub"/>
      <w:b/>
      <w:sz w:val="20"/>
      <w:szCs w:val="20"/>
      <w:lang w:eastAsia="ru-RU"/>
    </w:rPr>
  </w:style>
  <w:style w:type="paragraph" w:styleId="TOC1">
    <w:name w:val="toc 1"/>
    <w:basedOn w:val="Normal"/>
    <w:next w:val="Normal"/>
    <w:autoRedefine/>
    <w:uiPriority w:val="99"/>
    <w:rsid w:val="00955633"/>
    <w:pPr>
      <w:widowControl w:val="0"/>
      <w:spacing w:before="40" w:after="40" w:line="240" w:lineRule="auto"/>
      <w:ind w:left="-13" w:right="-50" w:hanging="17"/>
      <w:jc w:val="center"/>
    </w:pPr>
    <w:rPr>
      <w:rFonts w:ascii="Arial" w:eastAsia="Times New Roman" w:hAnsi="Arial" w:cs="Arial"/>
      <w:bCs/>
      <w:i/>
      <w:sz w:val="16"/>
      <w:szCs w:val="16"/>
      <w:lang w:eastAsia="ru-RU"/>
    </w:rPr>
  </w:style>
  <w:style w:type="paragraph" w:customStyle="1" w:styleId="10">
    <w:name w:val="Шапка1"/>
    <w:basedOn w:val="Normal"/>
    <w:uiPriority w:val="99"/>
    <w:rsid w:val="00955633"/>
    <w:pPr>
      <w:spacing w:before="60" w:after="60" w:line="240" w:lineRule="auto"/>
      <w:jc w:val="center"/>
    </w:pPr>
    <w:rPr>
      <w:rFonts w:ascii="Arial" w:eastAsia="Times New Roman" w:hAnsi="Arial" w:cs="Arial"/>
      <w:i/>
      <w:iCs/>
      <w:sz w:val="18"/>
      <w:szCs w:val="24"/>
      <w:lang w:eastAsia="ru-RU"/>
    </w:rPr>
  </w:style>
  <w:style w:type="paragraph" w:customStyle="1" w:styleId="xl40">
    <w:name w:val="xl40"/>
    <w:basedOn w:val="Normal"/>
    <w:uiPriority w:val="99"/>
    <w:rsid w:val="00955633"/>
    <w:pPr>
      <w:spacing w:before="100" w:after="100" w:line="240" w:lineRule="auto"/>
    </w:pPr>
    <w:rPr>
      <w:rFonts w:ascii="Courier New" w:eastAsia="Arial Unicode MS" w:hAnsi="Courier New"/>
      <w:sz w:val="16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955633"/>
    <w:pPr>
      <w:spacing w:line="240" w:lineRule="auto"/>
    </w:pPr>
    <w:rPr>
      <w:b/>
      <w:bCs/>
      <w:color w:val="4F81BD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55633"/>
    <w:rPr>
      <w:rFonts w:cs="Times New Roman"/>
      <w:color w:val="808080"/>
    </w:rPr>
  </w:style>
  <w:style w:type="paragraph" w:customStyle="1" w:styleId="57">
    <w:name w:val="заголовок5.7"/>
    <w:basedOn w:val="Normal"/>
    <w:next w:val="Normal"/>
    <w:uiPriority w:val="99"/>
    <w:rsid w:val="00955633"/>
    <w:pPr>
      <w:keepNext/>
      <w:spacing w:after="0" w:line="240" w:lineRule="auto"/>
    </w:pPr>
    <w:rPr>
      <w:rFonts w:ascii="Times New Roman" w:eastAsia="Times New Roman" w:hAnsi="Times New Roman"/>
      <w:b/>
      <w:sz w:val="16"/>
      <w:szCs w:val="20"/>
      <w:lang w:eastAsia="ru-RU"/>
    </w:rPr>
  </w:style>
  <w:style w:type="paragraph" w:customStyle="1" w:styleId="xl402">
    <w:name w:val="xl402"/>
    <w:basedOn w:val="Normal"/>
    <w:uiPriority w:val="99"/>
    <w:rsid w:val="00955633"/>
    <w:pPr>
      <w:spacing w:before="100" w:after="100" w:line="240" w:lineRule="auto"/>
      <w:jc w:val="both"/>
    </w:pPr>
    <w:rPr>
      <w:rFonts w:ascii="Courier New" w:eastAsia="Arial Unicode MS" w:hAnsi="Courier New"/>
      <w:sz w:val="16"/>
      <w:szCs w:val="20"/>
      <w:lang w:eastAsia="ru-RU"/>
    </w:rPr>
  </w:style>
  <w:style w:type="paragraph" w:customStyle="1" w:styleId="21">
    <w:name w:val="Основной текст 21"/>
    <w:basedOn w:val="Normal"/>
    <w:uiPriority w:val="99"/>
    <w:rsid w:val="009556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955633"/>
    <w:rPr>
      <w:rFonts w:cs="Times New Roman"/>
    </w:rPr>
  </w:style>
  <w:style w:type="character" w:styleId="Strong">
    <w:name w:val="Strong"/>
    <w:basedOn w:val="DefaultParagraphFont"/>
    <w:uiPriority w:val="99"/>
    <w:qFormat/>
    <w:rsid w:val="0095563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955633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9556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9556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текст (11)_"/>
    <w:basedOn w:val="DefaultParagraphFont"/>
    <w:link w:val="111"/>
    <w:uiPriority w:val="99"/>
    <w:locked/>
    <w:rsid w:val="0095563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1">
    <w:name w:val="Основной текст (11)1"/>
    <w:basedOn w:val="Normal"/>
    <w:link w:val="11"/>
    <w:uiPriority w:val="99"/>
    <w:rsid w:val="00955633"/>
    <w:pPr>
      <w:shd w:val="clear" w:color="auto" w:fill="FFFFFF"/>
      <w:spacing w:after="0" w:line="274" w:lineRule="exact"/>
      <w:jc w:val="both"/>
    </w:pPr>
    <w:rPr>
      <w:rFonts w:ascii="Times New Roman" w:hAnsi="Times New Roman"/>
      <w:b/>
      <w:bCs/>
      <w:sz w:val="23"/>
      <w:szCs w:val="23"/>
    </w:rPr>
  </w:style>
  <w:style w:type="character" w:customStyle="1" w:styleId="112pt">
    <w:name w:val="Основной текст (11) + Интервал 2 pt"/>
    <w:basedOn w:val="DefaultParagraphFont"/>
    <w:uiPriority w:val="99"/>
    <w:rsid w:val="00955633"/>
    <w:rPr>
      <w:rFonts w:ascii="Times New Roman" w:hAnsi="Times New Roman" w:cs="Times New Roman"/>
      <w:b/>
      <w:bCs/>
      <w:spacing w:val="50"/>
      <w:sz w:val="23"/>
      <w:szCs w:val="23"/>
    </w:rPr>
  </w:style>
  <w:style w:type="character" w:customStyle="1" w:styleId="blk">
    <w:name w:val="blk"/>
    <w:basedOn w:val="DefaultParagraphFont"/>
    <w:uiPriority w:val="99"/>
    <w:rsid w:val="00955633"/>
    <w:rPr>
      <w:rFonts w:cs="Times New Roman"/>
    </w:rPr>
  </w:style>
  <w:style w:type="character" w:customStyle="1" w:styleId="citation">
    <w:name w:val="citation"/>
    <w:basedOn w:val="DefaultParagraphFont"/>
    <w:uiPriority w:val="99"/>
    <w:rsid w:val="00955633"/>
    <w:rPr>
      <w:rFonts w:cs="Times New Roman"/>
    </w:rPr>
  </w:style>
  <w:style w:type="character" w:customStyle="1" w:styleId="reference-text">
    <w:name w:val="reference-text"/>
    <w:basedOn w:val="DefaultParagraphFont"/>
    <w:uiPriority w:val="99"/>
    <w:rsid w:val="00955633"/>
    <w:rPr>
      <w:rFonts w:cs="Times New Roman"/>
    </w:rPr>
  </w:style>
  <w:style w:type="character" w:customStyle="1" w:styleId="hps">
    <w:name w:val="hps"/>
    <w:basedOn w:val="DefaultParagraphFont"/>
    <w:uiPriority w:val="99"/>
    <w:rsid w:val="00046E84"/>
    <w:rPr>
      <w:rFonts w:cs="Times New Roman"/>
    </w:rPr>
  </w:style>
  <w:style w:type="character" w:styleId="PageNumber">
    <w:name w:val="page number"/>
    <w:basedOn w:val="DefaultParagraphFont"/>
    <w:uiPriority w:val="99"/>
    <w:rsid w:val="00E1153F"/>
    <w:rPr>
      <w:rFonts w:cs="Times New Roman"/>
    </w:rPr>
  </w:style>
  <w:style w:type="paragraph" w:customStyle="1" w:styleId="a">
    <w:name w:val="Знак Знак Знак Знак"/>
    <w:basedOn w:val="Normal"/>
    <w:uiPriority w:val="99"/>
    <w:rsid w:val="001D084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7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7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7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7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75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37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3375862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375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375853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13375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3375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1%D0%BE%D0%BB%D1%8C%D1%88%D0%B0%D1%8F_%D1%81%D0%BE%D0%B2%D0%B5%D1%82%D1%81%D0%BA%D0%B0%D1%8F_%D1%8D%D0%BD%D1%86%D0%B8%D0%BA%D0%BB%D0%BE%D0%BF%D0%B5%D0%B4%D0%B8%D1%8F" TargetMode="External"/><Relationship Id="rId13" Type="http://schemas.openxmlformats.org/officeDocument/2006/relationships/hyperlink" Target="http://dic.academic.ru/contents.nsf/latin_proverbs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hyperlink" Target="http://ru.wikipedia.org/wiki/%D0%9F%D0%BE%D0%BB%D0%B8%D1%82%D0%B8%D0%B7%D0%B4%D0%B0%D1%82" TargetMode="External"/><Relationship Id="rId17" Type="http://schemas.openxmlformats.org/officeDocument/2006/relationships/hyperlink" Target="http://ru.wikipedia.org/wiki/%D0%92%D0%98%D0%9D%D0%98%D0%A2%D0%9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athnet.ru/php/archive.phtml?wshow=paper&amp;jrnid=intf&amp;paperid=40&amp;option_lang=rus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0%D0%BD%D0%B8%D0%BA%D0%B8%D0%BD,_%D0%90%D0%BD%D0%B4%D1%80%D0%B5%D0%B9_%D0%92%D0%BB%D0%B0%D0%B4%D0%B8%D0%BC%D0%B8%D1%80%D0%BE%D0%B2%D0%B8%D1%8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haos.phys.msu.ru/loskutov/PDF/Loskutov.pdf" TargetMode="External"/><Relationship Id="rId10" Type="http://schemas.openxmlformats.org/officeDocument/2006/relationships/hyperlink" Target="http://ru.wikipedia.org/wiki/%D0%AD%D0%B4%D0%B8%D1%82%D0%BE%D1%80%D0%B8%D0%B0%D0%BB_%D0%A3%D0%A0%D0%A1%D0%A1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1%80%D0%BE%D1%85%D0%BE%D1%80%D0%BE%D0%B2,_%D0%90%D0%BB%D0%B5%D0%BA%D1%81%D0%B0%D0%BD%D0%B4%D1%80_%D0%9C%D0%B8%D1%85%D0%B0%D0%B9%D0%BB%D0%BE%D0%B2%D0%B8%D1%87" TargetMode="External"/><Relationship Id="rId14" Type="http://schemas.openxmlformats.org/officeDocument/2006/relationships/hyperlink" Target="file:///C:\Users\1\Desktop\&#1092;&#1080;&#1085;&#1072;&#1083;\htt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427</TotalTime>
  <Pages>15</Pages>
  <Words>4255</Words>
  <Characters>24258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68</cp:revision>
  <cp:lastPrinted>2014-10-12T22:45:00Z</cp:lastPrinted>
  <dcterms:created xsi:type="dcterms:W3CDTF">2014-07-16T09:24:00Z</dcterms:created>
  <dcterms:modified xsi:type="dcterms:W3CDTF">2014-11-21T03:45:00Z</dcterms:modified>
</cp:coreProperties>
</file>