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657"/>
        <w:gridCol w:w="4629"/>
      </w:tblGrid>
      <w:tr w:rsidR="00A13301" w:rsidRPr="0091788A" w:rsidTr="000D4946">
        <w:tc>
          <w:tcPr>
            <w:tcW w:w="4657" w:type="dxa"/>
          </w:tcPr>
          <w:p w:rsidR="00A13301" w:rsidRPr="00EB32A9" w:rsidRDefault="00A13301" w:rsidP="000D4946">
            <w:pPr>
              <w:rPr>
                <w:sz w:val="20"/>
                <w:szCs w:val="20"/>
              </w:rPr>
            </w:pPr>
            <w:bookmarkStart w:id="0" w:name="OLE_LINK153"/>
            <w:bookmarkStart w:id="1" w:name="OLE_LINK154"/>
            <w:bookmarkStart w:id="2" w:name="OLE_LINK155"/>
            <w:r w:rsidRPr="00EB32A9">
              <w:rPr>
                <w:sz w:val="20"/>
                <w:szCs w:val="20"/>
              </w:rPr>
              <w:t>УДК 631.811.1:2:3</w:t>
            </w:r>
            <w:bookmarkEnd w:id="0"/>
            <w:bookmarkEnd w:id="1"/>
            <w:bookmarkEnd w:id="2"/>
          </w:p>
        </w:tc>
        <w:tc>
          <w:tcPr>
            <w:tcW w:w="4629" w:type="dxa"/>
          </w:tcPr>
          <w:p w:rsidR="00A13301" w:rsidRPr="00EB32A9" w:rsidRDefault="00A13301" w:rsidP="000D4946">
            <w:pPr>
              <w:rPr>
                <w:sz w:val="20"/>
                <w:szCs w:val="20"/>
                <w:lang w:val="en-US"/>
              </w:rPr>
            </w:pPr>
            <w:r w:rsidRPr="00EB32A9">
              <w:rPr>
                <w:sz w:val="20"/>
                <w:szCs w:val="20"/>
                <w:lang w:val="en-US"/>
              </w:rPr>
              <w:t>UDC 631.811.1:2:3</w:t>
            </w:r>
          </w:p>
        </w:tc>
      </w:tr>
      <w:tr w:rsidR="00A13301" w:rsidRPr="0027758D" w:rsidTr="000D4946">
        <w:tc>
          <w:tcPr>
            <w:tcW w:w="4657" w:type="dxa"/>
          </w:tcPr>
          <w:p w:rsidR="00A13301" w:rsidRPr="00EB32A9" w:rsidRDefault="00A13301" w:rsidP="000D4946">
            <w:pPr>
              <w:rPr>
                <w:b/>
                <w:sz w:val="20"/>
                <w:szCs w:val="20"/>
              </w:rPr>
            </w:pPr>
          </w:p>
        </w:tc>
        <w:tc>
          <w:tcPr>
            <w:tcW w:w="4629" w:type="dxa"/>
          </w:tcPr>
          <w:p w:rsidR="00A13301" w:rsidRPr="00EB32A9" w:rsidRDefault="00A13301" w:rsidP="000D4946">
            <w:pPr>
              <w:rPr>
                <w:b/>
                <w:sz w:val="20"/>
                <w:szCs w:val="20"/>
              </w:rPr>
            </w:pPr>
          </w:p>
        </w:tc>
      </w:tr>
      <w:tr w:rsidR="00A13301" w:rsidRPr="005C5A03" w:rsidTr="000D4946">
        <w:tc>
          <w:tcPr>
            <w:tcW w:w="4657" w:type="dxa"/>
          </w:tcPr>
          <w:p w:rsidR="00A13301" w:rsidRPr="00EB32A9" w:rsidRDefault="00A13301" w:rsidP="000D4946">
            <w:pPr>
              <w:rPr>
                <w:b/>
                <w:sz w:val="20"/>
                <w:szCs w:val="20"/>
              </w:rPr>
            </w:pPr>
            <w:r w:rsidRPr="00EB32A9">
              <w:rPr>
                <w:b/>
                <w:sz w:val="20"/>
                <w:szCs w:val="20"/>
              </w:rPr>
              <w:t>ПОЛИГОННЫЙ АГРОЭКОЛОГИЧЕСКИЙ МОНИТОРИНГ ПОЧВ БЕЛГОРОДСКОЙ ОБЛАСТИ</w:t>
            </w:r>
          </w:p>
        </w:tc>
        <w:tc>
          <w:tcPr>
            <w:tcW w:w="4629" w:type="dxa"/>
          </w:tcPr>
          <w:p w:rsidR="00A13301" w:rsidRPr="00EB32A9" w:rsidRDefault="00A13301" w:rsidP="000D4946">
            <w:pPr>
              <w:rPr>
                <w:b/>
                <w:sz w:val="20"/>
                <w:szCs w:val="20"/>
                <w:lang w:val="en-US"/>
              </w:rPr>
            </w:pPr>
            <w:r w:rsidRPr="00EB32A9">
              <w:rPr>
                <w:b/>
                <w:sz w:val="20"/>
                <w:szCs w:val="20"/>
                <w:lang w:val="en-US"/>
              </w:rPr>
              <w:t xml:space="preserve">POLYGON AGROECOLOGICAL MONITORING OF THE SOILS OF THE </w:t>
            </w:r>
            <w:smartTag w:uri="urn:schemas-microsoft-com:office:smarttags" w:element="place">
              <w:smartTag w:uri="urn:schemas-microsoft-com:office:smarttags" w:element="City">
                <w:r w:rsidRPr="00EB32A9">
                  <w:rPr>
                    <w:b/>
                    <w:sz w:val="20"/>
                    <w:szCs w:val="20"/>
                    <w:lang w:val="en-US"/>
                  </w:rPr>
                  <w:t>BELGOROD</w:t>
                </w:r>
              </w:smartTag>
            </w:smartTag>
            <w:r w:rsidRPr="00EB32A9">
              <w:rPr>
                <w:b/>
                <w:sz w:val="20"/>
                <w:szCs w:val="20"/>
                <w:lang w:val="en-US"/>
              </w:rPr>
              <w:t xml:space="preserve"> REGION</w:t>
            </w:r>
          </w:p>
        </w:tc>
      </w:tr>
      <w:tr w:rsidR="00A13301" w:rsidRPr="005C5A03" w:rsidTr="000D4946">
        <w:tc>
          <w:tcPr>
            <w:tcW w:w="4657" w:type="dxa"/>
          </w:tcPr>
          <w:p w:rsidR="00A13301" w:rsidRPr="00767017" w:rsidRDefault="00A13301" w:rsidP="000D494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629" w:type="dxa"/>
          </w:tcPr>
          <w:p w:rsidR="00A13301" w:rsidRPr="00EB32A9" w:rsidRDefault="00A13301" w:rsidP="000D4946">
            <w:pPr>
              <w:rPr>
                <w:sz w:val="20"/>
                <w:szCs w:val="20"/>
                <w:lang w:val="en-US"/>
              </w:rPr>
            </w:pPr>
          </w:p>
        </w:tc>
      </w:tr>
      <w:tr w:rsidR="00A13301" w:rsidRPr="005C5A03" w:rsidTr="000D4946">
        <w:tc>
          <w:tcPr>
            <w:tcW w:w="4657" w:type="dxa"/>
          </w:tcPr>
          <w:p w:rsidR="00A13301" w:rsidRPr="00EB32A9" w:rsidRDefault="00A13301" w:rsidP="000D4946">
            <w:pPr>
              <w:rPr>
                <w:sz w:val="20"/>
                <w:szCs w:val="20"/>
              </w:rPr>
            </w:pPr>
            <w:r w:rsidRPr="00EB32A9">
              <w:rPr>
                <w:sz w:val="20"/>
                <w:szCs w:val="20"/>
              </w:rPr>
              <w:t>Клостер Наталья Ивановна</w:t>
            </w:r>
          </w:p>
          <w:p w:rsidR="00A13301" w:rsidRPr="00EB32A9" w:rsidRDefault="00A13301" w:rsidP="000D4946">
            <w:pPr>
              <w:rPr>
                <w:sz w:val="20"/>
                <w:szCs w:val="20"/>
              </w:rPr>
            </w:pPr>
            <w:r w:rsidRPr="00EB32A9">
              <w:rPr>
                <w:sz w:val="20"/>
                <w:szCs w:val="20"/>
              </w:rPr>
              <w:t>кандидат с.-х. наук, доцент</w:t>
            </w:r>
          </w:p>
        </w:tc>
        <w:tc>
          <w:tcPr>
            <w:tcW w:w="4629" w:type="dxa"/>
          </w:tcPr>
          <w:p w:rsidR="00A13301" w:rsidRPr="00EB32A9" w:rsidRDefault="00A13301" w:rsidP="000D4946">
            <w:pPr>
              <w:rPr>
                <w:sz w:val="20"/>
                <w:szCs w:val="20"/>
                <w:lang w:val="en-US"/>
              </w:rPr>
            </w:pPr>
            <w:r w:rsidRPr="00EB32A9">
              <w:rPr>
                <w:sz w:val="20"/>
                <w:szCs w:val="20"/>
                <w:lang w:val="en-US"/>
              </w:rPr>
              <w:t>Kloster Natalya Ivanovna</w:t>
            </w:r>
          </w:p>
          <w:p w:rsidR="00A13301" w:rsidRPr="00EB32A9" w:rsidRDefault="00A13301" w:rsidP="000D494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Cand.Agr.Sci., associate professor</w:t>
            </w:r>
          </w:p>
        </w:tc>
      </w:tr>
      <w:tr w:rsidR="00A13301" w:rsidRPr="005C5A03" w:rsidTr="000D4946">
        <w:tc>
          <w:tcPr>
            <w:tcW w:w="4657" w:type="dxa"/>
          </w:tcPr>
          <w:p w:rsidR="00A13301" w:rsidRPr="005D5CB2" w:rsidRDefault="00A13301" w:rsidP="000D494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629" w:type="dxa"/>
          </w:tcPr>
          <w:p w:rsidR="00A13301" w:rsidRPr="00EB32A9" w:rsidRDefault="00A13301" w:rsidP="000D4946">
            <w:pPr>
              <w:rPr>
                <w:sz w:val="20"/>
                <w:szCs w:val="20"/>
                <w:lang w:val="en-US"/>
              </w:rPr>
            </w:pPr>
          </w:p>
        </w:tc>
      </w:tr>
      <w:tr w:rsidR="00A13301" w:rsidRPr="005C5A03" w:rsidTr="000D4946">
        <w:tc>
          <w:tcPr>
            <w:tcW w:w="4657" w:type="dxa"/>
          </w:tcPr>
          <w:p w:rsidR="00A13301" w:rsidRPr="00767017" w:rsidRDefault="00A13301" w:rsidP="000D4946">
            <w:pPr>
              <w:rPr>
                <w:sz w:val="20"/>
                <w:szCs w:val="20"/>
              </w:rPr>
            </w:pPr>
            <w:r w:rsidRPr="00EB32A9">
              <w:rPr>
                <w:sz w:val="20"/>
                <w:szCs w:val="20"/>
              </w:rPr>
              <w:t>Азаров</w:t>
            </w:r>
            <w:r w:rsidRPr="00767017">
              <w:rPr>
                <w:sz w:val="20"/>
                <w:szCs w:val="20"/>
              </w:rPr>
              <w:t xml:space="preserve"> </w:t>
            </w:r>
            <w:r w:rsidRPr="00EB32A9">
              <w:rPr>
                <w:sz w:val="20"/>
                <w:szCs w:val="20"/>
              </w:rPr>
              <w:t>Борис</w:t>
            </w:r>
            <w:r w:rsidRPr="00767017">
              <w:rPr>
                <w:sz w:val="20"/>
                <w:szCs w:val="20"/>
              </w:rPr>
              <w:t xml:space="preserve"> </w:t>
            </w:r>
            <w:r w:rsidRPr="00EB32A9">
              <w:rPr>
                <w:sz w:val="20"/>
                <w:szCs w:val="20"/>
              </w:rPr>
              <w:t>Фадеевич</w:t>
            </w:r>
          </w:p>
          <w:p w:rsidR="00A13301" w:rsidRPr="00767017" w:rsidRDefault="00A13301" w:rsidP="000D4946">
            <w:pPr>
              <w:rPr>
                <w:sz w:val="20"/>
                <w:szCs w:val="20"/>
              </w:rPr>
            </w:pPr>
            <w:r w:rsidRPr="00EB32A9">
              <w:rPr>
                <w:sz w:val="20"/>
                <w:szCs w:val="20"/>
              </w:rPr>
              <w:t>доктор</w:t>
            </w:r>
            <w:r w:rsidRPr="00767017">
              <w:rPr>
                <w:sz w:val="20"/>
                <w:szCs w:val="20"/>
              </w:rPr>
              <w:t xml:space="preserve"> </w:t>
            </w:r>
            <w:r w:rsidRPr="00EB32A9">
              <w:rPr>
                <w:sz w:val="20"/>
                <w:szCs w:val="20"/>
              </w:rPr>
              <w:t>с</w:t>
            </w:r>
            <w:r w:rsidRPr="00767017">
              <w:rPr>
                <w:sz w:val="20"/>
                <w:szCs w:val="20"/>
              </w:rPr>
              <w:t>.-</w:t>
            </w:r>
            <w:r w:rsidRPr="00EB32A9">
              <w:rPr>
                <w:sz w:val="20"/>
                <w:szCs w:val="20"/>
              </w:rPr>
              <w:t>х</w:t>
            </w:r>
            <w:r w:rsidRPr="00767017">
              <w:rPr>
                <w:sz w:val="20"/>
                <w:szCs w:val="20"/>
              </w:rPr>
              <w:t xml:space="preserve">. </w:t>
            </w:r>
            <w:r w:rsidRPr="00EB32A9">
              <w:rPr>
                <w:sz w:val="20"/>
                <w:szCs w:val="20"/>
              </w:rPr>
              <w:t>наук</w:t>
            </w:r>
            <w:r w:rsidRPr="00767017">
              <w:rPr>
                <w:sz w:val="20"/>
                <w:szCs w:val="20"/>
              </w:rPr>
              <w:t xml:space="preserve">, </w:t>
            </w:r>
            <w:r w:rsidRPr="00EB32A9">
              <w:rPr>
                <w:sz w:val="20"/>
                <w:szCs w:val="20"/>
              </w:rPr>
              <w:t>профессор</w:t>
            </w:r>
          </w:p>
        </w:tc>
        <w:tc>
          <w:tcPr>
            <w:tcW w:w="4629" w:type="dxa"/>
          </w:tcPr>
          <w:p w:rsidR="00A13301" w:rsidRPr="00EB32A9" w:rsidRDefault="00A13301" w:rsidP="000D4946">
            <w:pPr>
              <w:rPr>
                <w:sz w:val="20"/>
                <w:szCs w:val="20"/>
                <w:lang w:val="en-US"/>
              </w:rPr>
            </w:pPr>
            <w:r w:rsidRPr="00EB32A9">
              <w:rPr>
                <w:sz w:val="20"/>
                <w:szCs w:val="20"/>
                <w:lang w:val="en-US"/>
              </w:rPr>
              <w:t>Azarov Boris Fadeevich</w:t>
            </w:r>
          </w:p>
          <w:p w:rsidR="00A13301" w:rsidRPr="00EB32A9" w:rsidRDefault="00A13301" w:rsidP="000D4946">
            <w:pPr>
              <w:rPr>
                <w:sz w:val="20"/>
                <w:szCs w:val="20"/>
                <w:lang w:val="en-US"/>
              </w:rPr>
            </w:pPr>
            <w:r w:rsidRPr="00EB32A9">
              <w:rPr>
                <w:sz w:val="20"/>
                <w:szCs w:val="20"/>
                <w:lang w:val="en-US"/>
              </w:rPr>
              <w:t>Dr.Sc</w:t>
            </w:r>
            <w:r>
              <w:rPr>
                <w:sz w:val="20"/>
                <w:szCs w:val="20"/>
                <w:lang w:val="en-US"/>
              </w:rPr>
              <w:t>i</w:t>
            </w:r>
            <w:r w:rsidRPr="00EB32A9">
              <w:rPr>
                <w:sz w:val="20"/>
                <w:szCs w:val="20"/>
                <w:lang w:val="en-US"/>
              </w:rPr>
              <w:t>.Agr</w:t>
            </w:r>
            <w:r>
              <w:rPr>
                <w:sz w:val="20"/>
                <w:szCs w:val="20"/>
                <w:lang w:val="en-US"/>
              </w:rPr>
              <w:t>., proessor</w:t>
            </w:r>
          </w:p>
        </w:tc>
      </w:tr>
      <w:tr w:rsidR="00A13301" w:rsidRPr="005C5A03" w:rsidTr="000D4946">
        <w:tc>
          <w:tcPr>
            <w:tcW w:w="4657" w:type="dxa"/>
          </w:tcPr>
          <w:p w:rsidR="00A13301" w:rsidRPr="005D5CB2" w:rsidRDefault="00A13301" w:rsidP="000D494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629" w:type="dxa"/>
          </w:tcPr>
          <w:p w:rsidR="00A13301" w:rsidRPr="00EB32A9" w:rsidRDefault="00A13301" w:rsidP="000D4946">
            <w:pPr>
              <w:rPr>
                <w:sz w:val="20"/>
                <w:szCs w:val="20"/>
                <w:lang w:val="en-US"/>
              </w:rPr>
            </w:pPr>
          </w:p>
        </w:tc>
      </w:tr>
      <w:tr w:rsidR="00A13301" w:rsidRPr="005C5A03" w:rsidTr="000D4946">
        <w:tc>
          <w:tcPr>
            <w:tcW w:w="4657" w:type="dxa"/>
          </w:tcPr>
          <w:p w:rsidR="00A13301" w:rsidRPr="00EB32A9" w:rsidRDefault="00A13301" w:rsidP="000D4946">
            <w:pPr>
              <w:rPr>
                <w:sz w:val="20"/>
                <w:szCs w:val="20"/>
              </w:rPr>
            </w:pPr>
            <w:r w:rsidRPr="00EB32A9">
              <w:rPr>
                <w:sz w:val="20"/>
                <w:szCs w:val="20"/>
              </w:rPr>
              <w:t>Азаров</w:t>
            </w:r>
            <w:r w:rsidRPr="00767017">
              <w:rPr>
                <w:sz w:val="20"/>
                <w:szCs w:val="20"/>
              </w:rPr>
              <w:t xml:space="preserve"> </w:t>
            </w:r>
            <w:r w:rsidRPr="00EB32A9">
              <w:rPr>
                <w:sz w:val="20"/>
                <w:szCs w:val="20"/>
              </w:rPr>
              <w:t>Владимир Борисович</w:t>
            </w:r>
          </w:p>
          <w:p w:rsidR="00A13301" w:rsidRPr="00EB32A9" w:rsidRDefault="00A13301" w:rsidP="000D4946">
            <w:pPr>
              <w:rPr>
                <w:sz w:val="20"/>
                <w:szCs w:val="20"/>
              </w:rPr>
            </w:pPr>
            <w:r w:rsidRPr="00EB32A9">
              <w:rPr>
                <w:sz w:val="20"/>
                <w:szCs w:val="20"/>
              </w:rPr>
              <w:t>доктор с.-х. наук, профессор</w:t>
            </w:r>
          </w:p>
        </w:tc>
        <w:tc>
          <w:tcPr>
            <w:tcW w:w="4629" w:type="dxa"/>
          </w:tcPr>
          <w:p w:rsidR="00A13301" w:rsidRPr="00EB32A9" w:rsidRDefault="00A13301" w:rsidP="000D4946">
            <w:pPr>
              <w:rPr>
                <w:sz w:val="20"/>
                <w:szCs w:val="20"/>
                <w:lang w:val="en-US"/>
              </w:rPr>
            </w:pPr>
            <w:r w:rsidRPr="00EB32A9">
              <w:rPr>
                <w:sz w:val="20"/>
                <w:szCs w:val="20"/>
                <w:lang w:val="en-US"/>
              </w:rPr>
              <w:t xml:space="preserve">Azarov Vladimir Borisovich </w:t>
            </w:r>
          </w:p>
          <w:p w:rsidR="00A13301" w:rsidRPr="00EB32A9" w:rsidRDefault="00A13301" w:rsidP="000D4946">
            <w:pPr>
              <w:rPr>
                <w:sz w:val="20"/>
                <w:szCs w:val="20"/>
                <w:lang w:val="en-US"/>
              </w:rPr>
            </w:pPr>
            <w:r w:rsidRPr="00EB32A9">
              <w:rPr>
                <w:sz w:val="20"/>
                <w:szCs w:val="20"/>
                <w:lang w:val="en-US"/>
              </w:rPr>
              <w:t>Dr.Sc</w:t>
            </w:r>
            <w:r>
              <w:rPr>
                <w:sz w:val="20"/>
                <w:szCs w:val="20"/>
                <w:lang w:val="en-US"/>
              </w:rPr>
              <w:t>i</w:t>
            </w:r>
            <w:r w:rsidRPr="00EB32A9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  <w:lang w:val="en-US"/>
              </w:rPr>
              <w:t>Agr., professor</w:t>
            </w:r>
          </w:p>
        </w:tc>
      </w:tr>
      <w:tr w:rsidR="00A13301" w:rsidRPr="005C5A03" w:rsidTr="000D4946">
        <w:tc>
          <w:tcPr>
            <w:tcW w:w="4657" w:type="dxa"/>
          </w:tcPr>
          <w:p w:rsidR="00A13301" w:rsidRPr="00767017" w:rsidRDefault="00A13301" w:rsidP="000D4946">
            <w:pPr>
              <w:rPr>
                <w:i/>
                <w:sz w:val="20"/>
                <w:szCs w:val="20"/>
              </w:rPr>
            </w:pPr>
            <w:r w:rsidRPr="005D5CB2">
              <w:rPr>
                <w:i/>
                <w:sz w:val="20"/>
                <w:szCs w:val="20"/>
              </w:rPr>
              <w:t>Белгородская</w:t>
            </w:r>
            <w:r w:rsidRPr="00767017">
              <w:rPr>
                <w:i/>
                <w:sz w:val="20"/>
                <w:szCs w:val="20"/>
              </w:rPr>
              <w:t xml:space="preserve"> </w:t>
            </w:r>
            <w:r w:rsidRPr="005D5CB2">
              <w:rPr>
                <w:i/>
                <w:sz w:val="20"/>
                <w:szCs w:val="20"/>
              </w:rPr>
              <w:t>государственная</w:t>
            </w:r>
            <w:r w:rsidRPr="00767017">
              <w:rPr>
                <w:i/>
                <w:sz w:val="20"/>
                <w:szCs w:val="20"/>
              </w:rPr>
              <w:t xml:space="preserve"> </w:t>
            </w:r>
            <w:r w:rsidRPr="005D5CB2">
              <w:rPr>
                <w:i/>
                <w:sz w:val="20"/>
                <w:szCs w:val="20"/>
              </w:rPr>
              <w:t>сельскохозяйственная</w:t>
            </w:r>
            <w:r w:rsidRPr="00767017">
              <w:rPr>
                <w:i/>
                <w:sz w:val="20"/>
                <w:szCs w:val="20"/>
              </w:rPr>
              <w:t xml:space="preserve"> </w:t>
            </w:r>
            <w:r w:rsidRPr="005D5CB2">
              <w:rPr>
                <w:i/>
                <w:sz w:val="20"/>
                <w:szCs w:val="20"/>
              </w:rPr>
              <w:t>академия</w:t>
            </w:r>
            <w:r w:rsidRPr="00767017">
              <w:rPr>
                <w:i/>
                <w:sz w:val="20"/>
                <w:szCs w:val="20"/>
              </w:rPr>
              <w:t xml:space="preserve">, </w:t>
            </w:r>
            <w:r w:rsidRPr="005D5CB2">
              <w:rPr>
                <w:i/>
                <w:sz w:val="20"/>
                <w:szCs w:val="20"/>
              </w:rPr>
              <w:t>Белгород</w:t>
            </w:r>
            <w:r w:rsidRPr="00767017">
              <w:rPr>
                <w:i/>
                <w:sz w:val="20"/>
                <w:szCs w:val="20"/>
              </w:rPr>
              <w:t xml:space="preserve">, </w:t>
            </w:r>
            <w:r w:rsidRPr="005D5CB2">
              <w:rPr>
                <w:i/>
                <w:sz w:val="20"/>
                <w:szCs w:val="20"/>
              </w:rPr>
              <w:t>Россия</w:t>
            </w:r>
          </w:p>
        </w:tc>
        <w:tc>
          <w:tcPr>
            <w:tcW w:w="4629" w:type="dxa"/>
          </w:tcPr>
          <w:p w:rsidR="00A13301" w:rsidRPr="005D5CB2" w:rsidRDefault="00A13301" w:rsidP="000D4946">
            <w:pPr>
              <w:rPr>
                <w:i/>
                <w:sz w:val="20"/>
                <w:szCs w:val="20"/>
                <w:lang w:val="en-US"/>
              </w:rPr>
            </w:pPr>
            <w:r w:rsidRPr="005D5CB2">
              <w:rPr>
                <w:i/>
                <w:sz w:val="20"/>
                <w:szCs w:val="20"/>
                <w:lang w:val="en-US"/>
              </w:rPr>
              <w:t>Belgorod State agricultural academy, Belgorod, Russia</w:t>
            </w:r>
          </w:p>
        </w:tc>
      </w:tr>
      <w:tr w:rsidR="00A13301" w:rsidRPr="005C5A03" w:rsidTr="000D4946">
        <w:tc>
          <w:tcPr>
            <w:tcW w:w="4657" w:type="dxa"/>
          </w:tcPr>
          <w:p w:rsidR="00A13301" w:rsidRPr="00EB32A9" w:rsidRDefault="00A13301" w:rsidP="000D494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629" w:type="dxa"/>
          </w:tcPr>
          <w:p w:rsidR="00A13301" w:rsidRPr="00EB32A9" w:rsidRDefault="00A13301" w:rsidP="000D4946">
            <w:pPr>
              <w:rPr>
                <w:b/>
                <w:sz w:val="20"/>
                <w:szCs w:val="20"/>
                <w:lang w:val="en-US"/>
              </w:rPr>
            </w:pPr>
          </w:p>
        </w:tc>
      </w:tr>
      <w:tr w:rsidR="00A13301" w:rsidRPr="005C5A03" w:rsidTr="000D4946">
        <w:tc>
          <w:tcPr>
            <w:tcW w:w="4657" w:type="dxa"/>
          </w:tcPr>
          <w:p w:rsidR="00A13301" w:rsidRPr="009A4D69" w:rsidRDefault="00A13301" w:rsidP="000D4946">
            <w:pPr>
              <w:rPr>
                <w:sz w:val="20"/>
                <w:szCs w:val="20"/>
              </w:rPr>
            </w:pPr>
            <w:bookmarkStart w:id="3" w:name="OLE_LINK156"/>
            <w:bookmarkStart w:id="4" w:name="OLE_LINK157"/>
            <w:r w:rsidRPr="00EB32A9">
              <w:rPr>
                <w:sz w:val="20"/>
                <w:szCs w:val="20"/>
              </w:rPr>
              <w:t>В статье представлены результаты исследования по определению изменения показателей плодородия в черноземе типичном Белгородской области после трех ротаций полевых севооборотов при различных технологиях возделывани</w:t>
            </w:r>
            <w:r>
              <w:rPr>
                <w:sz w:val="20"/>
                <w:szCs w:val="20"/>
              </w:rPr>
              <w:t>я сельскохозяйственных культур</w:t>
            </w:r>
            <w:bookmarkEnd w:id="3"/>
            <w:bookmarkEnd w:id="4"/>
          </w:p>
        </w:tc>
        <w:tc>
          <w:tcPr>
            <w:tcW w:w="4629" w:type="dxa"/>
          </w:tcPr>
          <w:p w:rsidR="00A13301" w:rsidRPr="00EB32A9" w:rsidRDefault="00A13301" w:rsidP="000D4946">
            <w:pPr>
              <w:rPr>
                <w:sz w:val="20"/>
                <w:szCs w:val="20"/>
                <w:lang w:val="en-US"/>
              </w:rPr>
            </w:pPr>
            <w:r w:rsidRPr="00EB32A9">
              <w:rPr>
                <w:sz w:val="20"/>
                <w:szCs w:val="20"/>
                <w:lang w:val="en-US"/>
              </w:rPr>
              <w:t xml:space="preserve">The article presents the results of </w:t>
            </w:r>
            <w:r>
              <w:rPr>
                <w:sz w:val="20"/>
                <w:szCs w:val="20"/>
                <w:lang w:val="en-US"/>
              </w:rPr>
              <w:t xml:space="preserve">the </w:t>
            </w:r>
            <w:r w:rsidRPr="00EB32A9">
              <w:rPr>
                <w:sz w:val="20"/>
                <w:szCs w:val="20"/>
                <w:lang w:val="en-US"/>
              </w:rPr>
              <w:t>studies to determine the changes of fertility parameters in typical</w:t>
            </w:r>
            <w:r>
              <w:rPr>
                <w:sz w:val="20"/>
                <w:szCs w:val="20"/>
                <w:lang w:val="en-US"/>
              </w:rPr>
              <w:t xml:space="preserve"> black soils of the</w:t>
            </w:r>
            <w:r w:rsidRPr="00EB32A9">
              <w:rPr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 w:rsidRPr="00EB32A9">
                  <w:rPr>
                    <w:sz w:val="20"/>
                    <w:szCs w:val="20"/>
                    <w:lang w:val="en-US"/>
                  </w:rPr>
                  <w:t>Belgorod</w:t>
                </w:r>
              </w:smartTag>
            </w:smartTag>
            <w:r w:rsidRPr="00EB32A9">
              <w:rPr>
                <w:sz w:val="20"/>
                <w:szCs w:val="20"/>
                <w:lang w:val="en-US"/>
              </w:rPr>
              <w:t xml:space="preserve"> region after three rotations in field crop </w:t>
            </w:r>
            <w:r>
              <w:rPr>
                <w:sz w:val="20"/>
                <w:szCs w:val="20"/>
                <w:lang w:val="en-US"/>
              </w:rPr>
              <w:t>while applying</w:t>
            </w:r>
            <w:r w:rsidRPr="00EB32A9">
              <w:rPr>
                <w:sz w:val="20"/>
                <w:szCs w:val="20"/>
                <w:lang w:val="en-US"/>
              </w:rPr>
              <w:t xml:space="preserve"> various technologies of cu</w:t>
            </w:r>
            <w:r>
              <w:rPr>
                <w:sz w:val="20"/>
                <w:szCs w:val="20"/>
                <w:lang w:val="en-US"/>
              </w:rPr>
              <w:t>ltivation of agricultural crops</w:t>
            </w:r>
          </w:p>
        </w:tc>
      </w:tr>
      <w:tr w:rsidR="00A13301" w:rsidRPr="005C5A03" w:rsidTr="000D4946">
        <w:tc>
          <w:tcPr>
            <w:tcW w:w="4657" w:type="dxa"/>
          </w:tcPr>
          <w:p w:rsidR="00A13301" w:rsidRPr="00EB32A9" w:rsidRDefault="00A13301" w:rsidP="000D4946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629" w:type="dxa"/>
          </w:tcPr>
          <w:p w:rsidR="00A13301" w:rsidRPr="00EB32A9" w:rsidRDefault="00A13301" w:rsidP="000D4946">
            <w:pPr>
              <w:rPr>
                <w:b/>
                <w:sz w:val="20"/>
                <w:szCs w:val="20"/>
                <w:lang w:val="en-US"/>
              </w:rPr>
            </w:pPr>
          </w:p>
        </w:tc>
      </w:tr>
      <w:tr w:rsidR="00A13301" w:rsidRPr="005C5A03" w:rsidTr="000D4946">
        <w:tc>
          <w:tcPr>
            <w:tcW w:w="4657" w:type="dxa"/>
          </w:tcPr>
          <w:p w:rsidR="00A13301" w:rsidRPr="00EB32A9" w:rsidRDefault="00A13301" w:rsidP="000D4946">
            <w:pPr>
              <w:rPr>
                <w:sz w:val="20"/>
                <w:szCs w:val="20"/>
              </w:rPr>
            </w:pPr>
            <w:r w:rsidRPr="00EB32A9">
              <w:rPr>
                <w:sz w:val="20"/>
                <w:szCs w:val="20"/>
              </w:rPr>
              <w:t>Ключевые слова: ЧЕРНОЗЕМЫ, ГУМУС, АЗОТ, ФОСФОР, КАЛИЙ, АГРОТЕХНОЛОГИИ, КИСЛОТНОСТЬ</w:t>
            </w:r>
          </w:p>
        </w:tc>
        <w:tc>
          <w:tcPr>
            <w:tcW w:w="4629" w:type="dxa"/>
          </w:tcPr>
          <w:p w:rsidR="00A13301" w:rsidRPr="00EB32A9" w:rsidRDefault="00A13301" w:rsidP="000D494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Keywords: BLACK SOIL</w:t>
            </w:r>
            <w:r w:rsidRPr="00EB32A9">
              <w:rPr>
                <w:sz w:val="20"/>
                <w:szCs w:val="20"/>
                <w:lang w:val="en-US"/>
              </w:rPr>
              <w:t>, HUMUS, NITROGEN, PHOSPHORUS, POTASSIUM, AGROTECHNOLOGY, ACID</w:t>
            </w:r>
            <w:r>
              <w:rPr>
                <w:sz w:val="20"/>
                <w:szCs w:val="20"/>
                <w:lang w:val="en-US"/>
              </w:rPr>
              <w:t>ITY</w:t>
            </w:r>
          </w:p>
        </w:tc>
      </w:tr>
    </w:tbl>
    <w:p w:rsidR="00A13301" w:rsidRPr="003F69B9" w:rsidRDefault="00A13301" w:rsidP="00E8179E">
      <w:pPr>
        <w:pStyle w:val="p4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  <w:lang w:val="en-US"/>
        </w:rPr>
      </w:pPr>
    </w:p>
    <w:p w:rsidR="00A13301" w:rsidRDefault="00A13301" w:rsidP="00E81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1987 году в юго-западной части ЦЧЗ на опытном поле центрально-черноземного филиала ВИУА был заложен многолетний стационарный полевой опыт (полигонный мониторинг) с целью определения воздействия антропогенных факторов на признаки и свойства почвы, разработки системы агромероприятий по повышению почвенного плодородия и продуктивности сельскохозяйственных культур.</w:t>
      </w:r>
    </w:p>
    <w:p w:rsidR="00A13301" w:rsidRDefault="00A13301" w:rsidP="00E8179E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Методика проведения полевого опыта</w:t>
      </w:r>
    </w:p>
    <w:p w:rsidR="00A13301" w:rsidRDefault="00A13301" w:rsidP="00E81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Площадь полевого опыта составляет </w:t>
      </w:r>
      <w:smartTag w:uri="urn:schemas-microsoft-com:office:smarttags" w:element="metricconverter">
        <w:smartTagPr>
          <w:attr w:name="ProductID" w:val="22,5 га"/>
        </w:smartTagPr>
        <w:r>
          <w:rPr>
            <w:sz w:val="28"/>
            <w:szCs w:val="28"/>
          </w:rPr>
          <w:t>22,5 га</w:t>
        </w:r>
      </w:smartTag>
      <w:r>
        <w:rPr>
          <w:sz w:val="28"/>
          <w:szCs w:val="28"/>
        </w:rPr>
        <w:t xml:space="preserve">, а делянки </w:t>
      </w:r>
      <w:smartTag w:uri="urn:schemas-microsoft-com:office:smarttags" w:element="metricconverter">
        <w:smartTagPr>
          <w:attr w:name="ProductID" w:val="120 м2"/>
        </w:smartTagPr>
        <w:r>
          <w:rPr>
            <w:sz w:val="28"/>
            <w:szCs w:val="28"/>
          </w:rPr>
          <w:t>120 м</w:t>
        </w:r>
        <w:r>
          <w:rPr>
            <w:sz w:val="28"/>
            <w:szCs w:val="28"/>
            <w:vertAlign w:val="superscript"/>
          </w:rPr>
          <w:t>2</w:t>
        </w:r>
      </w:smartTag>
      <w:r>
        <w:rPr>
          <w:sz w:val="28"/>
          <w:szCs w:val="28"/>
        </w:rPr>
        <w:t xml:space="preserve"> (4м×30м). Повторность опыта 3-х кратная общее количество делянок 1215. Опыт развёрнут в натуре на пяти полях.</w:t>
      </w:r>
    </w:p>
    <w:p w:rsidR="00A13301" w:rsidRDefault="00A13301" w:rsidP="00E81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Почва опытного участка наиболее распространённая на территории Белгородской области - чернозем типичный среднемощный малогумусный тяжелосуглинистый на лессовидном суглинке с содержанием по делянкам опыта в пахотном слое 5,1-5,6 % гумуса, 48-57 мг подвижного фосфора, 92-121 мг обменного калия на </w:t>
      </w:r>
      <w:smartTag w:uri="urn:schemas-microsoft-com:office:smarttags" w:element="metricconverter">
        <w:smartTagPr>
          <w:attr w:name="ProductID" w:val="1 кг"/>
        </w:smartTagPr>
        <w:r>
          <w:rPr>
            <w:sz w:val="28"/>
            <w:szCs w:val="28"/>
          </w:rPr>
          <w:t>1 кг</w:t>
        </w:r>
      </w:smartTag>
      <w:r>
        <w:rPr>
          <w:sz w:val="28"/>
          <w:szCs w:val="28"/>
        </w:rPr>
        <w:t xml:space="preserve"> почвы, рН солевой вытяжки 5,8-6,4. </w:t>
      </w:r>
      <w:r>
        <w:rPr>
          <w:sz w:val="28"/>
          <w:szCs w:val="28"/>
        </w:rPr>
        <w:lastRenderedPageBreak/>
        <w:t>Таким образом, почва опытного участка является типичной для преобладающей части земель сельскохозяйственного назначения в ЦЧЗ (Докучаев, 1952, Азаров, 2012)</w:t>
      </w:r>
    </w:p>
    <w:p w:rsidR="00A13301" w:rsidRDefault="00A13301" w:rsidP="00E81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полевом опыте изучаются влияние на плодородие черноземов и продуктивность сельскохозяйственных культур севооборотов, способов основной обработки почв, различных доз внесения органических и минеральных удобрений.</w:t>
      </w:r>
    </w:p>
    <w:p w:rsidR="00A13301" w:rsidRDefault="00A13301" w:rsidP="00E81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Севообороты с различной насыщенностью в структуре посевных площадей пропашными культурами: 20 % - зернотравяной, 40 %  - зернопропашной, 80% - зернопаропропашной.</w:t>
      </w:r>
    </w:p>
    <w:p w:rsidR="00A13301" w:rsidRDefault="00A13301" w:rsidP="00E81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Чередование культур в севообороте.</w:t>
      </w:r>
    </w:p>
    <w:p w:rsidR="00A13301" w:rsidRDefault="00A13301" w:rsidP="00E81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Зернотравяной            Зернопропашной      Зернопаропропашной</w:t>
      </w:r>
    </w:p>
    <w:p w:rsidR="00A13301" w:rsidRDefault="00A13301" w:rsidP="00E8179E">
      <w:pPr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Озимая пшеница   1. Озимая пшеница     1. Озимая пшеница                                                   </w:t>
      </w:r>
    </w:p>
    <w:p w:rsidR="00A13301" w:rsidRDefault="00A13301" w:rsidP="00E8179E">
      <w:pPr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Сахарная свекла    2. Сахарная свекла      2. Сахарная свекла</w:t>
      </w:r>
    </w:p>
    <w:p w:rsidR="00A13301" w:rsidRDefault="00A13301" w:rsidP="00E8179E">
      <w:pPr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Ячмень+ травы      3. Ячмень                     3. Кукуруза н/силос</w:t>
      </w:r>
    </w:p>
    <w:p w:rsidR="00A13301" w:rsidRDefault="00A13301" w:rsidP="00E8179E">
      <w:pPr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Мн. травы </w:t>
      </w:r>
      <w:smartTag w:uri="urn:schemas-microsoft-com:office:smarttags" w:element="metricconverter">
        <w:smartTagPr>
          <w:attr w:name="ProductID" w:val="1 г"/>
        </w:smartTagPr>
        <w:r>
          <w:rPr>
            <w:sz w:val="28"/>
            <w:szCs w:val="28"/>
          </w:rPr>
          <w:t>1 г</w:t>
        </w:r>
      </w:smartTag>
      <w:r>
        <w:rPr>
          <w:sz w:val="28"/>
          <w:szCs w:val="28"/>
        </w:rPr>
        <w:t>.п.     4. Кукуруза н/силос     4. Кукуруза н/зерно</w:t>
      </w:r>
    </w:p>
    <w:p w:rsidR="00A13301" w:rsidRDefault="00A13301" w:rsidP="00E8179E">
      <w:pPr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Мн. травы </w:t>
      </w:r>
      <w:smartTag w:uri="urn:schemas-microsoft-com:office:smarttags" w:element="metricconverter">
        <w:smartTagPr>
          <w:attr w:name="ProductID" w:val="2 г"/>
        </w:smartTagPr>
        <w:r>
          <w:rPr>
            <w:sz w:val="28"/>
            <w:szCs w:val="28"/>
          </w:rPr>
          <w:t>2 г</w:t>
        </w:r>
      </w:smartTag>
      <w:r>
        <w:rPr>
          <w:sz w:val="28"/>
          <w:szCs w:val="28"/>
        </w:rPr>
        <w:t>.п.     5. Горох                        5. Черный пар</w:t>
      </w:r>
    </w:p>
    <w:p w:rsidR="00A13301" w:rsidRDefault="00A13301" w:rsidP="00E8179E">
      <w:pPr>
        <w:widowControl w:val="0"/>
        <w:shd w:val="clear" w:color="auto" w:fill="FFFFFF"/>
        <w:tabs>
          <w:tab w:val="left" w:pos="298"/>
          <w:tab w:val="left" w:pos="3402"/>
          <w:tab w:val="left" w:pos="6422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опыте изучали три способа основной обработки почвы – вспашку, безотвальную и минимальную обработки, три системы удобрения: органическую, минеральную и органо-минеральную с тремя уровнями удобренности (без удобрений, одну и две дозы удобрений и их комбинаций).</w:t>
      </w:r>
    </w:p>
    <w:p w:rsidR="00A13301" w:rsidRDefault="00A13301" w:rsidP="00E8179E">
      <w:pPr>
        <w:widowControl w:val="0"/>
        <w:shd w:val="clear" w:color="auto" w:fill="FFFFFF"/>
        <w:tabs>
          <w:tab w:val="left" w:pos="298"/>
          <w:tab w:val="left" w:pos="3402"/>
          <w:tab w:val="left" w:pos="6422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Вспашка предусматривала отвальное рыхление верхнего слоя почвы в зависимости от возделываемой культуры на глубину 22-</w:t>
      </w:r>
      <w:smartTag w:uri="urn:schemas-microsoft-com:office:smarttags" w:element="metricconverter">
        <w:smartTagPr>
          <w:attr w:name="ProductID" w:val="27 см"/>
        </w:smartTagPr>
        <w:r>
          <w:rPr>
            <w:sz w:val="28"/>
            <w:szCs w:val="28"/>
          </w:rPr>
          <w:t>27 см</w:t>
        </w:r>
      </w:smartTag>
      <w:r>
        <w:rPr>
          <w:sz w:val="28"/>
          <w:szCs w:val="28"/>
        </w:rPr>
        <w:t>. Безотвальная обработка проводилась на ту же глубину, только без оборота пласта почвы (плуг типа «Параплау»). При минимальной обработке рыхление осуществляли на глубину 10-</w:t>
      </w:r>
      <w:smartTag w:uri="urn:schemas-microsoft-com:office:smarttags" w:element="metricconverter">
        <w:smartTagPr>
          <w:attr w:name="ProductID" w:val="15 см"/>
        </w:smartTagPr>
        <w:r>
          <w:rPr>
            <w:sz w:val="28"/>
            <w:szCs w:val="28"/>
          </w:rPr>
          <w:t>15 см</w:t>
        </w:r>
      </w:smartTag>
      <w:r>
        <w:rPr>
          <w:sz w:val="28"/>
          <w:szCs w:val="28"/>
        </w:rPr>
        <w:t>.</w:t>
      </w:r>
    </w:p>
    <w:p w:rsidR="00A13301" w:rsidRDefault="00A13301" w:rsidP="005C5A03">
      <w:pPr>
        <w:widowControl w:val="0"/>
        <w:shd w:val="clear" w:color="auto" w:fill="FFFFFF"/>
        <w:tabs>
          <w:tab w:val="left" w:pos="298"/>
          <w:tab w:val="left" w:pos="3402"/>
          <w:tab w:val="left" w:pos="6422"/>
        </w:tabs>
        <w:autoSpaceDE w:val="0"/>
        <w:autoSpaceDN w:val="0"/>
        <w:adjustRightInd w:val="0"/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органических удобрений вносили навоз КРС один раз за ротацию севооборотов под сахарную свёклу в одной дозе (40 т/га) и двойной (80 </w:t>
      </w:r>
      <w:r>
        <w:rPr>
          <w:sz w:val="28"/>
          <w:szCs w:val="28"/>
        </w:rPr>
        <w:lastRenderedPageBreak/>
        <w:t>т/га), приходящиеся на гектар севооборотной площади соответственно  по 8 и 16 т. Дозы навоза рассчитывали на простое и расширенное воспроизводство плодородия почв.</w:t>
      </w:r>
    </w:p>
    <w:p w:rsidR="00A13301" w:rsidRDefault="00A13301" w:rsidP="005C5A03">
      <w:pPr>
        <w:tabs>
          <w:tab w:val="left" w:pos="0"/>
          <w:tab w:val="left" w:pos="180"/>
        </w:tabs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Минеральные удобрения вносили ежегодно под каждую культуру. Одинарная доза удобрений (50-</w:t>
      </w:r>
      <w:smartTag w:uri="urn:schemas-microsoft-com:office:smarttags" w:element="metricconverter">
        <w:smartTagPr>
          <w:attr w:name="ProductID" w:val="90 кг"/>
        </w:smartTagPr>
        <w:r>
          <w:rPr>
            <w:sz w:val="28"/>
            <w:szCs w:val="28"/>
          </w:rPr>
          <w:t>90 кг</w:t>
        </w:r>
      </w:smartTag>
      <w:r>
        <w:rPr>
          <w:sz w:val="28"/>
          <w:szCs w:val="28"/>
        </w:rPr>
        <w:t xml:space="preserve"> д.в. на га) рассчитана на простое воспроизводство почвенного плодородия, а двойная доза (100-</w:t>
      </w:r>
      <w:smartTag w:uri="urn:schemas-microsoft-com:office:smarttags" w:element="metricconverter">
        <w:smartTagPr>
          <w:attr w:name="ProductID" w:val="180 кг"/>
        </w:smartTagPr>
        <w:r>
          <w:rPr>
            <w:sz w:val="28"/>
            <w:szCs w:val="28"/>
          </w:rPr>
          <w:t>180 кг</w:t>
        </w:r>
      </w:smartTag>
      <w:r>
        <w:rPr>
          <w:sz w:val="28"/>
          <w:szCs w:val="28"/>
        </w:rPr>
        <w:t xml:space="preserve"> д.в. на га) – на расширенное.</w:t>
      </w:r>
    </w:p>
    <w:p w:rsidR="00A13301" w:rsidRDefault="00A13301" w:rsidP="005C5A03">
      <w:pPr>
        <w:pStyle w:val="p4"/>
        <w:spacing w:before="240" w:beforeAutospacing="0" w:after="0" w:afterAutospacing="0"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полевом опыте при возделывании сельскохозяйственных культур использовали общепринятую для Центрально-Чернозёмного региона агротехнику (Щербаков, Васенев, 1996, Азаров, Клостер, Соловиченко, 2012).</w:t>
      </w:r>
    </w:p>
    <w:p w:rsidR="00A13301" w:rsidRDefault="00A13301" w:rsidP="005C5A03">
      <w:pPr>
        <w:spacing w:line="33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Результаты научно-исследовательских работ</w:t>
      </w:r>
    </w:p>
    <w:p w:rsidR="00A13301" w:rsidRDefault="00A13301" w:rsidP="005C5A03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завершению трёх ротаций севооборотов произошли существенные изменения в содержании и качественном составе гумуса, питательном режиме, кислотности, агрофизических свойствах и биологической активности почвы.</w:t>
      </w:r>
    </w:p>
    <w:p w:rsidR="00A13301" w:rsidRDefault="00A13301" w:rsidP="005C5A03">
      <w:pPr>
        <w:spacing w:line="336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Наши </w:t>
      </w:r>
      <w:r>
        <w:rPr>
          <w:sz w:val="28"/>
          <w:szCs w:val="28"/>
        </w:rPr>
        <w:t xml:space="preserve">исследования показали, что на почвах зернотравяного севооборота, где многолетние травы занимают 40% площади, независимо от удобрений и способов обработки почвы наблюдается положительное </w:t>
      </w:r>
      <w:r>
        <w:rPr>
          <w:i/>
          <w:sz w:val="28"/>
          <w:szCs w:val="28"/>
        </w:rPr>
        <w:t>содержание гумуса</w:t>
      </w:r>
      <w:r>
        <w:rPr>
          <w:sz w:val="28"/>
          <w:szCs w:val="28"/>
        </w:rPr>
        <w:t xml:space="preserve"> (табл.1</w:t>
      </w:r>
      <w:r w:rsidRPr="00FB2316">
        <w:rPr>
          <w:sz w:val="28"/>
          <w:szCs w:val="28"/>
        </w:rPr>
        <w:t>)</w:t>
      </w:r>
      <w:r>
        <w:rPr>
          <w:sz w:val="28"/>
          <w:szCs w:val="28"/>
        </w:rPr>
        <w:t>. Содержание его в слое почвы 0-</w:t>
      </w:r>
      <w:smartTag w:uri="urn:schemas-microsoft-com:office:smarttags" w:element="metricconverter">
        <w:smartTagPr>
          <w:attr w:name="ProductID" w:val="30 см"/>
        </w:smartTagPr>
        <w:r>
          <w:rPr>
            <w:sz w:val="28"/>
            <w:szCs w:val="28"/>
          </w:rPr>
          <w:t>30 см</w:t>
        </w:r>
      </w:smartTag>
      <w:r>
        <w:rPr>
          <w:sz w:val="28"/>
          <w:szCs w:val="28"/>
        </w:rPr>
        <w:t xml:space="preserve"> увеличилось в среднем на 0,52 абсолютных процента, при исходном содержании 5,21%. Существенный прирост содержания гумуса получен на варианте с абсолютным контролем (без удобрений). Увеличение здесь составило 0,54%. На фоне минеральных удобрений в этом севообороте содержание гумуса увеличивалось на 0,44%, а при внесении навоза на 0,66 %. Совместное внесение органических и минеральных удобрений в сравнении с абсолютным контролем увеличило содержание гумуса примерно на 0,7%.</w:t>
      </w:r>
    </w:p>
    <w:p w:rsidR="00A13301" w:rsidRDefault="00A13301" w:rsidP="00FB231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гумуса снизилось в пропашных севооборотах как на вариантах без удобрений, так и с внесением одних минеральных </w:t>
      </w:r>
      <w:r>
        <w:rPr>
          <w:sz w:val="28"/>
          <w:szCs w:val="28"/>
        </w:rPr>
        <w:lastRenderedPageBreak/>
        <w:t xml:space="preserve">удобрений на 0,23-0,43 %. Наибольшее снижение данного показателя произошло в зернопаропропашном севообороте по вспашке. Лишь внесение органических или совместное органических и минеральных удобрений стабилизирует и повышает содержание гумуса в почве. При внесении 8 т навоза на гектар севооборотной площади происходит увеличение содержания гумуса до 0,20 %. Внесение 16 т/га навоза увеличивает содержание гумуса до 0,44 % Наибольшие величины отмечены при безотвальной и минимальной обработках почвы. </w:t>
      </w:r>
    </w:p>
    <w:p w:rsidR="00A13301" w:rsidRDefault="00A13301" w:rsidP="005C5A03">
      <w:pPr>
        <w:ind w:firstLine="561"/>
        <w:jc w:val="right"/>
        <w:rPr>
          <w:b/>
        </w:rPr>
      </w:pPr>
      <w:r>
        <w:rPr>
          <w:b/>
        </w:rPr>
        <w:t>Таблица 1</w:t>
      </w:r>
    </w:p>
    <w:p w:rsidR="00A13301" w:rsidRDefault="00A13301" w:rsidP="005C5A03">
      <w:pPr>
        <w:jc w:val="center"/>
        <w:rPr>
          <w:b/>
        </w:rPr>
      </w:pPr>
      <w:r>
        <w:rPr>
          <w:b/>
        </w:rPr>
        <w:t>Влияние севооборотов, способов обработки и удобрений на</w:t>
      </w:r>
    </w:p>
    <w:p w:rsidR="00A13301" w:rsidRDefault="00A13301" w:rsidP="005C5A03">
      <w:pPr>
        <w:jc w:val="center"/>
        <w:rPr>
          <w:b/>
        </w:rPr>
      </w:pPr>
      <w:r>
        <w:rPr>
          <w:b/>
        </w:rPr>
        <w:t xml:space="preserve">изменение содержания гумуса после трёх ротаций севооборотов, % </w:t>
      </w:r>
    </w:p>
    <w:p w:rsidR="00A13301" w:rsidRDefault="00A13301" w:rsidP="005C5A03">
      <w:pPr>
        <w:jc w:val="center"/>
        <w:rPr>
          <w:b/>
        </w:rPr>
      </w:pPr>
      <w:r>
        <w:rPr>
          <w:b/>
        </w:rPr>
        <w:t>(верхнее число 0-</w:t>
      </w:r>
      <w:smartTag w:uri="urn:schemas-microsoft-com:office:smarttags" w:element="metricconverter">
        <w:smartTagPr>
          <w:attr w:name="ProductID" w:val="10 см"/>
        </w:smartTagPr>
        <w:r>
          <w:rPr>
            <w:b/>
          </w:rPr>
          <w:t>10 см</w:t>
        </w:r>
      </w:smartTag>
      <w:r>
        <w:rPr>
          <w:b/>
        </w:rPr>
        <w:t>, нижнее – 0-</w:t>
      </w:r>
      <w:smartTag w:uri="urn:schemas-microsoft-com:office:smarttags" w:element="metricconverter">
        <w:smartTagPr>
          <w:attr w:name="ProductID" w:val="30 см"/>
        </w:smartTagPr>
        <w:r>
          <w:rPr>
            <w:b/>
          </w:rPr>
          <w:t>30 см</w:t>
        </w:r>
      </w:smartTag>
      <w:r>
        <w:rPr>
          <w:b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6"/>
        <w:gridCol w:w="1474"/>
        <w:gridCol w:w="789"/>
        <w:gridCol w:w="789"/>
        <w:gridCol w:w="789"/>
        <w:gridCol w:w="789"/>
        <w:gridCol w:w="789"/>
        <w:gridCol w:w="789"/>
        <w:gridCol w:w="789"/>
        <w:gridCol w:w="789"/>
        <w:gridCol w:w="789"/>
      </w:tblGrid>
      <w:tr w:rsidR="00A13301" w:rsidTr="00E8179E">
        <w:trPr>
          <w:jc w:val="center"/>
        </w:trPr>
        <w:tc>
          <w:tcPr>
            <w:tcW w:w="2470" w:type="dxa"/>
            <w:gridSpan w:val="2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Внесено на </w:t>
            </w:r>
            <w:smartTag w:uri="urn:schemas-microsoft-com:office:smarttags" w:element="metricconverter">
              <w:smartTagPr>
                <w:attr w:name="ProductID" w:val="1 га"/>
              </w:smartTagPr>
              <w:r>
                <w:rPr>
                  <w:lang w:eastAsia="en-US"/>
                </w:rPr>
                <w:t>1 га</w:t>
              </w:r>
            </w:smartTag>
            <w:r>
              <w:rPr>
                <w:lang w:eastAsia="en-US"/>
              </w:rPr>
              <w:t xml:space="preserve"> севооборотной площади</w:t>
            </w:r>
          </w:p>
        </w:tc>
        <w:tc>
          <w:tcPr>
            <w:tcW w:w="2367" w:type="dxa"/>
            <w:gridSpan w:val="3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Зернотравяной 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севооборот (З/Т)</w:t>
            </w:r>
          </w:p>
        </w:tc>
        <w:tc>
          <w:tcPr>
            <w:tcW w:w="2367" w:type="dxa"/>
            <w:gridSpan w:val="3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Зернопропашной 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севооборот (З/П)</w:t>
            </w:r>
          </w:p>
        </w:tc>
        <w:tc>
          <w:tcPr>
            <w:tcW w:w="2367" w:type="dxa"/>
            <w:gridSpan w:val="3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Зернопаропропаш-ной севооборот (З/ПП)</w:t>
            </w:r>
          </w:p>
        </w:tc>
      </w:tr>
      <w:tr w:rsidR="00A13301" w:rsidTr="00E8179E">
        <w:trPr>
          <w:jc w:val="center"/>
        </w:trPr>
        <w:tc>
          <w:tcPr>
            <w:tcW w:w="996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навоз, т</w:t>
            </w:r>
          </w:p>
        </w:tc>
        <w:tc>
          <w:tcPr>
            <w:tcW w:w="1474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NPK</w:t>
            </w:r>
            <w:r>
              <w:rPr>
                <w:lang w:eastAsia="en-US"/>
              </w:rPr>
              <w:t>, доза,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кг д.в.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В*, 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+, -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Б, 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+, -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М,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+, -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В, 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+, -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Б, 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+, -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М,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+, -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В, 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+, -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Б, 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+, -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М,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+, -</w:t>
            </w:r>
          </w:p>
        </w:tc>
      </w:tr>
      <w:tr w:rsidR="00A13301" w:rsidTr="00E8179E">
        <w:trPr>
          <w:jc w:val="center"/>
        </w:trPr>
        <w:tc>
          <w:tcPr>
            <w:tcW w:w="2470" w:type="dxa"/>
            <w:gridSpan w:val="2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Исходное содержание в почве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5,28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5,23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5,25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5,22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5,26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5,18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5,25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5,23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5,30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5,22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5,26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5,21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5,26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5,21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5,25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5,23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5,39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5,32</w:t>
            </w:r>
          </w:p>
        </w:tc>
      </w:tr>
      <w:tr w:rsidR="00A13301" w:rsidTr="00E8179E">
        <w:trPr>
          <w:jc w:val="center"/>
        </w:trPr>
        <w:tc>
          <w:tcPr>
            <w:tcW w:w="996" w:type="dxa"/>
            <w:vMerge w:val="restart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474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0,57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0,55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0,63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0,59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0,54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0,50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-0,33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-0,30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-0,30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-0,24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-0,25 -0,22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-0,46 -0,43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-0,31 -0,26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-0,28 -0,24</w:t>
            </w:r>
          </w:p>
        </w:tc>
      </w:tr>
      <w:tr w:rsidR="00A13301" w:rsidTr="0037237C">
        <w:trPr>
          <w:jc w:val="center"/>
        </w:trPr>
        <w:tc>
          <w:tcPr>
            <w:tcW w:w="996" w:type="dxa"/>
            <w:vMerge/>
            <w:vAlign w:val="center"/>
          </w:tcPr>
          <w:p w:rsidR="00A13301" w:rsidRDefault="00A13301">
            <w:pPr>
              <w:rPr>
                <w:lang w:eastAsia="en-US"/>
              </w:rPr>
            </w:pPr>
          </w:p>
        </w:tc>
        <w:tc>
          <w:tcPr>
            <w:tcW w:w="1474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1*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0,46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0,45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0,48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0,36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0,48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0,38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-0,18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-0,16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-0,24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-0,21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-0,25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-0,20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-0,28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-0,25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-0,27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-0,21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-0,23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-0,20</w:t>
            </w:r>
          </w:p>
        </w:tc>
      </w:tr>
      <w:tr w:rsidR="00A13301" w:rsidTr="0037237C">
        <w:trPr>
          <w:jc w:val="center"/>
        </w:trPr>
        <w:tc>
          <w:tcPr>
            <w:tcW w:w="996" w:type="dxa"/>
            <w:vMerge/>
            <w:vAlign w:val="center"/>
          </w:tcPr>
          <w:p w:rsidR="00A13301" w:rsidRDefault="00A13301">
            <w:pPr>
              <w:rPr>
                <w:lang w:eastAsia="en-US"/>
              </w:rPr>
            </w:pPr>
          </w:p>
        </w:tc>
        <w:tc>
          <w:tcPr>
            <w:tcW w:w="1474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0,58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0,52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0,53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0,48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0,58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0,55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-0,41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-0,40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-0,35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-0,33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-0,33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-0,29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-0,52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-0,46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-0,58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-0,43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-0,60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-0,37</w:t>
            </w:r>
          </w:p>
        </w:tc>
      </w:tr>
      <w:tr w:rsidR="00A13301" w:rsidTr="00E8179E">
        <w:trPr>
          <w:jc w:val="center"/>
        </w:trPr>
        <w:tc>
          <w:tcPr>
            <w:tcW w:w="996" w:type="dxa"/>
            <w:vMerge w:val="restart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474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0,64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0,58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0,67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0,56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0,66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0,54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0,25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0,14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0,21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0,15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0,32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0,20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0,04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0,20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0,18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0,25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0,19</w:t>
            </w:r>
          </w:p>
        </w:tc>
      </w:tr>
      <w:tr w:rsidR="00A13301" w:rsidTr="0037237C">
        <w:trPr>
          <w:jc w:val="center"/>
        </w:trPr>
        <w:tc>
          <w:tcPr>
            <w:tcW w:w="996" w:type="dxa"/>
            <w:vMerge/>
            <w:vAlign w:val="center"/>
          </w:tcPr>
          <w:p w:rsidR="00A13301" w:rsidRDefault="00A13301">
            <w:pPr>
              <w:rPr>
                <w:lang w:eastAsia="en-US"/>
              </w:rPr>
            </w:pPr>
          </w:p>
        </w:tc>
        <w:tc>
          <w:tcPr>
            <w:tcW w:w="1474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0,57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0,51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0,58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0,51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0,63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0,60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0,30</w:t>
            </w:r>
            <w:r>
              <w:rPr>
                <w:lang w:eastAsia="en-US"/>
              </w:rPr>
              <w:br/>
              <w:t>0,29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0,22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0,22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0,26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0,23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0,13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0,05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0,25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0,20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0,25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0,18</w:t>
            </w:r>
          </w:p>
        </w:tc>
      </w:tr>
      <w:tr w:rsidR="00A13301" w:rsidTr="0037237C">
        <w:trPr>
          <w:jc w:val="center"/>
        </w:trPr>
        <w:tc>
          <w:tcPr>
            <w:tcW w:w="996" w:type="dxa"/>
            <w:vMerge/>
            <w:vAlign w:val="center"/>
          </w:tcPr>
          <w:p w:rsidR="00A13301" w:rsidRDefault="00A13301">
            <w:pPr>
              <w:rPr>
                <w:lang w:eastAsia="en-US"/>
              </w:rPr>
            </w:pPr>
          </w:p>
        </w:tc>
        <w:tc>
          <w:tcPr>
            <w:tcW w:w="1474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0,68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0,56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0,68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0,54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0,67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0,62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0,23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0,24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0,37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0,22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0,35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0,29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0,13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0,10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0,20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0,15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0,20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0,22</w:t>
            </w:r>
          </w:p>
        </w:tc>
      </w:tr>
      <w:tr w:rsidR="00A13301" w:rsidTr="00E8179E">
        <w:trPr>
          <w:jc w:val="center"/>
        </w:trPr>
        <w:tc>
          <w:tcPr>
            <w:tcW w:w="996" w:type="dxa"/>
            <w:vMerge w:val="restart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474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0,68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0,62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0,84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0,70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0,81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0,77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0,35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0,36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0,45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0,38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0,47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0,44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0,22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0,20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0,32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0,31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0,38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0,30</w:t>
            </w:r>
          </w:p>
        </w:tc>
      </w:tr>
      <w:tr w:rsidR="00A13301" w:rsidTr="0037237C">
        <w:trPr>
          <w:jc w:val="center"/>
        </w:trPr>
        <w:tc>
          <w:tcPr>
            <w:tcW w:w="996" w:type="dxa"/>
            <w:vMerge/>
            <w:vAlign w:val="center"/>
          </w:tcPr>
          <w:p w:rsidR="00A13301" w:rsidRDefault="00A13301">
            <w:pPr>
              <w:rPr>
                <w:lang w:eastAsia="en-US"/>
              </w:rPr>
            </w:pPr>
          </w:p>
        </w:tc>
        <w:tc>
          <w:tcPr>
            <w:tcW w:w="1474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0,61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0,54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0,70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0,61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0,68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0,63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0,56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0,53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0,66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0,56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0,70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0,68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0,38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0,32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0,45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0,39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0,47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0,42</w:t>
            </w:r>
          </w:p>
        </w:tc>
      </w:tr>
      <w:tr w:rsidR="00A13301" w:rsidTr="0037237C">
        <w:trPr>
          <w:jc w:val="center"/>
        </w:trPr>
        <w:tc>
          <w:tcPr>
            <w:tcW w:w="996" w:type="dxa"/>
            <w:vMerge/>
            <w:vAlign w:val="center"/>
          </w:tcPr>
          <w:p w:rsidR="00A13301" w:rsidRDefault="00A13301">
            <w:pPr>
              <w:rPr>
                <w:lang w:eastAsia="en-US"/>
              </w:rPr>
            </w:pPr>
          </w:p>
        </w:tc>
        <w:tc>
          <w:tcPr>
            <w:tcW w:w="1474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0,72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0,66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0,73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0,59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0,78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0,70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0,60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0,60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0,53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0,46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0,60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0,53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0,50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0,48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0,55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0,52</w:t>
            </w:r>
          </w:p>
        </w:tc>
        <w:tc>
          <w:tcPr>
            <w:tcW w:w="789" w:type="dxa"/>
            <w:vAlign w:val="center"/>
          </w:tcPr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0,69</w:t>
            </w:r>
          </w:p>
          <w:p w:rsidR="00A13301" w:rsidRDefault="00A1330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0,56</w:t>
            </w:r>
          </w:p>
        </w:tc>
      </w:tr>
    </w:tbl>
    <w:p w:rsidR="00A13301" w:rsidRDefault="00A13301" w:rsidP="005C5A03">
      <w:pPr>
        <w:ind w:firstLine="709"/>
        <w:rPr>
          <w:i/>
        </w:rPr>
      </w:pPr>
      <w:r>
        <w:rPr>
          <w:i/>
        </w:rPr>
        <w:t xml:space="preserve">Примечание. Способы обработки почвы: В – вспашка, Б – безотвальная, М – минимальная; удобрения: 1 доза З/Т – </w:t>
      </w:r>
      <w:r>
        <w:rPr>
          <w:i/>
          <w:lang w:val="en-US"/>
        </w:rPr>
        <w:t>N</w:t>
      </w:r>
      <w:r>
        <w:rPr>
          <w:i/>
          <w:vertAlign w:val="subscript"/>
        </w:rPr>
        <w:t>42</w:t>
      </w:r>
      <w:r>
        <w:rPr>
          <w:i/>
        </w:rPr>
        <w:t xml:space="preserve"> </w:t>
      </w:r>
      <w:r>
        <w:rPr>
          <w:i/>
          <w:lang w:val="en-US"/>
        </w:rPr>
        <w:t>P</w:t>
      </w:r>
      <w:r>
        <w:rPr>
          <w:i/>
          <w:vertAlign w:val="subscript"/>
        </w:rPr>
        <w:t>62</w:t>
      </w:r>
      <w:r>
        <w:rPr>
          <w:i/>
        </w:rPr>
        <w:t xml:space="preserve"> </w:t>
      </w:r>
      <w:r>
        <w:rPr>
          <w:i/>
          <w:lang w:val="en-US"/>
        </w:rPr>
        <w:t>K</w:t>
      </w:r>
      <w:r>
        <w:rPr>
          <w:i/>
          <w:vertAlign w:val="subscript"/>
        </w:rPr>
        <w:t xml:space="preserve">62 </w:t>
      </w:r>
      <w:r>
        <w:rPr>
          <w:i/>
        </w:rPr>
        <w:t xml:space="preserve">, З/П – </w:t>
      </w:r>
      <w:r>
        <w:rPr>
          <w:i/>
          <w:lang w:val="en-US"/>
        </w:rPr>
        <w:t>N</w:t>
      </w:r>
      <w:r>
        <w:rPr>
          <w:i/>
          <w:vertAlign w:val="subscript"/>
        </w:rPr>
        <w:t>62</w:t>
      </w:r>
      <w:r>
        <w:rPr>
          <w:i/>
        </w:rPr>
        <w:t xml:space="preserve"> </w:t>
      </w:r>
      <w:r>
        <w:rPr>
          <w:i/>
          <w:lang w:val="en-US"/>
        </w:rPr>
        <w:t>P</w:t>
      </w:r>
      <w:r>
        <w:rPr>
          <w:i/>
          <w:vertAlign w:val="subscript"/>
        </w:rPr>
        <w:t>62</w:t>
      </w:r>
      <w:r>
        <w:rPr>
          <w:i/>
        </w:rPr>
        <w:t xml:space="preserve"> </w:t>
      </w:r>
      <w:r>
        <w:rPr>
          <w:i/>
          <w:lang w:val="en-US"/>
        </w:rPr>
        <w:t>K</w:t>
      </w:r>
      <w:r>
        <w:rPr>
          <w:i/>
          <w:vertAlign w:val="subscript"/>
        </w:rPr>
        <w:t xml:space="preserve">62 </w:t>
      </w:r>
      <w:r>
        <w:rPr>
          <w:i/>
        </w:rPr>
        <w:t xml:space="preserve">, З/ПП – </w:t>
      </w:r>
      <w:r>
        <w:rPr>
          <w:i/>
          <w:lang w:val="en-US"/>
        </w:rPr>
        <w:t>N</w:t>
      </w:r>
      <w:r w:rsidRPr="00E8179E">
        <w:rPr>
          <w:i/>
        </w:rPr>
        <w:t xml:space="preserve"> </w:t>
      </w:r>
      <w:r>
        <w:rPr>
          <w:i/>
          <w:vertAlign w:val="subscript"/>
        </w:rPr>
        <w:t>54</w:t>
      </w:r>
      <w:r>
        <w:rPr>
          <w:i/>
        </w:rPr>
        <w:t xml:space="preserve"> </w:t>
      </w:r>
      <w:r>
        <w:rPr>
          <w:i/>
          <w:lang w:val="en-US"/>
        </w:rPr>
        <w:t>P</w:t>
      </w:r>
      <w:r>
        <w:rPr>
          <w:i/>
          <w:vertAlign w:val="subscript"/>
        </w:rPr>
        <w:t>62</w:t>
      </w:r>
      <w:r>
        <w:rPr>
          <w:i/>
        </w:rPr>
        <w:t xml:space="preserve"> </w:t>
      </w:r>
      <w:r>
        <w:rPr>
          <w:i/>
          <w:lang w:val="en-US"/>
        </w:rPr>
        <w:t>K</w:t>
      </w:r>
      <w:r>
        <w:rPr>
          <w:i/>
          <w:vertAlign w:val="subscript"/>
        </w:rPr>
        <w:t>62</w:t>
      </w:r>
      <w:r>
        <w:rPr>
          <w:i/>
        </w:rPr>
        <w:t xml:space="preserve"> ; (+, -) – отклонение в содержании гумуса в почве.</w:t>
      </w:r>
    </w:p>
    <w:p w:rsidR="00A13301" w:rsidRDefault="00A13301" w:rsidP="00E8179E">
      <w:pPr>
        <w:spacing w:line="360" w:lineRule="auto"/>
        <w:ind w:firstLine="709"/>
        <w:jc w:val="both"/>
        <w:rPr>
          <w:sz w:val="28"/>
          <w:szCs w:val="28"/>
        </w:rPr>
      </w:pPr>
      <w:bookmarkStart w:id="5" w:name="_GoBack"/>
      <w:bookmarkEnd w:id="5"/>
      <w:r>
        <w:rPr>
          <w:sz w:val="28"/>
          <w:szCs w:val="28"/>
        </w:rPr>
        <w:lastRenderedPageBreak/>
        <w:t>Совместное внесение органических и минеральных удобрений в пропашных севооборотах способствует ещё более значительному накоплению гумуса в почве. Его содержание возросло до 0,70 %. Содержание гумуса в слое почвы 0-</w:t>
      </w:r>
      <w:smartTag w:uri="urn:schemas-microsoft-com:office:smarttags" w:element="metricconverter">
        <w:smartTagPr>
          <w:attr w:name="ProductID" w:val="10 см"/>
        </w:smartTagPr>
        <w:r>
          <w:rPr>
            <w:sz w:val="28"/>
            <w:szCs w:val="28"/>
          </w:rPr>
          <w:t>10 см</w:t>
        </w:r>
      </w:smartTag>
      <w:r>
        <w:rPr>
          <w:sz w:val="28"/>
          <w:szCs w:val="28"/>
        </w:rPr>
        <w:t xml:space="preserve"> под влиянием изучаемых приёмов изменяется в такой же закономерности, что и в среднем для слоя 0-</w:t>
      </w:r>
      <w:smartTag w:uri="urn:schemas-microsoft-com:office:smarttags" w:element="metricconverter">
        <w:smartTagPr>
          <w:attr w:name="ProductID" w:val="30 см"/>
        </w:smartTagPr>
        <w:r>
          <w:rPr>
            <w:sz w:val="28"/>
            <w:szCs w:val="28"/>
          </w:rPr>
          <w:t>30 см</w:t>
        </w:r>
      </w:smartTag>
      <w:r>
        <w:rPr>
          <w:sz w:val="28"/>
          <w:szCs w:val="28"/>
        </w:rPr>
        <w:t xml:space="preserve">, однако в верхнем слое абсолютные значения содержания гумуса были наибольшими. </w:t>
      </w:r>
    </w:p>
    <w:p w:rsidR="00A13301" w:rsidRDefault="00A13301" w:rsidP="00E81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содержания гумуса в почве зернотравяного севооборота подтверждает положительную роль многолетних бобовых трав в его образовании, повышении плодородия почвы. По нашим данным, в слое почвы 0-50 см при урожае сена 60-90 ц/га остаётся 40-60 ц легкоразлагающихся растительных остатков, активно способствующих процессу гумификации. В пропашных севооборотах процессы минерализации гумуса почвы преобладают над процессами гумификации, что особенно выражено при малом внесении органических удобрений (Здоровцов, 1993).</w:t>
      </w:r>
    </w:p>
    <w:p w:rsidR="00A13301" w:rsidRDefault="00A13301" w:rsidP="00E81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Нами изучалось изменение группового и фракционного состава гумуса чернозёма типичного в зернотравяном и зернопаропропашном севооборотах при разных обработках почв и внесении удобрений за период с 1987 по 2002 годы.</w:t>
      </w:r>
    </w:p>
    <w:p w:rsidR="00A13301" w:rsidRDefault="00A13301" w:rsidP="00E81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15 летний период действия агроприёмов произошли заметные изменения во фракционно-групповом составе гумуса (Соловиченко, Тютюнов, 2013). Так, содержание углерода гумусовых веществ в слое  почвы 0-30 см составляло до начала эксперимента в среднем 3,3%. После трех ротаций севооборотов лишь на контроле и при внесении минеральных удобрений содержание органического углерода в почве под зернотравяным севооборотом практически осталось на прежнем уровне. При внесении органических и органо-минеральных удобрений произошло увеличение углерода в среднем на 0,09 абсолютных процента. Содержание гуминовых </w:t>
      </w:r>
      <w:r>
        <w:rPr>
          <w:sz w:val="28"/>
          <w:szCs w:val="28"/>
        </w:rPr>
        <w:lastRenderedPageBreak/>
        <w:t>кислот в почве при разных способах обработки в пахотном слое увеличилось с 40,5-45,1 % в 1987 г до 45,5-47,9 % в 2002 г. Больше их было при внесении органо-минеральных удобрений на фоне минимальной обработки почвы.</w:t>
      </w:r>
    </w:p>
    <w:p w:rsidR="00A13301" w:rsidRDefault="00A13301" w:rsidP="00E81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углерода гуминовых кислот в зернопаропропашном севообороте за анализируемый период  уменьшилось на 1-2 %. </w:t>
      </w:r>
    </w:p>
    <w:p w:rsidR="00A13301" w:rsidRDefault="00A13301" w:rsidP="00E81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Среди фракций гуминовых кислот наибольшее содержание отмечено в вытяжке после декальцирования и обработки почвы гидроксидом натрия, а также фракции, связанной в основном с кальцием. Гуминовых кислот свободных и связанных с полуторными окислами глинистыми частицами в почве содержится лишь 8-12 %. Сумма фракций органического углерода фульвокислот в сравнении с гуминовыми кислотами в составе гумуса, примерно, в 2 раза меньше. Содержание углерода гуминовых кислот в зернопаропропашном севообороте за 15 лет уменьшилось на 1,5-2,5 абсолютных процента, а содержание фульвокислот, наоборот, увеличилось на 2-4 %. Наибольшая величина отмечена на контроле и при внесении минеральных удобрений. В каждой из фракций фульвокислот содержание углерода колеблется в пределах 2,8-10,6 %. Наименьшие значения относятся к фракции, полученной  при воздействии  на почву гидроксидом натрия при декальцировании почвы.</w:t>
      </w:r>
    </w:p>
    <w:p w:rsidR="00A13301" w:rsidRDefault="00A13301" w:rsidP="00E81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Отношение углерода гуминовых кислот к углероду фульвокислот в пахотном слое составляет (2,0-2,4), что свидетельствует  о гуматном типе фракционно-группового состава гумуса чернозема типичного. </w:t>
      </w:r>
    </w:p>
    <w:p w:rsidR="00A13301" w:rsidRDefault="00A13301" w:rsidP="00E81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всего вышеизложенного можно сделать заключение, что если в зернотравяном севообороте, где имеют место многолетние бобовые травы, общее содержание гумуса в верхних слоях почвы за 15 лет исследований увеличилось, то в пропашных севооборотах на вариантах опыта без удобрений или с внесением только минеральных оно значительно уменьшилось (до 0,46 абсолютных процента). Здесь лишь внесение </w:t>
      </w:r>
      <w:r>
        <w:rPr>
          <w:sz w:val="28"/>
          <w:szCs w:val="28"/>
        </w:rPr>
        <w:lastRenderedPageBreak/>
        <w:t>органических удобрений (40 т/га навоза) и органо-минеральных (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  <w:vertAlign w:val="subscript"/>
        </w:rPr>
        <w:t>52-62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  <w:vertAlign w:val="subscript"/>
        </w:rPr>
        <w:t>62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  <w:vertAlign w:val="subscript"/>
        </w:rPr>
        <w:t>62</w:t>
      </w:r>
      <w:r>
        <w:rPr>
          <w:sz w:val="28"/>
          <w:szCs w:val="28"/>
        </w:rPr>
        <w:t xml:space="preserve"> на фоне навоза) стабилизирует содержание гумуса в почве. Двойные дозы этих удобрений способствуют увеличению его и тем самым обеспечивают расширенное воспроизводство. Содержание гумуса в слое почвы 0-30 см возрастает на 0,30-0,60 %. Способы обработки существенно не изменили содержание гумуса в почве. Эта разница ещё больше нивелируется с увеличением количества вносимых удобрений.</w:t>
      </w:r>
    </w:p>
    <w:p w:rsidR="00A13301" w:rsidRDefault="00A13301" w:rsidP="00E81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составе гумуса в севообороте с использованием многолетних трав при внесении органических и органо-минеральных удобрений в верхнем слое почвы возросла доля группы гуминовых кислот на 3-5 %. Большее их количество было во фракции при кальцинировании почвы. В пропашных севооборотах возрастает содержание группы фульвокислот, что приводит к подкислению почвенного раствора. Можно заключить, что природа гумусовых веществ изменяется при внесении минеральных удобрений на фоне мелкой обработке в сторону фульватизации.</w:t>
      </w:r>
    </w:p>
    <w:p w:rsidR="00A13301" w:rsidRDefault="00A13301" w:rsidP="00E81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Изучение содержания </w:t>
      </w:r>
      <w:r>
        <w:rPr>
          <w:i/>
          <w:sz w:val="28"/>
          <w:szCs w:val="28"/>
        </w:rPr>
        <w:t>нитратного азота</w:t>
      </w:r>
      <w:r>
        <w:rPr>
          <w:sz w:val="28"/>
          <w:szCs w:val="28"/>
        </w:rPr>
        <w:t xml:space="preserve"> проводилась по слоям почвы 0-30, 30-50, 50-100 и 0-100 см весной в начале вегетации озимой пшеницы, а содержание подвижного фосфора и обменного калия - сразу после уборки пшеницы.</w:t>
      </w:r>
    </w:p>
    <w:p w:rsidR="00A13301" w:rsidRDefault="00A13301" w:rsidP="00E81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Style w:val="22"/>
        </w:rPr>
        <w:t>Содержание нитратного азота в почве верхнего слоя (0-30 см) на вариантах опыта было в основном низкое (менее 20 мг/кг почвы). Среднее содержание нитратного азота наблюдалось только в зернотравяном севообороте при внесении на гектар севооборотной площади двойных доз минеральных удобрений (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  <w:vertAlign w:val="subscript"/>
        </w:rPr>
        <w:t>84-124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  <w:vertAlign w:val="subscript"/>
        </w:rPr>
        <w:t>124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  <w:vertAlign w:val="subscript"/>
        </w:rPr>
        <w:t>124</w:t>
      </w:r>
      <w:r>
        <w:rPr>
          <w:sz w:val="28"/>
          <w:szCs w:val="28"/>
        </w:rPr>
        <w:t>) на фоне 8 и 16 т навоза.</w:t>
      </w:r>
    </w:p>
    <w:p w:rsidR="00A13301" w:rsidRDefault="00A13301" w:rsidP="00E8179E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На вариантах опыта без внесения удобрений (контроль) содержание нитратного азота в верхнем слое почвы колебалось в пределах 6,1 – 10,3 мг/кг с наибольшими величинами в зернотравяном севообороте. С внесением минеральных удобрений содержание его в почве увеличивается. При одинарной дозе (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42-62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>62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 xml:space="preserve">62) увеличение на 30-35 %, а при </w:t>
      </w:r>
      <w:r>
        <w:rPr>
          <w:sz w:val="28"/>
          <w:szCs w:val="28"/>
        </w:rPr>
        <w:lastRenderedPageBreak/>
        <w:t>двойной дозе до 70-80 %. При внесении органических удобрений (навоза) в дозе 8 и 16 т/га севооборотной площади содержание нитратного азота в почве повышается на 5-10 %. Заметно повышает содержание нитратного азота в почве совместное внесение минеральных и органических удобрений. Оно возрастает, примерно, в 1,5-2,5 раза, доводя эту величину до 18,3-24,8 мг/кг почвы.</w:t>
      </w:r>
    </w:p>
    <w:p w:rsidR="00A13301" w:rsidRDefault="00A13301" w:rsidP="00E81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чётко прослеживается закономерность, что в начале вегетации озимой пшеницы основная часть минерального азота (80-90 %) локализуется в слоях 0-30 и 50-100 см, что и подтверждают исследования ряда учёных (Лукин, 2004, 2006). </w:t>
      </w:r>
    </w:p>
    <w:p w:rsidR="00A13301" w:rsidRDefault="00A13301" w:rsidP="00E81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Нитратного азота накапливается во всём метровом слое почвы в зернотравяном севообороте на 25-35 % больше, чем в зернопаропропашном севообороте. Это объясняется тем, что содержание нитратного азота во многом определяется потенциальной возможностью предшественника озимой пшеницы. Так, в зернотравяном севообороте после многолетних бобовых трав (эспарцета) в почве накапливается значительное количество азота, входящего в состав корневых и пожнивных остатков. Происхождение этого азота имеет по большей части (до 80 %) симбиотический характер. По способам обработки почвы в севооборотах содержание нитратного азота изменялось незначительно, как правило, в пределах ошибки опыта.</w:t>
      </w:r>
    </w:p>
    <w:p w:rsidR="00A13301" w:rsidRDefault="00A13301" w:rsidP="00E81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такого важного элемента питания как </w:t>
      </w:r>
      <w:r>
        <w:rPr>
          <w:i/>
          <w:sz w:val="28"/>
          <w:szCs w:val="28"/>
        </w:rPr>
        <w:t>подвижного фосфора</w:t>
      </w:r>
      <w:r>
        <w:rPr>
          <w:sz w:val="28"/>
          <w:szCs w:val="28"/>
        </w:rPr>
        <w:t xml:space="preserve"> в почве за 15 лет проведения опыта также претерпело существенные изменения. Содержание его в почве перед закладкой опыта составляло в слое 0-10 см 56,1 – 66,2 мг, в слое 0-30 см – 52,2-57,8 мг/кг почвы, то есть находилось в пределах средней обеспеченности растений фосфором.</w:t>
      </w:r>
    </w:p>
    <w:p w:rsidR="00A13301" w:rsidRDefault="00A13301" w:rsidP="00E81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три ротации севооборотов на абсолютном контроле содержание подвижного фосфора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в слое почвы 0-30 см уменьшилось на  2,6-5,5 мг/кг, </w:t>
      </w:r>
      <w:r>
        <w:rPr>
          <w:sz w:val="28"/>
          <w:szCs w:val="28"/>
        </w:rPr>
        <w:lastRenderedPageBreak/>
        <w:t>или на 5-10%. Внесение удобрений резко повышает содержание подвижного фосфора в почве. От внесения  органических удобрений (навоза) содержание увеличилось на 40-60 %, минеральных – 103-240%, а органо-минеральных до 220-290 %. Более высокие показатели содержания элементов питания получены в верхних слоях пахотного горизонта в пропашных севооборотах при безотвальной и минимальной обработках почвы. На этих же вариантах опыта наблюдается заметная минерализация органического вещества.</w:t>
      </w:r>
    </w:p>
    <w:p w:rsidR="00A13301" w:rsidRDefault="00A13301" w:rsidP="00E8179E">
      <w:pPr>
        <w:spacing w:line="360" w:lineRule="auto"/>
        <w:ind w:firstLine="709"/>
        <w:jc w:val="both"/>
        <w:rPr>
          <w:rStyle w:val="a6"/>
        </w:rPr>
      </w:pPr>
      <w:r>
        <w:rPr>
          <w:rStyle w:val="a6"/>
        </w:rPr>
        <w:t xml:space="preserve">Нами установлено влияние агротехнических приёмов на величину </w:t>
      </w:r>
      <w:r>
        <w:rPr>
          <w:rStyle w:val="a6"/>
          <w:i/>
        </w:rPr>
        <w:t>обменного калия</w:t>
      </w:r>
      <w:r>
        <w:rPr>
          <w:rStyle w:val="a6"/>
        </w:rPr>
        <w:t xml:space="preserve"> типичного чернозёма. В начале проведения опыта содержание обменного калия в слое почвы 0-10 см находилось в пределах 102,1-112,9 мг, а в слое 0-30 см – 98,0 – 105,4 мг/кг почвы, что можно отнести к повышенной обеспеченности растений данным элементом питания.</w:t>
      </w:r>
    </w:p>
    <w:p w:rsidR="00A13301" w:rsidRDefault="00A13301" w:rsidP="00E8179E">
      <w:pPr>
        <w:spacing w:line="360" w:lineRule="auto"/>
        <w:ind w:firstLine="709"/>
        <w:jc w:val="both"/>
      </w:pPr>
      <w:r>
        <w:rPr>
          <w:rStyle w:val="a6"/>
        </w:rPr>
        <w:t>Спустя 15 лет в почве опыта содержание обменного калия на контроле в слое 0-30 см по отношению к исходным показателям уменьшилось на 6,9-17,1 мг/кг, или 8-15%. При этом наибольшее снижение произошло в пропашных севооборотах и по вспашке. Внесение минеральных удобрений в одинарной дозе (по N</w:t>
      </w:r>
      <w:r>
        <w:rPr>
          <w:sz w:val="28"/>
          <w:szCs w:val="28"/>
          <w:vertAlign w:val="subscript"/>
        </w:rPr>
        <w:t>42-62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  <w:vertAlign w:val="subscript"/>
        </w:rPr>
        <w:t>62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  <w:vertAlign w:val="subscript"/>
        </w:rPr>
        <w:t>62</w:t>
      </w:r>
      <w:r>
        <w:rPr>
          <w:rStyle w:val="a6"/>
        </w:rPr>
        <w:t xml:space="preserve"> кг д.в. на 1 га севооборотной площади) увеличило содержание обменного калия на 15-25%, а двойной дозы на 45-55%.</w:t>
      </w:r>
    </w:p>
    <w:p w:rsidR="00A13301" w:rsidRDefault="00A13301" w:rsidP="00E81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Style w:val="a6"/>
        </w:rPr>
        <w:t>Как правило, калия было больше в слое 0-10 см при минимальной обработке почвы. При внесении навоза содержание его в пахотном слое повысилось на 9,7-18,1 мг/кг, или на 9-17 %. Однако наибольшее увеличение содержание обменного калия в почве произошло при совместном внесении органических и минеральных удобрений (на 52-63 %).</w:t>
      </w:r>
    </w:p>
    <w:p w:rsidR="00A13301" w:rsidRDefault="00A13301" w:rsidP="00E8179E">
      <w:pPr>
        <w:spacing w:line="360" w:lineRule="auto"/>
        <w:ind w:firstLine="709"/>
        <w:jc w:val="both"/>
        <w:rPr>
          <w:rStyle w:val="BodyText2"/>
          <w:sz w:val="28"/>
          <w:szCs w:val="28"/>
        </w:rPr>
      </w:pPr>
      <w:r>
        <w:rPr>
          <w:sz w:val="28"/>
          <w:szCs w:val="28"/>
        </w:rPr>
        <w:lastRenderedPageBreak/>
        <w:t>В слое почвы 0-10 см наблюдается та же закономерность в изменении содержания обменного калия, что и в слое 0-30 см, но с большими величинами данных показателей.</w:t>
      </w:r>
    </w:p>
    <w:p w:rsidR="00A13301" w:rsidRDefault="00A13301" w:rsidP="00E81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 вышеизложенного материала по питательному режиму почвы следует, что в начале вегетации (весной) озимой пшеницы в зернотравяном севообороте содержание минерального азота в верхнем слое почвы на всех вариантах опыта было заметно выше в сравнении с пропашными севооборотами (на 25-35 %). Увеличению содержания азота в почве способствует симбиотическая деятельность многолетних бобовых трав. Особенно эта разница прослеживается на вариантах опыта без внесения и с внесением малых доз удобрений. С внесением более высоких доз удобрений разница в содержании нитратного азота в почве по видам севооборотов нивелируется. Удобрения повышают содержание азота в сравнении с контролем в 2,0-2,5 раза. Существенных различий в содержании азота по способам обработки почвы не было отмечено, однако, наблюдалось небольшое увеличение его в слое почвы 0-30 см на вариантах опыта при минимальной обработке почвы с высокими дозами внесения удобрений. В метровом слое почвы наибольшее содержание азота отмечено в зернотравяном севообороте.</w:t>
      </w:r>
    </w:p>
    <w:p w:rsidR="00A13301" w:rsidRDefault="00A13301" w:rsidP="00E81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подвижного фосфора в почве на варианте опыта без внесения удобрений к концу третьей ротации севооборотов было в основном среднее (около 50 мг/кг), а обменного калия – повышенное (в пределах 90-100 мг/кг). С внесением удобрений содержание подвижного фосфора и калия установилось на высоком и очень высоком уровнях.</w:t>
      </w:r>
    </w:p>
    <w:p w:rsidR="00A13301" w:rsidRDefault="00A13301" w:rsidP="00E8179E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По результатам полевого опыта в пятипольных севооборотах простое воспроизводство плодородия почвы (чернозёма типичного) достигается при внесении на 1 га севооборотной площади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  <w:vertAlign w:val="subscript"/>
        </w:rPr>
        <w:t>42-62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  <w:vertAlign w:val="subscript"/>
        </w:rPr>
        <w:t>62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  <w:vertAlign w:val="subscript"/>
        </w:rPr>
        <w:t>62</w:t>
      </w:r>
      <w:r>
        <w:rPr>
          <w:sz w:val="28"/>
          <w:szCs w:val="28"/>
        </w:rPr>
        <w:t xml:space="preserve"> на фоне 8 т навоза, а расширенное воспроизводство – при удвоении этих доз. Зернотравяные севообороты и особенно при минимальной обработке в </w:t>
      </w:r>
      <w:r>
        <w:rPr>
          <w:sz w:val="28"/>
          <w:szCs w:val="28"/>
        </w:rPr>
        <w:lastRenderedPageBreak/>
        <w:t>сравнении с пропашными севооборотами  больше способствовали росту плодородия почвы.</w:t>
      </w:r>
    </w:p>
    <w:p w:rsidR="00A13301" w:rsidRDefault="00A13301" w:rsidP="00E81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Величина </w:t>
      </w:r>
      <w:r>
        <w:rPr>
          <w:i/>
          <w:sz w:val="28"/>
          <w:szCs w:val="28"/>
        </w:rPr>
        <w:t>гидролитической кислотности</w:t>
      </w:r>
      <w:r>
        <w:rPr>
          <w:sz w:val="28"/>
          <w:szCs w:val="28"/>
        </w:rPr>
        <w:t xml:space="preserve"> чернозема типичного в опыте за прошедшие три ротации севооборотов претерпела существенные изменения. Исходная величина её при закладке опыта по вариантам в пахотном слое почвы варьировала в пределах от 3,16 до 3,88 мг·экв/100 г почвы.</w:t>
      </w:r>
    </w:p>
    <w:p w:rsidR="00A13301" w:rsidRDefault="00A13301" w:rsidP="00E81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Заметное влияние на величину кислотности оказали виды севооборотов и удобрения, в меньшей степени способы обработки почвы.</w:t>
      </w:r>
    </w:p>
    <w:p w:rsidR="00A13301" w:rsidRDefault="00A13301" w:rsidP="00E81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Зернотравяной севооборот способствовал снижению кислотности. В то же время минеральные удобрения в этом севообороте замедлили процесс снижения кислотности. Так, без удобрений гидролитическая кислотность за 15 лет снизилась на 20-25 %, а при внесении минеральных удобрений всего лишь на 9-12 %. Органические удобрения в наибольшей степени способствовали снижению кислотности почвы, под влиянием которых она уменьшилась на 25 – 30 %. В органо-минеральной системе удобрения потенциальная кислотность уменьшилась на 0,49-1,03 мг·экв. Наибольшие показатели отмечены при минимальной обработке в слое почвы 0-10 см.</w:t>
      </w:r>
    </w:p>
    <w:p w:rsidR="00A13301" w:rsidRDefault="00A13301" w:rsidP="00E8179E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В пропашных севооборотах, особенно в зернопаропропашном, наблюдается увеличение гидролитической кислотности на 0,51-0,73 мг·экв. без удобрений и на 0,90-1,51 мг·экв./100 г почвы или 25-40 % с внесением минеральных удобрений. Внесение навоза в дозе 8 т/га севооборотной площади стабилизирует кислотность почвы, а при дозе 16 т/га заметно снижает её на 0,81-1,01 мг·экв. Кислотность также снижается при совместном внесении минеральных и органических удобрений, возделывании многолетних трав. Рост интенсификации земледелия, а в частности применение физиологически кислых минеральных удобрений, а также другие природно-антропогенные факторы приводят к подкислению </w:t>
      </w:r>
      <w:r>
        <w:rPr>
          <w:sz w:val="28"/>
          <w:szCs w:val="28"/>
        </w:rPr>
        <w:lastRenderedPageBreak/>
        <w:t>почвенного раствора чернозёмов, нейтральных по природе. Но даже там, где не вносятся минеральные удобрения, или вносятся, но в малых дозах, также происходит подкисление почв</w:t>
      </w:r>
      <w:r>
        <w:t>.</w:t>
      </w:r>
    </w:p>
    <w:p w:rsidR="00A13301" w:rsidRDefault="00A13301" w:rsidP="00E817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данном случае проявляется скрытое действие усиливающегося процесса минерализации (разложения) органического вещества почвы. Высвобождающиеся при этом органические кислоты, в частности фульвокислоты, имеют явно выраженную повышенную величину кислотности (Добровольский, 1984; Ахтырцев, 1963, 1979 и др.).</w:t>
      </w:r>
    </w:p>
    <w:p w:rsidR="00A13301" w:rsidRDefault="00A13301" w:rsidP="00E81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Работы Б.П. Ахтырцева, В.Д. Соловиченко  (1984), В.В. Медведева (1988), В.А. Королёва (2004), С.В. Лукина с соавторами (2006) подтвердили ведущее значение</w:t>
      </w:r>
      <w:r>
        <w:rPr>
          <w:i/>
          <w:sz w:val="28"/>
          <w:szCs w:val="28"/>
        </w:rPr>
        <w:t xml:space="preserve"> структуры и плотности сложения почв, </w:t>
      </w:r>
      <w:r>
        <w:rPr>
          <w:sz w:val="28"/>
          <w:szCs w:val="28"/>
        </w:rPr>
        <w:t>как основы благоприятных агрофизических свойств для формирования высоких урожаев сельскохозяйственных культур. Доказано, что длительное сельскохозяйственное использование чернозёмов часто ведет к разрушению агрономически ценной комковато-зернистой структуры, образованию пыли и глыб, слитизации, уплотнению пахотного слоя, ухудшению водно-физических свойств и снижению устойчивости к эрозии. В настоящее время для большинства сельскохозяйственных культур установлены оптимальные значения плотности почвы, которые располагаются в пределах 1,10-1,20 г/см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и коэффициента структурности, равного 4,5-5,5 ед. </w:t>
      </w:r>
    </w:p>
    <w:p w:rsidR="00A13301" w:rsidRDefault="00A13301" w:rsidP="00E81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Нами установлены изменения величины коэффициента структурности чернозема типичного после третьей ротации севооборотов в посевах озимой пшеницы. За </w:t>
      </w:r>
      <w:r>
        <w:rPr>
          <w:i/>
          <w:sz w:val="28"/>
          <w:szCs w:val="28"/>
        </w:rPr>
        <w:t xml:space="preserve">коэффициент структурности </w:t>
      </w:r>
      <w:r>
        <w:rPr>
          <w:sz w:val="28"/>
          <w:szCs w:val="28"/>
        </w:rPr>
        <w:t>мы принимали</w:t>
      </w:r>
      <w:r>
        <w:rPr>
          <w:rStyle w:val="a6"/>
        </w:rPr>
        <w:t xml:space="preserve"> отношение содержания почвенных агрегатов размером от 10 до 0,25 мм (комковато-зернистая структура) к сумме пылеватых (меньше 0,25 мм) и глыбистых (более 10 мм) агрегатов. </w:t>
      </w:r>
      <w:r>
        <w:rPr>
          <w:sz w:val="28"/>
          <w:szCs w:val="28"/>
        </w:rPr>
        <w:t xml:space="preserve">Чем больше величина коэффициента структурности почвы, тем больше в структурно-агрегатном составе её </w:t>
      </w:r>
      <w:r>
        <w:rPr>
          <w:sz w:val="28"/>
          <w:szCs w:val="28"/>
        </w:rPr>
        <w:lastRenderedPageBreak/>
        <w:t>преобладают агрономически ценные комковато-зернистые структурные агрегаты, и тем меньше содержится пылеватой и глыбистой фракций.</w:t>
      </w:r>
    </w:p>
    <w:p w:rsidR="00A13301" w:rsidRDefault="00A13301" w:rsidP="00E81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Style w:val="BodyText2"/>
          <w:sz w:val="28"/>
          <w:szCs w:val="28"/>
        </w:rPr>
        <w:t xml:space="preserve">Исследования показали, что коэффициент структурности в зернотравяном севообороте в верхнем слое почвы (0-10 см) заметно выше, чем в пропашных севооборотах. Снижение коэффициента структурности в пропашных севооборотах свидетельствует о распыленности и глыбистости верхнего слоя почвы. В подпахотном слое почвы, на глубине 30-40 см величина </w:t>
      </w:r>
      <w:r>
        <w:rPr>
          <w:sz w:val="28"/>
          <w:szCs w:val="28"/>
        </w:rPr>
        <w:t>коэффициента структурности увеличивалась независимо от вида севооборота.</w:t>
      </w:r>
    </w:p>
    <w:p w:rsidR="00A13301" w:rsidRDefault="00A13301" w:rsidP="00E8179E">
      <w:pPr>
        <w:spacing w:line="360" w:lineRule="auto"/>
        <w:ind w:firstLine="709"/>
        <w:jc w:val="both"/>
        <w:rPr>
          <w:rStyle w:val="BodyText2"/>
          <w:sz w:val="28"/>
          <w:szCs w:val="28"/>
        </w:rPr>
      </w:pPr>
      <w:r>
        <w:rPr>
          <w:sz w:val="28"/>
          <w:szCs w:val="28"/>
        </w:rPr>
        <w:t>Следует также отметить, что минимальная обработка почвы на глубину около 10 см по сравнению с безотвальной обработкой и вспашкой улучшила её структурный состав. Наибольшие величины коэффициента отмечены по органо-минеральной системе удобрения. В верхнем слое почвы (0-10 см) они достигли 3,6-4,9 ед. Лучшие показатели отмечены в зернотравяном севообороте и при минимальной обработке почвы. В подпахотном слое почвы (30-40 см), где не было воздействия обработок, содержится больше агрегатов комковато-зернистой структуры, о чем и свидетельствует величина коэффициента, равная 5,6-5,9 ед.</w:t>
      </w:r>
    </w:p>
    <w:p w:rsidR="00A13301" w:rsidRDefault="00A13301" w:rsidP="00E8179E">
      <w:pPr>
        <w:spacing w:line="360" w:lineRule="auto"/>
        <w:ind w:firstLine="709"/>
        <w:jc w:val="both"/>
        <w:rPr>
          <w:rStyle w:val="BodyText2"/>
          <w:sz w:val="28"/>
          <w:szCs w:val="28"/>
        </w:rPr>
      </w:pPr>
      <w:r>
        <w:rPr>
          <w:rStyle w:val="a6"/>
        </w:rPr>
        <w:t xml:space="preserve">Наблюдения за изменением </w:t>
      </w:r>
      <w:r>
        <w:rPr>
          <w:i/>
          <w:sz w:val="28"/>
          <w:szCs w:val="28"/>
        </w:rPr>
        <w:t>плотности</w:t>
      </w:r>
      <w:r>
        <w:rPr>
          <w:rStyle w:val="a6"/>
        </w:rPr>
        <w:t xml:space="preserve"> в течение 15 лет в севооборотах при разных способах обработки почв и удобрений выявили варианты, позволяющие регулировать эту величину.</w:t>
      </w:r>
    </w:p>
    <w:p w:rsidR="00A13301" w:rsidRDefault="00A13301" w:rsidP="00E8179E">
      <w:pPr>
        <w:spacing w:line="360" w:lineRule="auto"/>
        <w:ind w:firstLine="709"/>
        <w:jc w:val="both"/>
      </w:pPr>
      <w:r>
        <w:rPr>
          <w:sz w:val="28"/>
          <w:szCs w:val="28"/>
        </w:rPr>
        <w:t>Исходные величины плотности сложения по слоям чернозема типичного составляли: на глубине 0-10 см – 1,19-1,25 г/см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; 10-20 см – 1,20-1,26; 20-30 см – 1,23-1,30 и 30-40 см – 1,16-1,20 г/см 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.</w:t>
      </w:r>
    </w:p>
    <w:p w:rsidR="00A13301" w:rsidRDefault="00A13301" w:rsidP="00E81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Спустя 15 лет проведения опытов на вариантах без удобрений произошло уплотнение пахотного горизонта почвы на 0,11 г/см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. Оно особенно заметно в зернотравном севообороте при минимальной обработке почвы, причём не в обрабатываемом слое, а на глубине 20-30 </w:t>
      </w:r>
      <w:r>
        <w:rPr>
          <w:sz w:val="28"/>
          <w:szCs w:val="28"/>
        </w:rPr>
        <w:lastRenderedPageBreak/>
        <w:t>см. Величина плотности здесь достигла 1,36 г/см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. В пропашных севооборотах плотность почвы увеличилась меньше.</w:t>
      </w:r>
    </w:p>
    <w:p w:rsidR="00A13301" w:rsidRDefault="00A13301" w:rsidP="00E81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внесении удобрений, особенно органических и органо-минеральных, происходит разуплотнение пахотного горизонта на 0,02-0,19 г/см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. Безотвальная обработка также снижает плотность, но только на фоне навоза 16 т/га. В слое почвы 0-10 см она составила 1,04 г/см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в зернотравяном севообороте и 1,09 г/см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в зернопропашном.</w:t>
      </w:r>
    </w:p>
    <w:p w:rsidR="00A13301" w:rsidRDefault="00A13301" w:rsidP="00E81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 вышеизложенного можно заключить, что расширенному воспроизводству плодородия чернозёма типичного способствует оптимальная плотность (1,15-1,20 г/см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) и агрономически ценная структура с коэффициентом около 5 ед. Эти показатели плодородия почвы достигаются в зернотравяном севообороте.</w:t>
      </w:r>
    </w:p>
    <w:p w:rsidR="00A13301" w:rsidRDefault="00A13301" w:rsidP="00E81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Биологическая активность</w:t>
      </w:r>
      <w:r>
        <w:rPr>
          <w:sz w:val="28"/>
          <w:szCs w:val="28"/>
        </w:rPr>
        <w:t xml:space="preserve"> почвы играет основополагающую роль в процессе почвообразования, понимания эволюционного развития и изучении физико-химических свойств. Много и плодотворно в этом направлении работали учёные - микробиологи (Адерихин, 1964, Акулов, 1992 и др.). </w:t>
      </w:r>
    </w:p>
    <w:p w:rsidR="00A13301" w:rsidRDefault="00A13301" w:rsidP="00E81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Исследования в полевом опыте свидетельствуют, что на контроле (без удобрений) наибольшей биологической активностью обладает почва зернотравяного севооборота. Разложение льняного полотна в верхнем слое здесь составило 9,6-11,3 %.</w:t>
      </w:r>
    </w:p>
    <w:p w:rsidR="00A13301" w:rsidRDefault="00A13301" w:rsidP="00E817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Биологическая активность снижена до 8,7-10,5 % в пропашных севооборотах. Наибольшая активность почвенной биоты зафиксирована в слое почвы  10-20 см. Также отмечено, что почвенные микроорганизмы проявляют большую активность при минимальной обработке, чем при безотвальной обработке и вспашке.</w:t>
      </w:r>
      <w:r>
        <w:t xml:space="preserve"> </w:t>
      </w:r>
      <w:r>
        <w:rPr>
          <w:sz w:val="28"/>
          <w:szCs w:val="28"/>
        </w:rPr>
        <w:t xml:space="preserve">Минеральные удобрения увеличивают скорость разложения льняного полотна, а, следовательно, и биологическую активность почвы. В слое почвы 10-20 см зернотравяного севооборота при минимальной обработке она составила 14,8 %. Внесение навоза </w:t>
      </w:r>
      <w:r>
        <w:rPr>
          <w:sz w:val="28"/>
          <w:szCs w:val="28"/>
        </w:rPr>
        <w:lastRenderedPageBreak/>
        <w:t>активизирует деятельность микроорганизмов и способствует большей биологической активности почвы.</w:t>
      </w:r>
    </w:p>
    <w:p w:rsidR="00A13301" w:rsidRDefault="00A13301" w:rsidP="00E817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Активность целлюлозоразлагающих микроорганизмов возрастает до 13,7 % на фоне удобрений в пропашных севооборотах. Отвальная обработка почвы способствует аэрации нижнего слоя пахотного горизонта, что создаёт условия для активизации целлюлозоразлагающих микроорганизмов.</w:t>
      </w:r>
    </w:p>
    <w:p w:rsidR="00A13301" w:rsidRDefault="00A13301" w:rsidP="00E8179E">
      <w:pPr>
        <w:spacing w:line="360" w:lineRule="auto"/>
        <w:ind w:firstLine="709"/>
        <w:jc w:val="both"/>
        <w:rPr>
          <w:rStyle w:val="a6"/>
        </w:rPr>
      </w:pPr>
      <w:r>
        <w:rPr>
          <w:sz w:val="28"/>
          <w:szCs w:val="28"/>
        </w:rPr>
        <w:t>Заметное увеличение разложения льняного полотна в почве зафиксировано при внесении минеральных удобрений (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  <w:vertAlign w:val="subscript"/>
        </w:rPr>
        <w:t>84-124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  <w:vertAlign w:val="subscript"/>
        </w:rPr>
        <w:t>124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  <w:vertAlign w:val="subscript"/>
        </w:rPr>
        <w:t>124</w:t>
      </w:r>
      <w:r>
        <w:rPr>
          <w:sz w:val="28"/>
          <w:szCs w:val="28"/>
        </w:rPr>
        <w:t>) на фоне 16 т/га навоза: в слое 0-20 см на 4-6 % и на глубине 20-30 см – 2–4 %.</w:t>
      </w:r>
    </w:p>
    <w:p w:rsidR="00A13301" w:rsidRDefault="00A13301" w:rsidP="00E8179E">
      <w:pPr>
        <w:spacing w:line="360" w:lineRule="auto"/>
        <w:ind w:firstLine="709"/>
        <w:jc w:val="both"/>
      </w:pPr>
      <w:r>
        <w:rPr>
          <w:sz w:val="28"/>
          <w:szCs w:val="28"/>
        </w:rPr>
        <w:t>Максимальный показатель общей биологической активности почвы зафиксирован при совместном внесении органических и минеральных удобрений и составил в зернотравяном севообороте в слое 0-10 см – 15,0-5,4 %, 10-20 см – 15,8-16,1 % и 20-30 см – 11,3-13,9 %, в зернопропашном соответственно 13,7-14,9; 14,5-15,8 и 10,1-12,1, а в зернопаропропашном – 13,0-14,2 %; 14,1-14,7 и 9,9-11,7 %.</w:t>
      </w:r>
    </w:p>
    <w:p w:rsidR="00A13301" w:rsidRPr="00FB2316" w:rsidRDefault="00A13301" w:rsidP="00FB231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на величину общей биологической активности почвы положительное влияние оказывают многолетние бобовые травы, внесение удобрений, особенно органических на фоне минимальной обработки почвы.</w:t>
      </w:r>
    </w:p>
    <w:p w:rsidR="00A13301" w:rsidRPr="005D5CB2" w:rsidRDefault="00A13301" w:rsidP="005D5CB2">
      <w:pPr>
        <w:spacing w:line="360" w:lineRule="auto"/>
        <w:rPr>
          <w:b/>
        </w:rPr>
      </w:pPr>
      <w:r w:rsidRPr="005D5CB2">
        <w:rPr>
          <w:b/>
        </w:rPr>
        <w:t xml:space="preserve">                                                Литература</w:t>
      </w:r>
    </w:p>
    <w:p w:rsidR="00A13301" w:rsidRPr="005D5CB2" w:rsidRDefault="00A13301" w:rsidP="005D5CB2">
      <w:pPr>
        <w:numPr>
          <w:ilvl w:val="0"/>
          <w:numId w:val="3"/>
        </w:numPr>
        <w:spacing w:line="360" w:lineRule="auto"/>
        <w:ind w:left="0" w:firstLine="0"/>
        <w:jc w:val="both"/>
      </w:pPr>
      <w:r w:rsidRPr="005D5CB2">
        <w:t>Адерихин П. Г. Изменение черноземных почв ЦЧО при исполь</w:t>
      </w:r>
      <w:r w:rsidRPr="005D5CB2">
        <w:softHyphen/>
        <w:t>зовании их в сельском хозяйстве. // В кн. Черноземы ЦЧО и их пло</w:t>
      </w:r>
      <w:r w:rsidRPr="005D5CB2">
        <w:softHyphen/>
        <w:t>дородие.- М., 1964.- С. 61—89.</w:t>
      </w:r>
    </w:p>
    <w:p w:rsidR="00A13301" w:rsidRPr="005D5CB2" w:rsidRDefault="00A13301" w:rsidP="005D5CB2">
      <w:pPr>
        <w:numPr>
          <w:ilvl w:val="0"/>
          <w:numId w:val="3"/>
        </w:numPr>
        <w:spacing w:line="360" w:lineRule="auto"/>
        <w:ind w:left="0" w:firstLine="0"/>
        <w:jc w:val="both"/>
      </w:pPr>
      <w:r w:rsidRPr="005D5CB2">
        <w:t xml:space="preserve">Азаров В.Б. Баланс элементов питания в почве в зависимости от технологии возделывания сельскохозяйственных культур в ЦЧЗ / В.Б. Азаров// Политематический электронный научный журнал Кубанского государственного аграрного университета (Научный журнал КубГАУ) [Электронный ресурс ].- Краснодар: КубГАУ, 2012.- №03(77).- Режим доступа: </w:t>
      </w:r>
      <w:hyperlink r:id="rId8" w:history="1">
        <w:r w:rsidRPr="005D5CB2">
          <w:rPr>
            <w:rStyle w:val="ab"/>
            <w:lang w:val="en-US"/>
          </w:rPr>
          <w:t>http</w:t>
        </w:r>
        <w:r w:rsidRPr="005D5CB2">
          <w:rPr>
            <w:rStyle w:val="ab"/>
          </w:rPr>
          <w:t>://</w:t>
        </w:r>
        <w:r w:rsidRPr="005D5CB2">
          <w:rPr>
            <w:rStyle w:val="ab"/>
            <w:lang w:val="en-US"/>
          </w:rPr>
          <w:t>ej</w:t>
        </w:r>
        <w:r w:rsidRPr="005D5CB2">
          <w:rPr>
            <w:rStyle w:val="ab"/>
          </w:rPr>
          <w:t>.</w:t>
        </w:r>
        <w:r w:rsidRPr="005D5CB2">
          <w:rPr>
            <w:rStyle w:val="ab"/>
            <w:lang w:val="en-US"/>
          </w:rPr>
          <w:t>kubagro</w:t>
        </w:r>
        <w:r w:rsidRPr="005D5CB2">
          <w:rPr>
            <w:rStyle w:val="ab"/>
          </w:rPr>
          <w:t>.</w:t>
        </w:r>
        <w:r w:rsidRPr="005D5CB2">
          <w:rPr>
            <w:rStyle w:val="ab"/>
            <w:lang w:val="en-US"/>
          </w:rPr>
          <w:t>ru</w:t>
        </w:r>
        <w:r w:rsidRPr="005D5CB2">
          <w:rPr>
            <w:rStyle w:val="ab"/>
          </w:rPr>
          <w:t>/2012/03/</w:t>
        </w:r>
        <w:r w:rsidRPr="005D5CB2">
          <w:rPr>
            <w:rStyle w:val="ab"/>
            <w:lang w:val="en-US"/>
          </w:rPr>
          <w:t>pdf</w:t>
        </w:r>
        <w:r w:rsidRPr="005D5CB2">
          <w:rPr>
            <w:rStyle w:val="ab"/>
          </w:rPr>
          <w:t>/94.</w:t>
        </w:r>
        <w:r w:rsidRPr="005D5CB2">
          <w:rPr>
            <w:rStyle w:val="ab"/>
            <w:lang w:val="en-US"/>
          </w:rPr>
          <w:t>pdf</w:t>
        </w:r>
        <w:r w:rsidRPr="005D5CB2">
          <w:rPr>
            <w:rStyle w:val="ab"/>
          </w:rPr>
          <w:t>. с. 1115-1124</w:t>
        </w:r>
      </w:hyperlink>
      <w:r w:rsidRPr="005D5CB2">
        <w:t>.</w:t>
      </w:r>
    </w:p>
    <w:p w:rsidR="00A13301" w:rsidRPr="005D5CB2" w:rsidRDefault="00A13301" w:rsidP="005D5CB2">
      <w:pPr>
        <w:numPr>
          <w:ilvl w:val="0"/>
          <w:numId w:val="3"/>
        </w:numPr>
        <w:spacing w:line="360" w:lineRule="auto"/>
        <w:ind w:left="0" w:firstLine="0"/>
        <w:jc w:val="both"/>
      </w:pPr>
      <w:r w:rsidRPr="005D5CB2">
        <w:lastRenderedPageBreak/>
        <w:t>Азаров В.Б. Технологические качества свеклосахарного сырья в зависимости от условий возделывания в ЦЧЗ /В.Б. Азаров, Н.И. Клостер, В.Д. Соловиченко// Сахарная свекла.-2012.- № 4.- с. 15-17.</w:t>
      </w:r>
    </w:p>
    <w:p w:rsidR="00A13301" w:rsidRPr="005D5CB2" w:rsidRDefault="00A13301" w:rsidP="005D5CB2">
      <w:pPr>
        <w:numPr>
          <w:ilvl w:val="0"/>
          <w:numId w:val="3"/>
        </w:numPr>
        <w:spacing w:line="360" w:lineRule="auto"/>
        <w:ind w:left="0" w:firstLine="0"/>
        <w:jc w:val="both"/>
      </w:pPr>
      <w:r w:rsidRPr="005D5CB2">
        <w:t>Акулов П. Г. Воспроизводство плодородия и продуктивность черноземов.- М.: Колос, 1992.- 223 с.</w:t>
      </w:r>
    </w:p>
    <w:p w:rsidR="00A13301" w:rsidRPr="005D5CB2" w:rsidRDefault="00A13301" w:rsidP="005D5CB2">
      <w:pPr>
        <w:numPr>
          <w:ilvl w:val="0"/>
          <w:numId w:val="3"/>
        </w:numPr>
        <w:spacing w:line="360" w:lineRule="auto"/>
        <w:ind w:left="0" w:firstLine="0"/>
        <w:jc w:val="both"/>
      </w:pPr>
      <w:r w:rsidRPr="005D5CB2">
        <w:t>Ахтырцев Б. П. Серые лесные почвы центральной России.- Воро</w:t>
      </w:r>
      <w:r w:rsidRPr="005D5CB2">
        <w:softHyphen/>
        <w:t>неж, 1979.- 232 с.</w:t>
      </w:r>
    </w:p>
    <w:p w:rsidR="00A13301" w:rsidRPr="005D5CB2" w:rsidRDefault="00A13301" w:rsidP="005D5CB2">
      <w:pPr>
        <w:numPr>
          <w:ilvl w:val="0"/>
          <w:numId w:val="3"/>
        </w:numPr>
        <w:spacing w:line="360" w:lineRule="auto"/>
        <w:ind w:left="0" w:firstLine="0"/>
        <w:jc w:val="both"/>
      </w:pPr>
      <w:r w:rsidRPr="005D5CB2">
        <w:t>Ахтырцев Б. П. Эволюция лесных почв при сельскохозяйственном использовании. // Науч. зап. Воронежск. отд. Геогр. о-ва СССР.- Воронеж, 1963.- С. 44-53.</w:t>
      </w:r>
    </w:p>
    <w:p w:rsidR="00A13301" w:rsidRPr="005D5CB2" w:rsidRDefault="00A13301" w:rsidP="005D5CB2">
      <w:pPr>
        <w:numPr>
          <w:ilvl w:val="0"/>
          <w:numId w:val="3"/>
        </w:numPr>
        <w:spacing w:line="360" w:lineRule="auto"/>
        <w:ind w:left="0" w:firstLine="0"/>
        <w:jc w:val="both"/>
      </w:pPr>
      <w:r w:rsidRPr="005D5CB2">
        <w:t>Ахтырцев Б. П., Соловиченко В. Д. Изменение запаса гумуса в лесостепных и степных почвах под влиянием земледельческого использования и водной эрозии.// Почвоведение, 1984, № 3.</w:t>
      </w:r>
    </w:p>
    <w:p w:rsidR="00A13301" w:rsidRPr="005D5CB2" w:rsidRDefault="00A13301" w:rsidP="005D5CB2">
      <w:pPr>
        <w:numPr>
          <w:ilvl w:val="0"/>
          <w:numId w:val="3"/>
        </w:numPr>
        <w:spacing w:line="360" w:lineRule="auto"/>
        <w:ind w:left="0" w:firstLine="0"/>
        <w:jc w:val="both"/>
      </w:pPr>
      <w:r w:rsidRPr="005D5CB2">
        <w:t>Ахтырцев Б. П., Щетинина А. С. Изменение серых лесных почв Среднерусской лесостепи в процессе сельскохозяйственного освое</w:t>
      </w:r>
      <w:r w:rsidRPr="005D5CB2">
        <w:softHyphen/>
        <w:t>ния.- Саранск, 1969.- 164 с.</w:t>
      </w:r>
    </w:p>
    <w:p w:rsidR="00A13301" w:rsidRPr="005D5CB2" w:rsidRDefault="00A13301" w:rsidP="005D5CB2">
      <w:pPr>
        <w:numPr>
          <w:ilvl w:val="0"/>
          <w:numId w:val="3"/>
        </w:numPr>
        <w:spacing w:line="360" w:lineRule="auto"/>
        <w:ind w:left="0" w:firstLine="0"/>
        <w:jc w:val="both"/>
      </w:pPr>
      <w:r w:rsidRPr="005D5CB2">
        <w:t>Добровольский Г. В. Нужна Красная книга почв // Химия и жизнь, 1984. №5.-С.56-57.</w:t>
      </w:r>
    </w:p>
    <w:p w:rsidR="00A13301" w:rsidRPr="005D5CB2" w:rsidRDefault="00A13301" w:rsidP="005D5CB2">
      <w:pPr>
        <w:numPr>
          <w:ilvl w:val="0"/>
          <w:numId w:val="3"/>
        </w:numPr>
        <w:spacing w:line="360" w:lineRule="auto"/>
        <w:ind w:left="0" w:firstLine="0"/>
        <w:jc w:val="both"/>
      </w:pPr>
      <w:r w:rsidRPr="005D5CB2">
        <w:t>Докучаев В. В. Русский чернозем.- М., 1952.- 635 с.</w:t>
      </w:r>
    </w:p>
    <w:p w:rsidR="00A13301" w:rsidRPr="005D5CB2" w:rsidRDefault="00A13301" w:rsidP="005D5CB2">
      <w:pPr>
        <w:numPr>
          <w:ilvl w:val="0"/>
          <w:numId w:val="3"/>
        </w:numPr>
        <w:spacing w:line="360" w:lineRule="auto"/>
        <w:ind w:left="0" w:firstLine="0"/>
        <w:jc w:val="both"/>
      </w:pPr>
      <w:r w:rsidRPr="005D5CB2">
        <w:t>Здоровцов И.П. Агроэкологические основы комплекса противоэрозионных мероприятий в районах интенсивного земледелия Русской равнины. //Автореф. дис. ... докт. с.-х. наук. – Курск: ВНИИЗиЗПЭ, 1993. –   68 с.</w:t>
      </w:r>
    </w:p>
    <w:p w:rsidR="00A13301" w:rsidRPr="005D5CB2" w:rsidRDefault="00A13301" w:rsidP="005D5CB2">
      <w:pPr>
        <w:numPr>
          <w:ilvl w:val="0"/>
          <w:numId w:val="3"/>
        </w:numPr>
        <w:spacing w:line="360" w:lineRule="auto"/>
        <w:ind w:left="0" w:firstLine="0"/>
        <w:jc w:val="both"/>
      </w:pPr>
      <w:r w:rsidRPr="005D5CB2">
        <w:t>Королев В.А. Физические свойства антропогенно-преобразованных черноземов центра Русской равнины. // В кн.:  Черноземы Центральной России: генезис, география, эволюция. / Материалы конф. посвященной 100-летию Адерихина П.Г. – Воронеж, 2004. – С. 59-78.</w:t>
      </w:r>
    </w:p>
    <w:p w:rsidR="00A13301" w:rsidRPr="005D5CB2" w:rsidRDefault="00A13301" w:rsidP="005D5CB2">
      <w:pPr>
        <w:numPr>
          <w:ilvl w:val="0"/>
          <w:numId w:val="3"/>
        </w:numPr>
        <w:spacing w:line="360" w:lineRule="auto"/>
        <w:ind w:left="0" w:firstLine="0"/>
        <w:jc w:val="both"/>
      </w:pPr>
      <w:r w:rsidRPr="005D5CB2">
        <w:t>Лукин С. В. Экологические проблемы и пути их решения в земледелии Белгородской области. – Белгород, 2004. – 162 с.</w:t>
      </w:r>
    </w:p>
    <w:p w:rsidR="00A13301" w:rsidRPr="005D5CB2" w:rsidRDefault="00A13301" w:rsidP="005D5CB2">
      <w:pPr>
        <w:numPr>
          <w:ilvl w:val="0"/>
          <w:numId w:val="3"/>
        </w:numPr>
        <w:spacing w:line="360" w:lineRule="auto"/>
        <w:ind w:left="0" w:firstLine="0"/>
        <w:jc w:val="both"/>
      </w:pPr>
      <w:r w:rsidRPr="005D5CB2">
        <w:t>Лукин С. В., Уваров Г. И., Акулов П. Г., Соловиченко В. Д. Экологические основы земледелия. – Белгород, 2006 – 286 с.</w:t>
      </w:r>
    </w:p>
    <w:p w:rsidR="00A13301" w:rsidRPr="005D5CB2" w:rsidRDefault="00A13301" w:rsidP="005D5CB2">
      <w:pPr>
        <w:numPr>
          <w:ilvl w:val="0"/>
          <w:numId w:val="3"/>
        </w:numPr>
        <w:spacing w:line="360" w:lineRule="auto"/>
        <w:ind w:left="0" w:firstLine="0"/>
        <w:jc w:val="both"/>
      </w:pPr>
      <w:r w:rsidRPr="005D5CB2">
        <w:t>Медведев В. В. Оптимизация агрофизических свойств черноземов.- М.: Агропромиздат, 1988.- 159 с.</w:t>
      </w:r>
    </w:p>
    <w:p w:rsidR="00A13301" w:rsidRPr="005D5CB2" w:rsidRDefault="00A13301" w:rsidP="005D5CB2">
      <w:pPr>
        <w:numPr>
          <w:ilvl w:val="0"/>
          <w:numId w:val="3"/>
        </w:numPr>
        <w:spacing w:line="360" w:lineRule="auto"/>
        <w:ind w:left="0" w:firstLine="0"/>
        <w:jc w:val="both"/>
      </w:pPr>
      <w:r w:rsidRPr="005D5CB2">
        <w:t>Соловиченко В.Д., Тютюнов С.И. Почвенный покров Белгородской области и его рациональное использование. – Белгород: Изд-во «Отчий край», 2013. – 371 с.</w:t>
      </w:r>
    </w:p>
    <w:p w:rsidR="00A13301" w:rsidRPr="005D5CB2" w:rsidRDefault="00A13301" w:rsidP="005D5CB2">
      <w:pPr>
        <w:numPr>
          <w:ilvl w:val="0"/>
          <w:numId w:val="3"/>
        </w:numPr>
        <w:spacing w:line="360" w:lineRule="auto"/>
        <w:ind w:left="0" w:firstLine="0"/>
        <w:jc w:val="both"/>
      </w:pPr>
      <w:r w:rsidRPr="005D5CB2">
        <w:lastRenderedPageBreak/>
        <w:t>Щербаков А. П., Васенев И. И. Агроэкологическое состояние почв ЦЧО. - Курск, 1996.- 326 с.</w:t>
      </w:r>
    </w:p>
    <w:p w:rsidR="00A13301" w:rsidRPr="005D5CB2" w:rsidRDefault="00A13301" w:rsidP="005D5CB2">
      <w:pPr>
        <w:spacing w:line="360" w:lineRule="auto"/>
        <w:jc w:val="both"/>
        <w:rPr>
          <w:lang w:val="en-US"/>
        </w:rPr>
      </w:pPr>
    </w:p>
    <w:p w:rsidR="00A13301" w:rsidRPr="005D5CB2" w:rsidRDefault="00A13301" w:rsidP="005D5CB2">
      <w:pPr>
        <w:spacing w:line="360" w:lineRule="auto"/>
        <w:jc w:val="both"/>
        <w:rPr>
          <w:b/>
          <w:lang w:val="en-US"/>
        </w:rPr>
      </w:pPr>
      <w:r w:rsidRPr="005D5CB2">
        <w:rPr>
          <w:b/>
          <w:lang w:val="en-US"/>
        </w:rPr>
        <w:t>References</w:t>
      </w:r>
    </w:p>
    <w:p w:rsidR="00A13301" w:rsidRPr="005D5CB2" w:rsidRDefault="00A13301" w:rsidP="005D5CB2">
      <w:pPr>
        <w:spacing w:line="360" w:lineRule="auto"/>
        <w:jc w:val="both"/>
        <w:rPr>
          <w:lang w:val="en-US"/>
        </w:rPr>
      </w:pPr>
    </w:p>
    <w:p w:rsidR="00A13301" w:rsidRPr="005D5CB2" w:rsidRDefault="00A13301" w:rsidP="005D5CB2">
      <w:pPr>
        <w:spacing w:line="360" w:lineRule="auto"/>
        <w:jc w:val="both"/>
        <w:rPr>
          <w:lang w:val="en-US"/>
        </w:rPr>
      </w:pPr>
      <w:r w:rsidRPr="005D5CB2">
        <w:rPr>
          <w:lang w:val="en-US"/>
        </w:rPr>
        <w:t>1.</w:t>
      </w:r>
      <w:r w:rsidRPr="005D5CB2">
        <w:rPr>
          <w:lang w:val="en-US"/>
        </w:rPr>
        <w:tab/>
        <w:t>Aderihin P. G. Izmenenie chernozemnyh pochv CChO pri ispol'¬zovanii ih v sel'skom hozjajstve. // V kn. Chernozemy CChO i ih plo¬dorodie.- M., 1964.- S. 61—89.</w:t>
      </w:r>
    </w:p>
    <w:p w:rsidR="00A13301" w:rsidRPr="005D5CB2" w:rsidRDefault="00A13301" w:rsidP="005D5CB2">
      <w:pPr>
        <w:spacing w:line="360" w:lineRule="auto"/>
        <w:jc w:val="both"/>
        <w:rPr>
          <w:lang w:val="en-US"/>
        </w:rPr>
      </w:pPr>
      <w:r w:rsidRPr="005D5CB2">
        <w:rPr>
          <w:lang w:val="en-US"/>
        </w:rPr>
        <w:t>2.</w:t>
      </w:r>
      <w:r w:rsidRPr="005D5CB2">
        <w:rPr>
          <w:lang w:val="en-US"/>
        </w:rPr>
        <w:tab/>
        <w:t>Azarov V.B. Balans jelementov pitanija v pochve v zavisimosti ot tehnologii vozdelyvanija sel'skohozjajstvennyh kul'tur v CChZ / V.B. Azarov// Politematicheskij jelektronnyj nauchnyj zhurnal Kubanskogo gosudarstvennogo agrarnogo universiteta (Nauchnyj zhurnal KubGAU) [Jelektronnyj resurs ].- Krasnodar: KubGAU, 2012.- №03(77).- Rezhim dostupa: http://ej.kubagro.ru/2012/03/pdf/94.pdf. s. 1115-1124.</w:t>
      </w:r>
    </w:p>
    <w:p w:rsidR="00A13301" w:rsidRPr="005D5CB2" w:rsidRDefault="00A13301" w:rsidP="005D5CB2">
      <w:pPr>
        <w:spacing w:line="360" w:lineRule="auto"/>
        <w:jc w:val="both"/>
        <w:rPr>
          <w:lang w:val="en-US"/>
        </w:rPr>
      </w:pPr>
      <w:r w:rsidRPr="005D5CB2">
        <w:rPr>
          <w:lang w:val="en-US"/>
        </w:rPr>
        <w:t>3.</w:t>
      </w:r>
      <w:r w:rsidRPr="005D5CB2">
        <w:rPr>
          <w:lang w:val="en-US"/>
        </w:rPr>
        <w:tab/>
        <w:t>Azarov V.B. Tehnologicheskie kachestva sveklosaharnogo syr'ja v zavisimosti ot uslovij vozdelyvanija v CChZ /V.B. Azarov, N.I. Kloster, V.D. Solovichenko// Saharnaja svekla.-2012.- № 4.- s. 15-17.</w:t>
      </w:r>
    </w:p>
    <w:p w:rsidR="00A13301" w:rsidRPr="005D5CB2" w:rsidRDefault="00A13301" w:rsidP="005D5CB2">
      <w:pPr>
        <w:spacing w:line="360" w:lineRule="auto"/>
        <w:jc w:val="both"/>
        <w:rPr>
          <w:lang w:val="en-US"/>
        </w:rPr>
      </w:pPr>
      <w:r w:rsidRPr="005D5CB2">
        <w:rPr>
          <w:lang w:val="en-US"/>
        </w:rPr>
        <w:t>4.</w:t>
      </w:r>
      <w:r w:rsidRPr="005D5CB2">
        <w:rPr>
          <w:lang w:val="en-US"/>
        </w:rPr>
        <w:tab/>
        <w:t>Akulov P. G. Vosproizvodstvo plodorodija i produktivnost' chernozemov.- M.: Kolos, 1992.- 223 s.</w:t>
      </w:r>
    </w:p>
    <w:p w:rsidR="00A13301" w:rsidRPr="005D5CB2" w:rsidRDefault="00A13301" w:rsidP="005D5CB2">
      <w:pPr>
        <w:spacing w:line="360" w:lineRule="auto"/>
        <w:jc w:val="both"/>
        <w:rPr>
          <w:lang w:val="en-US"/>
        </w:rPr>
      </w:pPr>
      <w:r w:rsidRPr="005D5CB2">
        <w:rPr>
          <w:lang w:val="en-US"/>
        </w:rPr>
        <w:t>5.</w:t>
      </w:r>
      <w:r w:rsidRPr="005D5CB2">
        <w:rPr>
          <w:lang w:val="en-US"/>
        </w:rPr>
        <w:tab/>
        <w:t>Ahtyrcev B. P. Serye lesnye pochvy central'noj Rossii.- Voro¬nezh, 1979.- 232 s.</w:t>
      </w:r>
    </w:p>
    <w:p w:rsidR="00A13301" w:rsidRPr="005D5CB2" w:rsidRDefault="00A13301" w:rsidP="005D5CB2">
      <w:pPr>
        <w:spacing w:line="360" w:lineRule="auto"/>
        <w:jc w:val="both"/>
        <w:rPr>
          <w:lang w:val="en-US"/>
        </w:rPr>
      </w:pPr>
      <w:r w:rsidRPr="005D5CB2">
        <w:rPr>
          <w:lang w:val="en-US"/>
        </w:rPr>
        <w:t>6.</w:t>
      </w:r>
      <w:r w:rsidRPr="005D5CB2">
        <w:rPr>
          <w:lang w:val="en-US"/>
        </w:rPr>
        <w:tab/>
        <w:t>Ahtyrcev B. P. Jevoljucija lesnyh pochv pri sel'skohozjajstvennom ispol'zovanii. // Nauch. zap. Voronezhsk. otd. Geogr. o-va SSSR.- Voronezh, 1963.- S. 44-53.</w:t>
      </w:r>
    </w:p>
    <w:p w:rsidR="00A13301" w:rsidRPr="005D5CB2" w:rsidRDefault="00A13301" w:rsidP="005D5CB2">
      <w:pPr>
        <w:spacing w:line="360" w:lineRule="auto"/>
        <w:jc w:val="both"/>
        <w:rPr>
          <w:lang w:val="en-US"/>
        </w:rPr>
      </w:pPr>
      <w:r w:rsidRPr="005D5CB2">
        <w:rPr>
          <w:lang w:val="en-US"/>
        </w:rPr>
        <w:t>7.</w:t>
      </w:r>
      <w:r w:rsidRPr="005D5CB2">
        <w:rPr>
          <w:lang w:val="en-US"/>
        </w:rPr>
        <w:tab/>
        <w:t>Ahtyrcev B. P., Solovichenko V. D. Izmenenie zapasa gumusa v lesostepnyh i stepnyh pochvah pod vlijaniem zemledel'cheskogo ispol'zovanija i vodnoj jerozii.// Pochvovedenie, 1984, № 3.</w:t>
      </w:r>
    </w:p>
    <w:p w:rsidR="00A13301" w:rsidRPr="005D5CB2" w:rsidRDefault="00A13301" w:rsidP="005D5CB2">
      <w:pPr>
        <w:spacing w:line="360" w:lineRule="auto"/>
        <w:jc w:val="both"/>
        <w:rPr>
          <w:lang w:val="en-US"/>
        </w:rPr>
      </w:pPr>
      <w:r w:rsidRPr="005D5CB2">
        <w:rPr>
          <w:lang w:val="en-US"/>
        </w:rPr>
        <w:t>8.</w:t>
      </w:r>
      <w:r w:rsidRPr="005D5CB2">
        <w:rPr>
          <w:lang w:val="en-US"/>
        </w:rPr>
        <w:tab/>
        <w:t>Ahtyrcev B. P., Shhetinina A. S. Izmenenie seryh lesnyh pochv Srednerusskoj lesostepi v processe sel'skohozjajstvennogo osvoe¬nija.- Saransk, 1969.- 164 s.</w:t>
      </w:r>
    </w:p>
    <w:p w:rsidR="00A13301" w:rsidRPr="005D5CB2" w:rsidRDefault="00A13301" w:rsidP="005D5CB2">
      <w:pPr>
        <w:spacing w:line="360" w:lineRule="auto"/>
        <w:jc w:val="both"/>
        <w:rPr>
          <w:lang w:val="en-US"/>
        </w:rPr>
      </w:pPr>
      <w:r w:rsidRPr="005D5CB2">
        <w:rPr>
          <w:lang w:val="en-US"/>
        </w:rPr>
        <w:t>9.</w:t>
      </w:r>
      <w:r w:rsidRPr="005D5CB2">
        <w:rPr>
          <w:lang w:val="en-US"/>
        </w:rPr>
        <w:tab/>
        <w:t>Dobrovol'skij G. V. Nuzhna Krasnaja kniga pochv // Himija i zhizn', 1984. №5.-S.56-57.</w:t>
      </w:r>
    </w:p>
    <w:p w:rsidR="00A13301" w:rsidRPr="005D5CB2" w:rsidRDefault="00A13301" w:rsidP="005D5CB2">
      <w:pPr>
        <w:spacing w:line="360" w:lineRule="auto"/>
        <w:jc w:val="both"/>
        <w:rPr>
          <w:lang w:val="en-US"/>
        </w:rPr>
      </w:pPr>
      <w:r w:rsidRPr="005D5CB2">
        <w:rPr>
          <w:lang w:val="en-US"/>
        </w:rPr>
        <w:t>10.</w:t>
      </w:r>
      <w:r w:rsidRPr="005D5CB2">
        <w:rPr>
          <w:lang w:val="en-US"/>
        </w:rPr>
        <w:tab/>
        <w:t>Dokuchaev V. V. Russkij chernozem.- M., 1952.- 635 s.</w:t>
      </w:r>
    </w:p>
    <w:p w:rsidR="00A13301" w:rsidRPr="005D5CB2" w:rsidRDefault="00A13301" w:rsidP="005D5CB2">
      <w:pPr>
        <w:spacing w:line="360" w:lineRule="auto"/>
        <w:jc w:val="both"/>
        <w:rPr>
          <w:lang w:val="en-US"/>
        </w:rPr>
      </w:pPr>
      <w:r w:rsidRPr="005D5CB2">
        <w:rPr>
          <w:lang w:val="en-US"/>
        </w:rPr>
        <w:t>11.</w:t>
      </w:r>
      <w:r w:rsidRPr="005D5CB2">
        <w:rPr>
          <w:lang w:val="en-US"/>
        </w:rPr>
        <w:tab/>
        <w:t>Zdorovcov I.P. Agrojekologicheskie osnovy kompleksa protivojerozionnyh meroprijatij v rajonah intensivnogo zemledelija Russkoj ravniny. //Avtoref. dis. ... dokt. s.-h. nauk. – Kursk: VNIIZiZPJe, 1993. –   68 s.</w:t>
      </w:r>
    </w:p>
    <w:p w:rsidR="00A13301" w:rsidRPr="005D5CB2" w:rsidRDefault="00A13301" w:rsidP="005D5CB2">
      <w:pPr>
        <w:spacing w:line="360" w:lineRule="auto"/>
        <w:jc w:val="both"/>
        <w:rPr>
          <w:lang w:val="en-US"/>
        </w:rPr>
      </w:pPr>
      <w:r w:rsidRPr="005D5CB2">
        <w:rPr>
          <w:lang w:val="en-US"/>
        </w:rPr>
        <w:t>12.</w:t>
      </w:r>
      <w:r w:rsidRPr="005D5CB2">
        <w:rPr>
          <w:lang w:val="en-US"/>
        </w:rPr>
        <w:tab/>
        <w:t xml:space="preserve">Korolev V.A. Fizicheskie svojstva antropogenno-preobrazovannyh chernozemov centra Russkoj ravniny. // V kn.:  Chernozemy Central'noj Rossii: genezis, geografija, </w:t>
      </w:r>
      <w:r w:rsidRPr="005D5CB2">
        <w:rPr>
          <w:lang w:val="en-US"/>
        </w:rPr>
        <w:lastRenderedPageBreak/>
        <w:t>jevoljucija. / Materialy konf. posvjashhennoj 100-letiju Aderihina P.G. – Voronezh, 2004. – S. 59-78.</w:t>
      </w:r>
    </w:p>
    <w:p w:rsidR="00A13301" w:rsidRPr="005D5CB2" w:rsidRDefault="00A13301" w:rsidP="005D5CB2">
      <w:pPr>
        <w:spacing w:line="360" w:lineRule="auto"/>
        <w:jc w:val="both"/>
        <w:rPr>
          <w:lang w:val="en-US"/>
        </w:rPr>
      </w:pPr>
      <w:r w:rsidRPr="005D5CB2">
        <w:rPr>
          <w:lang w:val="en-US"/>
        </w:rPr>
        <w:t>13.</w:t>
      </w:r>
      <w:r w:rsidRPr="005D5CB2">
        <w:rPr>
          <w:lang w:val="en-US"/>
        </w:rPr>
        <w:tab/>
        <w:t>Lukin S. V. Jekologicheskie problemy i puti ih reshenija v zemledelii Belgorodskoj oblasti. – Belgorod, 2004. – 162 s.</w:t>
      </w:r>
    </w:p>
    <w:p w:rsidR="00A13301" w:rsidRPr="005D5CB2" w:rsidRDefault="00A13301" w:rsidP="005D5CB2">
      <w:pPr>
        <w:spacing w:line="360" w:lineRule="auto"/>
        <w:jc w:val="both"/>
        <w:rPr>
          <w:lang w:val="en-US"/>
        </w:rPr>
      </w:pPr>
      <w:r w:rsidRPr="005D5CB2">
        <w:rPr>
          <w:lang w:val="en-US"/>
        </w:rPr>
        <w:t>14.</w:t>
      </w:r>
      <w:r w:rsidRPr="005D5CB2">
        <w:rPr>
          <w:lang w:val="en-US"/>
        </w:rPr>
        <w:tab/>
        <w:t>Lukin S. V., Uvarov G. I., Akulov P. G., Solovichenko V. D. Jekologicheskie osnovy zemledelija. – Belgorod, 2006 – 286 s.</w:t>
      </w:r>
    </w:p>
    <w:p w:rsidR="00A13301" w:rsidRPr="005D5CB2" w:rsidRDefault="00A13301" w:rsidP="005D5CB2">
      <w:pPr>
        <w:spacing w:line="360" w:lineRule="auto"/>
        <w:jc w:val="both"/>
        <w:rPr>
          <w:lang w:val="en-US"/>
        </w:rPr>
      </w:pPr>
      <w:r w:rsidRPr="005D5CB2">
        <w:rPr>
          <w:lang w:val="en-US"/>
        </w:rPr>
        <w:t>15.</w:t>
      </w:r>
      <w:r w:rsidRPr="005D5CB2">
        <w:rPr>
          <w:lang w:val="en-US"/>
        </w:rPr>
        <w:tab/>
        <w:t>Medvedev V. V. Optimizacija agrofizicheskih svojstv chernozemov.- M.: Agropromizdat, 1988.- 159 s.</w:t>
      </w:r>
    </w:p>
    <w:p w:rsidR="00A13301" w:rsidRPr="005D5CB2" w:rsidRDefault="00A13301" w:rsidP="005D5CB2">
      <w:pPr>
        <w:spacing w:line="360" w:lineRule="auto"/>
        <w:jc w:val="both"/>
        <w:rPr>
          <w:lang w:val="en-US"/>
        </w:rPr>
      </w:pPr>
      <w:r w:rsidRPr="005D5CB2">
        <w:rPr>
          <w:lang w:val="en-US"/>
        </w:rPr>
        <w:t>16.</w:t>
      </w:r>
      <w:r w:rsidRPr="005D5CB2">
        <w:rPr>
          <w:lang w:val="en-US"/>
        </w:rPr>
        <w:tab/>
        <w:t>Solovichenko V.D., Tjutjunov S.I. Pochvennyj pokrov Belgorodskoj oblasti i ego racional'noe ispol'zovanie. – Belgorod: Izd-vo «Otchij kraj», 2013. – 371 s.</w:t>
      </w:r>
    </w:p>
    <w:p w:rsidR="00A13301" w:rsidRPr="005D5CB2" w:rsidRDefault="00A13301" w:rsidP="005D5CB2">
      <w:pPr>
        <w:spacing w:line="360" w:lineRule="auto"/>
        <w:jc w:val="both"/>
      </w:pPr>
      <w:r w:rsidRPr="00767017">
        <w:rPr>
          <w:lang w:val="en-US"/>
        </w:rPr>
        <w:t>17.</w:t>
      </w:r>
      <w:r w:rsidRPr="00767017">
        <w:rPr>
          <w:lang w:val="en-US"/>
        </w:rPr>
        <w:tab/>
        <w:t xml:space="preserve">Shherbakov A. P., Vasenev I. I. Agrojekologicheskoe sostojanie pochv CChO. - Kursk, 1996.- </w:t>
      </w:r>
      <w:r>
        <w:t>326 s.</w:t>
      </w:r>
    </w:p>
    <w:sectPr w:rsidR="00A13301" w:rsidRPr="005D5CB2" w:rsidSect="000D4946">
      <w:headerReference w:type="even" r:id="rId9"/>
      <w:headerReference w:type="default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C79" w:rsidRDefault="005E2C79">
      <w:r>
        <w:separator/>
      </w:r>
    </w:p>
  </w:endnote>
  <w:endnote w:type="continuationSeparator" w:id="0">
    <w:p w:rsidR="005E2C79" w:rsidRDefault="005E2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301" w:rsidRDefault="00A13301">
    <w:pPr>
      <w:pStyle w:val="a5"/>
    </w:pPr>
    <w:r w:rsidRPr="00565542">
      <w:rPr>
        <w:sz w:val="24"/>
        <w:szCs w:val="24"/>
      </w:rPr>
      <w:t>http://ej.kubagro.ru/2014/09/pdf/</w:t>
    </w:r>
    <w:r>
      <w:rPr>
        <w:sz w:val="24"/>
        <w:szCs w:val="24"/>
        <w:lang w:val="en-US"/>
      </w:rPr>
      <w:t>07</w:t>
    </w:r>
    <w:r w:rsidRPr="00565542">
      <w:rPr>
        <w:sz w:val="24"/>
        <w:szCs w:val="24"/>
      </w:rPr>
      <w:t>.pdf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C79" w:rsidRDefault="005E2C79">
      <w:r>
        <w:separator/>
      </w:r>
    </w:p>
  </w:footnote>
  <w:footnote w:type="continuationSeparator" w:id="0">
    <w:p w:rsidR="005E2C79" w:rsidRDefault="005E2C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301" w:rsidRDefault="00A13301" w:rsidP="00F64789">
    <w:pPr>
      <w:pStyle w:val="a3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13301" w:rsidRDefault="00A13301" w:rsidP="000D4946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301" w:rsidRPr="000D4946" w:rsidRDefault="00A13301" w:rsidP="00F64789">
    <w:pPr>
      <w:pStyle w:val="a3"/>
      <w:framePr w:wrap="around" w:vAnchor="text" w:hAnchor="margin" w:xAlign="right" w:y="1"/>
      <w:rPr>
        <w:rStyle w:val="ac"/>
        <w:sz w:val="28"/>
        <w:szCs w:val="28"/>
      </w:rPr>
    </w:pPr>
    <w:r w:rsidRPr="000D4946">
      <w:rPr>
        <w:rStyle w:val="ac"/>
        <w:sz w:val="28"/>
        <w:szCs w:val="28"/>
      </w:rPr>
      <w:fldChar w:fldCharType="begin"/>
    </w:r>
    <w:r w:rsidRPr="000D4946">
      <w:rPr>
        <w:rStyle w:val="ac"/>
        <w:sz w:val="28"/>
        <w:szCs w:val="28"/>
      </w:rPr>
      <w:instrText xml:space="preserve">PAGE  </w:instrText>
    </w:r>
    <w:r w:rsidRPr="000D4946">
      <w:rPr>
        <w:rStyle w:val="ac"/>
        <w:sz w:val="28"/>
        <w:szCs w:val="28"/>
      </w:rPr>
      <w:fldChar w:fldCharType="separate"/>
    </w:r>
    <w:r w:rsidR="005C5A03">
      <w:rPr>
        <w:rStyle w:val="ac"/>
        <w:noProof/>
        <w:sz w:val="28"/>
        <w:szCs w:val="28"/>
      </w:rPr>
      <w:t>18</w:t>
    </w:r>
    <w:r w:rsidRPr="000D4946">
      <w:rPr>
        <w:rStyle w:val="ac"/>
        <w:sz w:val="28"/>
        <w:szCs w:val="28"/>
      </w:rPr>
      <w:fldChar w:fldCharType="end"/>
    </w:r>
  </w:p>
  <w:p w:rsidR="00A13301" w:rsidRDefault="00A13301" w:rsidP="000D4946">
    <w:pPr>
      <w:pStyle w:val="a3"/>
      <w:ind w:right="360"/>
    </w:pPr>
    <w:r w:rsidRPr="00525FFB">
      <w:t>Научный журнал КубГАУ, №103(09), 2014 года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8B09E7"/>
    <w:multiLevelType w:val="hybridMultilevel"/>
    <w:tmpl w:val="5F42D64E"/>
    <w:lvl w:ilvl="0" w:tplc="86F6EF98">
      <w:start w:val="1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57FE7B56"/>
    <w:multiLevelType w:val="hybridMultilevel"/>
    <w:tmpl w:val="3746FC20"/>
    <w:lvl w:ilvl="0" w:tplc="A25E9DC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686943C5"/>
    <w:multiLevelType w:val="hybridMultilevel"/>
    <w:tmpl w:val="2910BD78"/>
    <w:lvl w:ilvl="0" w:tplc="2340BC2A">
      <w:start w:val="1"/>
      <w:numFmt w:val="decimal"/>
      <w:lvlText w:val="%1."/>
      <w:lvlJc w:val="left"/>
      <w:pPr>
        <w:tabs>
          <w:tab w:val="num" w:pos="915"/>
        </w:tabs>
        <w:ind w:left="915" w:hanging="37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179E"/>
    <w:rsid w:val="000D4946"/>
    <w:rsid w:val="001359E8"/>
    <w:rsid w:val="002101C2"/>
    <w:rsid w:val="00213320"/>
    <w:rsid w:val="00255B2A"/>
    <w:rsid w:val="0027758D"/>
    <w:rsid w:val="002B3F52"/>
    <w:rsid w:val="00355C7B"/>
    <w:rsid w:val="0037237C"/>
    <w:rsid w:val="00381C3E"/>
    <w:rsid w:val="003B5410"/>
    <w:rsid w:val="003F69B9"/>
    <w:rsid w:val="00435CC7"/>
    <w:rsid w:val="00525FFB"/>
    <w:rsid w:val="00565542"/>
    <w:rsid w:val="0058197F"/>
    <w:rsid w:val="005C5A03"/>
    <w:rsid w:val="005D5CB2"/>
    <w:rsid w:val="005E2C79"/>
    <w:rsid w:val="00767017"/>
    <w:rsid w:val="0091788A"/>
    <w:rsid w:val="0095434A"/>
    <w:rsid w:val="009821AD"/>
    <w:rsid w:val="009A4D69"/>
    <w:rsid w:val="00A13301"/>
    <w:rsid w:val="00AB792A"/>
    <w:rsid w:val="00CB09A1"/>
    <w:rsid w:val="00CE017C"/>
    <w:rsid w:val="00CE5F70"/>
    <w:rsid w:val="00E21291"/>
    <w:rsid w:val="00E213AF"/>
    <w:rsid w:val="00E256F7"/>
    <w:rsid w:val="00E57CCE"/>
    <w:rsid w:val="00E8179E"/>
    <w:rsid w:val="00EB32A9"/>
    <w:rsid w:val="00F64789"/>
    <w:rsid w:val="00FB21F9"/>
    <w:rsid w:val="00FB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E8179E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E8179E"/>
    <w:pPr>
      <w:keepNext/>
      <w:shd w:val="clear" w:color="auto" w:fill="FFFFFF"/>
      <w:spacing w:line="360" w:lineRule="auto"/>
      <w:ind w:right="187" w:firstLine="935"/>
      <w:jc w:val="center"/>
      <w:outlineLvl w:val="1"/>
    </w:pPr>
    <w:rPr>
      <w:b/>
      <w:bCs/>
      <w:color w:val="000000"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8179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E8179E"/>
    <w:rPr>
      <w:rFonts w:ascii="Times New Roman" w:hAnsi="Times New Roman" w:cs="Times New Roman"/>
      <w:b/>
      <w:bCs/>
      <w:color w:val="000000"/>
      <w:spacing w:val="5"/>
      <w:sz w:val="28"/>
      <w:szCs w:val="28"/>
      <w:shd w:val="clear" w:color="auto" w:fill="FFFFFF"/>
      <w:lang w:eastAsia="ru-RU"/>
    </w:rPr>
  </w:style>
  <w:style w:type="character" w:customStyle="1" w:styleId="30">
    <w:name w:val="Заголовок 3 Знак"/>
    <w:link w:val="3"/>
    <w:uiPriority w:val="99"/>
    <w:locked/>
    <w:rsid w:val="00E8179E"/>
    <w:rPr>
      <w:rFonts w:ascii="Arial" w:hAnsi="Arial" w:cs="Arial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semiHidden/>
    <w:rsid w:val="00E817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E8179E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rsid w:val="00E8179E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6">
    <w:name w:val="Нижний колонтитул Знак"/>
    <w:link w:val="a5"/>
    <w:uiPriority w:val="99"/>
    <w:semiHidden/>
    <w:locked/>
    <w:rsid w:val="00E8179E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Body Text Indent"/>
    <w:basedOn w:val="a"/>
    <w:link w:val="a8"/>
    <w:uiPriority w:val="99"/>
    <w:semiHidden/>
    <w:rsid w:val="00E8179E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8179E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rsid w:val="00E8179E"/>
    <w:pPr>
      <w:spacing w:after="120" w:line="480" w:lineRule="auto"/>
    </w:pPr>
    <w:rPr>
      <w:sz w:val="28"/>
      <w:szCs w:val="28"/>
    </w:rPr>
  </w:style>
  <w:style w:type="character" w:customStyle="1" w:styleId="22">
    <w:name w:val="Основной текст 2 Знак"/>
    <w:link w:val="21"/>
    <w:uiPriority w:val="99"/>
    <w:semiHidden/>
    <w:locked/>
    <w:rsid w:val="00E8179E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uiPriority w:val="99"/>
    <w:rsid w:val="00E8179E"/>
    <w:pPr>
      <w:spacing w:before="100" w:beforeAutospacing="1" w:after="100" w:afterAutospacing="1"/>
    </w:pPr>
  </w:style>
  <w:style w:type="paragraph" w:customStyle="1" w:styleId="p4">
    <w:name w:val="p4"/>
    <w:basedOn w:val="a"/>
    <w:uiPriority w:val="99"/>
    <w:rsid w:val="00E8179E"/>
    <w:pPr>
      <w:spacing w:before="100" w:beforeAutospacing="1" w:after="100" w:afterAutospacing="1"/>
    </w:pPr>
  </w:style>
  <w:style w:type="paragraph" w:customStyle="1" w:styleId="p14">
    <w:name w:val="p14"/>
    <w:basedOn w:val="a"/>
    <w:uiPriority w:val="99"/>
    <w:rsid w:val="00E8179E"/>
    <w:pPr>
      <w:spacing w:before="100" w:beforeAutospacing="1" w:after="100" w:afterAutospacing="1"/>
    </w:pPr>
  </w:style>
  <w:style w:type="paragraph" w:customStyle="1" w:styleId="p21">
    <w:name w:val="p21"/>
    <w:basedOn w:val="a"/>
    <w:uiPriority w:val="99"/>
    <w:rsid w:val="00E8179E"/>
    <w:pPr>
      <w:spacing w:before="100" w:beforeAutospacing="1" w:after="100" w:afterAutospacing="1"/>
    </w:pPr>
  </w:style>
  <w:style w:type="paragraph" w:customStyle="1" w:styleId="p16">
    <w:name w:val="p16"/>
    <w:basedOn w:val="a"/>
    <w:uiPriority w:val="99"/>
    <w:rsid w:val="00E8179E"/>
    <w:pPr>
      <w:spacing w:before="100" w:beforeAutospacing="1" w:after="100" w:afterAutospacing="1"/>
    </w:pPr>
  </w:style>
  <w:style w:type="paragraph" w:customStyle="1" w:styleId="p17">
    <w:name w:val="p17"/>
    <w:basedOn w:val="a"/>
    <w:uiPriority w:val="99"/>
    <w:rsid w:val="00E8179E"/>
    <w:pPr>
      <w:spacing w:before="100" w:beforeAutospacing="1" w:after="100" w:afterAutospacing="1"/>
    </w:pPr>
  </w:style>
  <w:style w:type="paragraph" w:customStyle="1" w:styleId="p13">
    <w:name w:val="p13"/>
    <w:basedOn w:val="a"/>
    <w:uiPriority w:val="99"/>
    <w:rsid w:val="00E8179E"/>
    <w:pPr>
      <w:spacing w:before="100" w:beforeAutospacing="1" w:after="100" w:afterAutospacing="1"/>
    </w:pPr>
  </w:style>
  <w:style w:type="paragraph" w:customStyle="1" w:styleId="p120">
    <w:name w:val="p120"/>
    <w:basedOn w:val="a"/>
    <w:uiPriority w:val="99"/>
    <w:rsid w:val="00E8179E"/>
    <w:pPr>
      <w:spacing w:before="100" w:beforeAutospacing="1" w:after="100" w:afterAutospacing="1"/>
    </w:pPr>
  </w:style>
  <w:style w:type="paragraph" w:customStyle="1" w:styleId="p5">
    <w:name w:val="p5"/>
    <w:basedOn w:val="a"/>
    <w:uiPriority w:val="99"/>
    <w:rsid w:val="00E8179E"/>
    <w:pPr>
      <w:spacing w:before="100" w:beforeAutospacing="1" w:after="100" w:afterAutospacing="1"/>
    </w:pPr>
  </w:style>
  <w:style w:type="paragraph" w:customStyle="1" w:styleId="p123">
    <w:name w:val="p123"/>
    <w:basedOn w:val="a"/>
    <w:uiPriority w:val="99"/>
    <w:rsid w:val="00E8179E"/>
    <w:pPr>
      <w:spacing w:before="100" w:beforeAutospacing="1" w:after="100" w:afterAutospacing="1"/>
    </w:pPr>
  </w:style>
  <w:style w:type="character" w:customStyle="1" w:styleId="BodyText2">
    <w:name w:val="Body Text 2 Знак"/>
    <w:link w:val="210"/>
    <w:uiPriority w:val="99"/>
    <w:locked/>
    <w:rsid w:val="00E8179E"/>
    <w:rPr>
      <w:rFonts w:cs="Times New Roman"/>
      <w:sz w:val="24"/>
      <w:szCs w:val="24"/>
    </w:rPr>
  </w:style>
  <w:style w:type="paragraph" w:customStyle="1" w:styleId="210">
    <w:name w:val="Основной текст 21"/>
    <w:basedOn w:val="a"/>
    <w:link w:val="BodyText2"/>
    <w:uiPriority w:val="99"/>
    <w:rsid w:val="00E8179E"/>
    <w:pPr>
      <w:ind w:firstLine="851"/>
      <w:jc w:val="both"/>
    </w:pPr>
    <w:rPr>
      <w:rFonts w:ascii="Calibri" w:eastAsia="Calibri" w:hAnsi="Calibri"/>
      <w:sz w:val="28"/>
      <w:lang w:eastAsia="en-US"/>
    </w:rPr>
  </w:style>
  <w:style w:type="character" w:customStyle="1" w:styleId="s1">
    <w:name w:val="s1"/>
    <w:uiPriority w:val="99"/>
    <w:rsid w:val="00E8179E"/>
    <w:rPr>
      <w:rFonts w:cs="Times New Roman"/>
    </w:rPr>
  </w:style>
  <w:style w:type="character" w:customStyle="1" w:styleId="s2">
    <w:name w:val="s2"/>
    <w:uiPriority w:val="99"/>
    <w:rsid w:val="00E8179E"/>
    <w:rPr>
      <w:rFonts w:cs="Times New Roman"/>
    </w:rPr>
  </w:style>
  <w:style w:type="character" w:customStyle="1" w:styleId="s6">
    <w:name w:val="s6"/>
    <w:uiPriority w:val="99"/>
    <w:rsid w:val="00E8179E"/>
    <w:rPr>
      <w:rFonts w:cs="Times New Roman"/>
    </w:rPr>
  </w:style>
  <w:style w:type="character" w:customStyle="1" w:styleId="s27">
    <w:name w:val="s27"/>
    <w:uiPriority w:val="99"/>
    <w:rsid w:val="00E8179E"/>
    <w:rPr>
      <w:rFonts w:cs="Times New Roman"/>
    </w:rPr>
  </w:style>
  <w:style w:type="character" w:customStyle="1" w:styleId="s3">
    <w:name w:val="s3"/>
    <w:uiPriority w:val="99"/>
    <w:rsid w:val="00E8179E"/>
    <w:rPr>
      <w:rFonts w:cs="Times New Roman"/>
    </w:rPr>
  </w:style>
  <w:style w:type="table" w:styleId="a9">
    <w:name w:val="Table Elegant"/>
    <w:basedOn w:val="a1"/>
    <w:uiPriority w:val="99"/>
    <w:semiHidden/>
    <w:rsid w:val="00E8179E"/>
    <w:rPr>
      <w:rFonts w:ascii="Times New Roman" w:eastAsia="Times New Roman" w:hAnsi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uiPriority w:val="99"/>
    <w:semiHidden/>
    <w:rsid w:val="00E8179E"/>
    <w:rPr>
      <w:rFonts w:ascii="Times New Roman" w:eastAsia="Times New Roman" w:hAnsi="Times New Roman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a">
    <w:name w:val="Table Grid"/>
    <w:basedOn w:val="a1"/>
    <w:uiPriority w:val="99"/>
    <w:rsid w:val="00E8179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uiPriority w:val="99"/>
    <w:rsid w:val="00FB21F9"/>
    <w:rPr>
      <w:rFonts w:cs="Times New Roman"/>
      <w:color w:val="0000FF"/>
      <w:u w:val="single"/>
    </w:rPr>
  </w:style>
  <w:style w:type="character" w:styleId="ac">
    <w:name w:val="page number"/>
    <w:uiPriority w:val="99"/>
    <w:rsid w:val="000D494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362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j.kubagro.ru/2012/03/pdf/94.pdf.%20&#1089;.%201115-1124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18</Pages>
  <Words>4753</Words>
  <Characters>27093</Characters>
  <Application>Microsoft Office Word</Application>
  <DocSecurity>0</DocSecurity>
  <Lines>225</Lines>
  <Paragraphs>63</Paragraphs>
  <ScaleCrop>false</ScaleCrop>
  <Company/>
  <LinksUpToDate>false</LinksUpToDate>
  <CharactersWithSpaces>31783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ипк580</dc:creator>
  <cp:keywords/>
  <dc:description/>
  <cp:lastModifiedBy>1</cp:lastModifiedBy>
  <cp:revision>11</cp:revision>
  <dcterms:created xsi:type="dcterms:W3CDTF">2014-11-08T07:29:00Z</dcterms:created>
  <dcterms:modified xsi:type="dcterms:W3CDTF">2014-11-28T17:21:00Z</dcterms:modified>
</cp:coreProperties>
</file>