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99"/>
        <w:gridCol w:w="4587"/>
      </w:tblGrid>
      <w:tr w:rsidR="00CE38BA" w:rsidRPr="00C03DB0" w:rsidTr="00B97C29">
        <w:tc>
          <w:tcPr>
            <w:tcW w:w="4699" w:type="dxa"/>
          </w:tcPr>
          <w:p w:rsidR="00CE38BA" w:rsidRPr="00015491" w:rsidRDefault="00CE38BA" w:rsidP="00B97C29">
            <w:pPr>
              <w:spacing w:after="0" w:line="240" w:lineRule="auto"/>
              <w:rPr>
                <w:rFonts w:ascii="Times New Roman" w:hAnsi="Times New Roman"/>
                <w:sz w:val="20"/>
                <w:szCs w:val="20"/>
                <w:lang w:val="en-US" w:eastAsia="en-US"/>
              </w:rPr>
            </w:pPr>
            <w:r w:rsidRPr="00B97C29">
              <w:rPr>
                <w:rFonts w:ascii="Times New Roman" w:hAnsi="Times New Roman"/>
                <w:sz w:val="20"/>
                <w:szCs w:val="20"/>
              </w:rPr>
              <w:t>УДК</w:t>
            </w:r>
            <w:r>
              <w:rPr>
                <w:rFonts w:ascii="Times New Roman" w:hAnsi="Times New Roman"/>
                <w:sz w:val="20"/>
                <w:szCs w:val="20"/>
                <w:lang w:val="en-US"/>
              </w:rPr>
              <w:t xml:space="preserve"> 336</w:t>
            </w:r>
          </w:p>
          <w:p w:rsidR="00CE38BA" w:rsidRPr="00B97C29" w:rsidRDefault="00CE38BA" w:rsidP="00B97C29">
            <w:pPr>
              <w:spacing w:after="0" w:line="240" w:lineRule="auto"/>
              <w:rPr>
                <w:rFonts w:ascii="Times New Roman" w:hAnsi="Times New Roman"/>
                <w:sz w:val="20"/>
                <w:szCs w:val="20"/>
              </w:rPr>
            </w:pPr>
          </w:p>
          <w:p w:rsidR="00CE38BA" w:rsidRPr="00B97C29" w:rsidRDefault="00CE38BA" w:rsidP="00B97C29">
            <w:pPr>
              <w:spacing w:after="0" w:line="240" w:lineRule="auto"/>
              <w:rPr>
                <w:rFonts w:ascii="Times New Roman" w:hAnsi="Times New Roman"/>
                <w:b/>
                <w:sz w:val="20"/>
                <w:szCs w:val="20"/>
              </w:rPr>
            </w:pPr>
            <w:r w:rsidRPr="00B97C29">
              <w:rPr>
                <w:rFonts w:ascii="Times New Roman" w:hAnsi="Times New Roman"/>
                <w:b/>
                <w:sz w:val="20"/>
                <w:szCs w:val="20"/>
              </w:rPr>
              <w:t>АНАЛИЗ ФИНАНСОВОГО СОСТОЯНИЯ И ОБОСНОВАНИЕ НАПРАВЛЕНИЙ ПОВЫШЕНИЯ ФИНАНСОВОЙ УСТОЙЧИВОСТИ ОТДЕЛЬНЫХ СЕЛЬСКОХОЗЯЙСТВЕННЫХ ОРГАНИЗАЦИЙ КОРЕНОВСКОГО РАЙОНА</w:t>
            </w:r>
          </w:p>
          <w:p w:rsidR="00CE38BA" w:rsidRPr="00B97C29" w:rsidRDefault="00CE38BA" w:rsidP="00B97C29">
            <w:pPr>
              <w:spacing w:after="0" w:line="240" w:lineRule="auto"/>
              <w:rPr>
                <w:rFonts w:ascii="Times New Roman" w:hAnsi="Times New Roman"/>
                <w:sz w:val="20"/>
                <w:szCs w:val="20"/>
              </w:rPr>
            </w:pPr>
          </w:p>
          <w:p w:rsidR="00CE38BA" w:rsidRPr="00306162" w:rsidRDefault="00CE38BA" w:rsidP="00B97C29">
            <w:pPr>
              <w:spacing w:after="0" w:line="240" w:lineRule="auto"/>
              <w:rPr>
                <w:rFonts w:ascii="Times New Roman" w:hAnsi="Times New Roman"/>
                <w:sz w:val="20"/>
                <w:szCs w:val="20"/>
                <w:lang w:val="en-US"/>
              </w:rPr>
            </w:pPr>
            <w:r>
              <w:rPr>
                <w:rFonts w:ascii="Times New Roman" w:hAnsi="Times New Roman"/>
                <w:sz w:val="20"/>
                <w:szCs w:val="20"/>
              </w:rPr>
              <w:t>Симкова Сабина Рашидовна</w:t>
            </w:r>
          </w:p>
          <w:p w:rsidR="00CE38BA" w:rsidRPr="00B97C29" w:rsidRDefault="00CE38BA" w:rsidP="00B97C29">
            <w:pPr>
              <w:spacing w:after="0" w:line="240" w:lineRule="auto"/>
              <w:rPr>
                <w:rFonts w:ascii="Times New Roman" w:hAnsi="Times New Roman"/>
                <w:sz w:val="20"/>
                <w:szCs w:val="20"/>
              </w:rPr>
            </w:pPr>
            <w:r w:rsidRPr="00B97C29">
              <w:rPr>
                <w:rFonts w:ascii="Times New Roman" w:hAnsi="Times New Roman"/>
                <w:sz w:val="20"/>
                <w:szCs w:val="20"/>
              </w:rPr>
              <w:t>магистрант 2 курса направления «Экономика»</w:t>
            </w:r>
          </w:p>
          <w:p w:rsidR="00CE38BA" w:rsidRPr="00B97C29" w:rsidRDefault="00CE38BA" w:rsidP="00B97C29">
            <w:pPr>
              <w:spacing w:after="0" w:line="240" w:lineRule="auto"/>
              <w:rPr>
                <w:rFonts w:ascii="Times New Roman" w:hAnsi="Times New Roman"/>
                <w:sz w:val="20"/>
                <w:szCs w:val="20"/>
              </w:rPr>
            </w:pPr>
            <w:r w:rsidRPr="00B97C29">
              <w:rPr>
                <w:rFonts w:ascii="Times New Roman" w:hAnsi="Times New Roman"/>
                <w:sz w:val="20"/>
                <w:szCs w:val="20"/>
              </w:rPr>
              <w:t>аннотированная магистерская программа</w:t>
            </w:r>
          </w:p>
          <w:p w:rsidR="00CE38BA" w:rsidRPr="00B97C29" w:rsidRDefault="00CE38BA" w:rsidP="00B97C29">
            <w:pPr>
              <w:spacing w:after="0" w:line="240" w:lineRule="auto"/>
              <w:rPr>
                <w:rFonts w:ascii="Times New Roman" w:hAnsi="Times New Roman"/>
                <w:sz w:val="20"/>
                <w:szCs w:val="20"/>
              </w:rPr>
            </w:pPr>
            <w:r w:rsidRPr="00B97C29">
              <w:rPr>
                <w:rFonts w:ascii="Times New Roman" w:hAnsi="Times New Roman"/>
                <w:sz w:val="20"/>
                <w:szCs w:val="20"/>
              </w:rPr>
              <w:t>«Учет, анализ и аудит»</w:t>
            </w:r>
          </w:p>
          <w:p w:rsidR="00CE38BA" w:rsidRPr="00306162" w:rsidRDefault="00CE38BA" w:rsidP="00B97C29">
            <w:pPr>
              <w:spacing w:after="0" w:line="240" w:lineRule="auto"/>
              <w:rPr>
                <w:rFonts w:ascii="Times New Roman" w:hAnsi="Times New Roman"/>
                <w:i/>
                <w:sz w:val="20"/>
                <w:szCs w:val="20"/>
              </w:rPr>
            </w:pPr>
            <w:r w:rsidRPr="00306162">
              <w:rPr>
                <w:rFonts w:ascii="Times New Roman" w:hAnsi="Times New Roman"/>
                <w:i/>
                <w:sz w:val="20"/>
                <w:szCs w:val="20"/>
              </w:rPr>
              <w:t>ФГБОУ ВПО «Кубанский ГАУ»</w:t>
            </w:r>
          </w:p>
          <w:p w:rsidR="00CE38BA" w:rsidRPr="00306162" w:rsidRDefault="00CE38BA" w:rsidP="00B97C29">
            <w:pPr>
              <w:spacing w:after="0" w:line="240" w:lineRule="auto"/>
              <w:rPr>
                <w:rFonts w:ascii="Times New Roman" w:hAnsi="Times New Roman"/>
                <w:i/>
                <w:sz w:val="20"/>
                <w:szCs w:val="20"/>
              </w:rPr>
            </w:pPr>
            <w:r w:rsidRPr="00306162">
              <w:rPr>
                <w:rFonts w:ascii="Times New Roman" w:hAnsi="Times New Roman"/>
                <w:i/>
                <w:sz w:val="20"/>
                <w:szCs w:val="20"/>
              </w:rPr>
              <w:t xml:space="preserve">350044, г.Краснодар, ул.Калинина, д.13 </w:t>
            </w:r>
          </w:p>
          <w:p w:rsidR="00CE38BA" w:rsidRPr="00015491" w:rsidRDefault="00CE38BA" w:rsidP="00B97C29">
            <w:pPr>
              <w:spacing w:after="0" w:line="240" w:lineRule="auto"/>
              <w:rPr>
                <w:rFonts w:ascii="Times New Roman" w:hAnsi="Times New Roman"/>
                <w:sz w:val="20"/>
                <w:szCs w:val="20"/>
                <w:lang w:val="en-US"/>
              </w:rPr>
            </w:pPr>
            <w:r w:rsidRPr="00015491">
              <w:rPr>
                <w:rFonts w:ascii="Times New Roman" w:hAnsi="Times New Roman"/>
                <w:sz w:val="20"/>
                <w:szCs w:val="20"/>
                <w:lang w:val="en-US"/>
              </w:rPr>
              <w:t xml:space="preserve">e-mail: </w:t>
            </w:r>
            <w:bookmarkStart w:id="0" w:name="OLE_LINK1"/>
            <w:bookmarkStart w:id="1" w:name="OLE_LINK2"/>
            <w:r w:rsidRPr="00015491">
              <w:rPr>
                <w:rFonts w:ascii="Times New Roman" w:hAnsi="Times New Roman"/>
                <w:sz w:val="20"/>
                <w:szCs w:val="20"/>
                <w:lang w:val="en-US"/>
              </w:rPr>
              <w:t>simkova_sabina@mail.ru</w:t>
            </w:r>
            <w:bookmarkEnd w:id="0"/>
            <w:bookmarkEnd w:id="1"/>
          </w:p>
          <w:p w:rsidR="00CE38BA" w:rsidRPr="00B97C29" w:rsidRDefault="00CE38BA" w:rsidP="00B97C29">
            <w:pPr>
              <w:spacing w:after="0" w:line="240" w:lineRule="auto"/>
              <w:rPr>
                <w:rFonts w:ascii="Times New Roman" w:hAnsi="Times New Roman"/>
                <w:sz w:val="20"/>
                <w:szCs w:val="20"/>
                <w:lang w:val="en-US"/>
              </w:rPr>
            </w:pPr>
          </w:p>
          <w:p w:rsidR="00CE38BA" w:rsidRPr="00306162" w:rsidRDefault="00CE38BA" w:rsidP="00B97C29">
            <w:pPr>
              <w:spacing w:after="0" w:line="240" w:lineRule="auto"/>
              <w:rPr>
                <w:rFonts w:ascii="Times New Roman" w:hAnsi="Times New Roman"/>
                <w:sz w:val="20"/>
                <w:szCs w:val="20"/>
              </w:rPr>
            </w:pPr>
            <w:r w:rsidRPr="00B97C29">
              <w:rPr>
                <w:rFonts w:ascii="Times New Roman" w:hAnsi="Times New Roman"/>
                <w:sz w:val="20"/>
                <w:szCs w:val="20"/>
              </w:rPr>
              <w:t>В статье рассмотрены  основные направления и методы проведения анализа.  На примере конкретных сельскохозяйственных организаций  оценивается финансовое состояние, и предлагаются пути пов</w:t>
            </w:r>
            <w:r>
              <w:rPr>
                <w:rFonts w:ascii="Times New Roman" w:hAnsi="Times New Roman"/>
                <w:sz w:val="20"/>
                <w:szCs w:val="20"/>
              </w:rPr>
              <w:t>ышения финансовой устойчивости</w:t>
            </w:r>
          </w:p>
          <w:p w:rsidR="00CE38BA" w:rsidRPr="00B97C29" w:rsidRDefault="00CE38BA" w:rsidP="00B97C29">
            <w:pPr>
              <w:spacing w:after="0" w:line="240" w:lineRule="auto"/>
              <w:rPr>
                <w:rFonts w:ascii="Times New Roman" w:hAnsi="Times New Roman"/>
                <w:sz w:val="20"/>
                <w:szCs w:val="20"/>
              </w:rPr>
            </w:pPr>
          </w:p>
          <w:p w:rsidR="00CE38BA" w:rsidRPr="00306162" w:rsidRDefault="00CE38BA" w:rsidP="00B97C29">
            <w:pPr>
              <w:spacing w:after="0" w:line="240" w:lineRule="auto"/>
              <w:rPr>
                <w:rFonts w:ascii="Times New Roman" w:hAnsi="Times New Roman"/>
                <w:caps/>
                <w:sz w:val="20"/>
                <w:szCs w:val="20"/>
              </w:rPr>
            </w:pPr>
            <w:r w:rsidRPr="00B97C29">
              <w:rPr>
                <w:rFonts w:ascii="Times New Roman" w:hAnsi="Times New Roman"/>
                <w:sz w:val="20"/>
                <w:szCs w:val="20"/>
              </w:rPr>
              <w:t xml:space="preserve">Ключевые слова: </w:t>
            </w:r>
            <w:r w:rsidRPr="00B97C29">
              <w:rPr>
                <w:rFonts w:ascii="Times New Roman" w:hAnsi="Times New Roman"/>
                <w:caps/>
                <w:sz w:val="20"/>
                <w:szCs w:val="20"/>
              </w:rPr>
              <w:t>сельскохозяйственные организации</w:t>
            </w:r>
            <w:r w:rsidRPr="00015491">
              <w:rPr>
                <w:rFonts w:ascii="Times New Roman" w:hAnsi="Times New Roman"/>
                <w:caps/>
                <w:sz w:val="20"/>
                <w:szCs w:val="20"/>
              </w:rPr>
              <w:t>,</w:t>
            </w:r>
            <w:r w:rsidRPr="00B97C29">
              <w:rPr>
                <w:rFonts w:ascii="Times New Roman" w:hAnsi="Times New Roman"/>
                <w:caps/>
                <w:sz w:val="20"/>
                <w:szCs w:val="20"/>
              </w:rPr>
              <w:t xml:space="preserve"> финансовое состояние</w:t>
            </w:r>
            <w:r w:rsidRPr="00015491">
              <w:rPr>
                <w:rFonts w:ascii="Times New Roman" w:hAnsi="Times New Roman"/>
                <w:caps/>
                <w:sz w:val="20"/>
                <w:szCs w:val="20"/>
              </w:rPr>
              <w:t>,</w:t>
            </w:r>
            <w:r w:rsidRPr="00B97C29">
              <w:rPr>
                <w:rFonts w:ascii="Times New Roman" w:hAnsi="Times New Roman"/>
                <w:caps/>
                <w:sz w:val="20"/>
                <w:szCs w:val="20"/>
              </w:rPr>
              <w:t xml:space="preserve">  ликвидность</w:t>
            </w:r>
            <w:r w:rsidRPr="00015491">
              <w:rPr>
                <w:rFonts w:ascii="Times New Roman" w:hAnsi="Times New Roman"/>
                <w:caps/>
                <w:sz w:val="20"/>
                <w:szCs w:val="20"/>
              </w:rPr>
              <w:t>,</w:t>
            </w:r>
            <w:r w:rsidRPr="00B97C29">
              <w:rPr>
                <w:rFonts w:ascii="Times New Roman" w:hAnsi="Times New Roman"/>
                <w:caps/>
                <w:sz w:val="20"/>
                <w:szCs w:val="20"/>
              </w:rPr>
              <w:t xml:space="preserve"> платежеспособность</w:t>
            </w:r>
            <w:r w:rsidRPr="00015491">
              <w:rPr>
                <w:rFonts w:ascii="Times New Roman" w:hAnsi="Times New Roman"/>
                <w:caps/>
                <w:sz w:val="20"/>
                <w:szCs w:val="20"/>
              </w:rPr>
              <w:t>,</w:t>
            </w:r>
            <w:r w:rsidRPr="00B97C29">
              <w:rPr>
                <w:rFonts w:ascii="Times New Roman" w:hAnsi="Times New Roman"/>
                <w:caps/>
                <w:sz w:val="20"/>
                <w:szCs w:val="20"/>
              </w:rPr>
              <w:t xml:space="preserve"> деловая акти</w:t>
            </w:r>
            <w:r>
              <w:rPr>
                <w:rFonts w:ascii="Times New Roman" w:hAnsi="Times New Roman"/>
                <w:caps/>
                <w:sz w:val="20"/>
                <w:szCs w:val="20"/>
              </w:rPr>
              <w:t>вность</w:t>
            </w:r>
            <w:r w:rsidRPr="00015491">
              <w:rPr>
                <w:rFonts w:ascii="Times New Roman" w:hAnsi="Times New Roman"/>
                <w:caps/>
                <w:sz w:val="20"/>
                <w:szCs w:val="20"/>
              </w:rPr>
              <w:t>,</w:t>
            </w:r>
            <w:r>
              <w:rPr>
                <w:rFonts w:ascii="Times New Roman" w:hAnsi="Times New Roman"/>
                <w:caps/>
                <w:sz w:val="20"/>
                <w:szCs w:val="20"/>
              </w:rPr>
              <w:t xml:space="preserve"> финансовая устойчивость</w:t>
            </w:r>
          </w:p>
        </w:tc>
        <w:tc>
          <w:tcPr>
            <w:tcW w:w="4587" w:type="dxa"/>
          </w:tcPr>
          <w:p w:rsidR="00CE38BA" w:rsidRPr="00B97C29" w:rsidRDefault="00CE38BA" w:rsidP="00B97C29">
            <w:pPr>
              <w:spacing w:after="0" w:line="240" w:lineRule="auto"/>
              <w:rPr>
                <w:rFonts w:ascii="Times New Roman" w:hAnsi="Times New Roman"/>
                <w:sz w:val="20"/>
                <w:szCs w:val="20"/>
                <w:lang w:val="en-US" w:eastAsia="en-US"/>
              </w:rPr>
            </w:pPr>
            <w:r w:rsidRPr="00B97C29">
              <w:rPr>
                <w:rFonts w:ascii="Times New Roman" w:hAnsi="Times New Roman"/>
                <w:sz w:val="20"/>
                <w:szCs w:val="20"/>
                <w:lang w:val="en-US"/>
              </w:rPr>
              <w:t>UDC</w:t>
            </w:r>
            <w:r>
              <w:rPr>
                <w:rFonts w:ascii="Times New Roman" w:hAnsi="Times New Roman"/>
                <w:sz w:val="20"/>
                <w:szCs w:val="20"/>
                <w:lang w:val="en-US"/>
              </w:rPr>
              <w:t xml:space="preserve"> 336</w:t>
            </w:r>
          </w:p>
          <w:p w:rsidR="00CE38BA" w:rsidRPr="00B97C29" w:rsidRDefault="00CE38BA" w:rsidP="00B97C29">
            <w:pPr>
              <w:spacing w:after="0" w:line="240" w:lineRule="auto"/>
              <w:rPr>
                <w:rFonts w:ascii="Times New Roman" w:hAnsi="Times New Roman"/>
                <w:sz w:val="20"/>
                <w:szCs w:val="20"/>
                <w:lang w:val="en-US"/>
              </w:rPr>
            </w:pPr>
          </w:p>
          <w:p w:rsidR="00CE38BA" w:rsidRPr="00B97C29" w:rsidRDefault="00CE38BA" w:rsidP="00B97C29">
            <w:pPr>
              <w:spacing w:after="0" w:line="240" w:lineRule="auto"/>
              <w:rPr>
                <w:rFonts w:ascii="Times New Roman" w:hAnsi="Times New Roman"/>
                <w:b/>
                <w:sz w:val="20"/>
                <w:szCs w:val="20"/>
                <w:lang w:val="en-US"/>
              </w:rPr>
            </w:pPr>
            <w:r w:rsidRPr="00B97C29">
              <w:rPr>
                <w:rFonts w:ascii="Times New Roman" w:hAnsi="Times New Roman"/>
                <w:b/>
                <w:sz w:val="20"/>
                <w:szCs w:val="20"/>
                <w:lang w:val="en-US"/>
              </w:rPr>
              <w:t xml:space="preserve">ANALYSIS OF FINANCIAL CONDITION AND SUBSTANTIATION OF FINANCIAL STABILITY IMPROVEMENT OF CERTAIN AGRICULTURAL ORGANIZATIONS OF THE KORENOVSK </w:t>
            </w:r>
            <w:r>
              <w:rPr>
                <w:rFonts w:ascii="Times New Roman" w:hAnsi="Times New Roman"/>
                <w:b/>
                <w:sz w:val="20"/>
                <w:szCs w:val="20"/>
                <w:lang w:val="en-US"/>
              </w:rPr>
              <w:t>REGION</w:t>
            </w:r>
          </w:p>
          <w:p w:rsidR="00CE38BA" w:rsidRPr="00B97C29" w:rsidRDefault="00CE38BA" w:rsidP="00B97C29">
            <w:pPr>
              <w:spacing w:after="0" w:line="240" w:lineRule="auto"/>
              <w:rPr>
                <w:rFonts w:ascii="Times New Roman" w:hAnsi="Times New Roman"/>
                <w:sz w:val="20"/>
                <w:szCs w:val="20"/>
                <w:lang w:val="en-US"/>
              </w:rPr>
            </w:pPr>
          </w:p>
          <w:p w:rsidR="00CE38BA" w:rsidRPr="00B97C29" w:rsidRDefault="00CE38BA" w:rsidP="00B97C29">
            <w:pPr>
              <w:spacing w:after="0" w:line="240" w:lineRule="auto"/>
              <w:rPr>
                <w:rFonts w:ascii="Times New Roman" w:hAnsi="Times New Roman"/>
                <w:sz w:val="20"/>
                <w:szCs w:val="20"/>
                <w:lang w:val="en-US"/>
              </w:rPr>
            </w:pPr>
          </w:p>
          <w:p w:rsidR="00CE38BA" w:rsidRPr="00B97C29" w:rsidRDefault="00CE38BA" w:rsidP="00B97C29">
            <w:pPr>
              <w:spacing w:after="0" w:line="240" w:lineRule="auto"/>
              <w:rPr>
                <w:rFonts w:ascii="Times New Roman" w:hAnsi="Times New Roman"/>
                <w:sz w:val="20"/>
                <w:szCs w:val="20"/>
                <w:lang w:val="en-US"/>
              </w:rPr>
            </w:pPr>
            <w:r w:rsidRPr="00B97C29">
              <w:rPr>
                <w:rFonts w:ascii="Times New Roman" w:hAnsi="Times New Roman"/>
                <w:sz w:val="20"/>
                <w:szCs w:val="20"/>
                <w:lang w:val="en-US"/>
              </w:rPr>
              <w:t>Simkova Sabina Rashidovna</w:t>
            </w:r>
          </w:p>
          <w:p w:rsidR="00CE38BA" w:rsidRPr="00015491" w:rsidRDefault="00CE38BA" w:rsidP="00015491">
            <w:pPr>
              <w:spacing w:after="0" w:line="240" w:lineRule="auto"/>
              <w:rPr>
                <w:rFonts w:ascii="Times New Roman" w:hAnsi="Times New Roman"/>
                <w:sz w:val="20"/>
                <w:szCs w:val="20"/>
                <w:lang w:val="en-US"/>
              </w:rPr>
            </w:pPr>
            <w:r>
              <w:rPr>
                <w:rFonts w:ascii="Times New Roman" w:hAnsi="Times New Roman"/>
                <w:sz w:val="20"/>
                <w:szCs w:val="20"/>
                <w:lang w:val="en-US"/>
              </w:rPr>
              <w:t>m</w:t>
            </w:r>
            <w:r w:rsidRPr="00015491">
              <w:rPr>
                <w:rFonts w:ascii="Times New Roman" w:hAnsi="Times New Roman"/>
                <w:sz w:val="20"/>
                <w:szCs w:val="20"/>
                <w:lang w:val="en-US"/>
              </w:rPr>
              <w:t xml:space="preserve">aster </w:t>
            </w:r>
            <w:r>
              <w:rPr>
                <w:rFonts w:ascii="Times New Roman" w:hAnsi="Times New Roman"/>
                <w:sz w:val="20"/>
                <w:szCs w:val="20"/>
                <w:lang w:val="en-US"/>
              </w:rPr>
              <w:t xml:space="preserve">student of the </w:t>
            </w:r>
            <w:r w:rsidRPr="00015491">
              <w:rPr>
                <w:rFonts w:ascii="Times New Roman" w:hAnsi="Times New Roman"/>
                <w:sz w:val="20"/>
                <w:szCs w:val="20"/>
                <w:lang w:val="en-US"/>
              </w:rPr>
              <w:t>annotated master program</w:t>
            </w:r>
          </w:p>
          <w:p w:rsidR="00CE38BA" w:rsidRPr="00015491" w:rsidRDefault="00CE38BA" w:rsidP="00015491">
            <w:pPr>
              <w:spacing w:after="0" w:line="240" w:lineRule="auto"/>
              <w:rPr>
                <w:rFonts w:ascii="Times New Roman" w:hAnsi="Times New Roman"/>
                <w:sz w:val="20"/>
                <w:szCs w:val="20"/>
                <w:lang w:val="en-US"/>
              </w:rPr>
            </w:pPr>
            <w:r w:rsidRPr="00015491">
              <w:rPr>
                <w:rFonts w:ascii="Times New Roman" w:hAnsi="Times New Roman"/>
                <w:sz w:val="20"/>
                <w:szCs w:val="20"/>
                <w:lang w:val="en-US"/>
              </w:rPr>
              <w:t>"Accounting, analysis and audit"</w:t>
            </w:r>
          </w:p>
          <w:p w:rsidR="00CE38BA" w:rsidRPr="00015491" w:rsidRDefault="00CE38BA" w:rsidP="00015491">
            <w:pPr>
              <w:spacing w:after="0" w:line="240" w:lineRule="auto"/>
              <w:rPr>
                <w:rFonts w:ascii="Times New Roman" w:hAnsi="Times New Roman"/>
                <w:i/>
                <w:sz w:val="20"/>
                <w:szCs w:val="20"/>
                <w:lang w:val="en-US"/>
              </w:rPr>
            </w:pPr>
            <w:r w:rsidRPr="00015491">
              <w:rPr>
                <w:rFonts w:ascii="Times New Roman" w:hAnsi="Times New Roman"/>
                <w:i/>
                <w:sz w:val="20"/>
                <w:szCs w:val="20"/>
                <w:lang w:val="en-US"/>
              </w:rPr>
              <w:t>Kuban state agrarian University,</w:t>
            </w:r>
          </w:p>
          <w:p w:rsidR="00CE38BA" w:rsidRPr="00015491" w:rsidRDefault="00CE38BA" w:rsidP="00015491">
            <w:pPr>
              <w:spacing w:after="0" w:line="240" w:lineRule="auto"/>
              <w:rPr>
                <w:rFonts w:ascii="Times New Roman" w:hAnsi="Times New Roman"/>
                <w:i/>
                <w:sz w:val="20"/>
                <w:szCs w:val="20"/>
                <w:lang w:val="en-US"/>
              </w:rPr>
            </w:pPr>
            <w:r w:rsidRPr="00015491">
              <w:rPr>
                <w:rFonts w:ascii="Times New Roman" w:hAnsi="Times New Roman"/>
                <w:i/>
                <w:sz w:val="20"/>
                <w:szCs w:val="20"/>
                <w:lang w:val="en-US"/>
              </w:rPr>
              <w:t xml:space="preserve">350044, Krasnodar, Kalinin str., 13 </w:t>
            </w:r>
          </w:p>
          <w:p w:rsidR="00CE38BA" w:rsidRPr="00015491" w:rsidRDefault="00CE38BA" w:rsidP="00015491">
            <w:pPr>
              <w:spacing w:after="0" w:line="240" w:lineRule="auto"/>
              <w:rPr>
                <w:rFonts w:ascii="Times New Roman" w:hAnsi="Times New Roman"/>
                <w:sz w:val="20"/>
                <w:szCs w:val="20"/>
                <w:lang w:val="en-US"/>
              </w:rPr>
            </w:pPr>
            <w:r w:rsidRPr="00015491">
              <w:rPr>
                <w:rFonts w:ascii="Times New Roman" w:hAnsi="Times New Roman"/>
                <w:sz w:val="20"/>
                <w:szCs w:val="20"/>
                <w:lang w:val="en-US"/>
              </w:rPr>
              <w:t>e-mail: simkova_sabina@mail.ru</w:t>
            </w:r>
          </w:p>
          <w:p w:rsidR="00CE38BA" w:rsidRPr="00B97C29" w:rsidRDefault="00CE38BA" w:rsidP="00B97C29">
            <w:pPr>
              <w:spacing w:after="0" w:line="240" w:lineRule="auto"/>
              <w:rPr>
                <w:rFonts w:ascii="Times New Roman" w:hAnsi="Times New Roman"/>
                <w:sz w:val="20"/>
                <w:szCs w:val="20"/>
                <w:lang w:val="en-US"/>
              </w:rPr>
            </w:pPr>
          </w:p>
          <w:p w:rsidR="00CE38BA" w:rsidRPr="00B97C29" w:rsidRDefault="00CE38BA" w:rsidP="00B97C29">
            <w:pPr>
              <w:spacing w:after="0" w:line="240" w:lineRule="auto"/>
              <w:rPr>
                <w:rFonts w:ascii="Times New Roman" w:hAnsi="Times New Roman"/>
                <w:sz w:val="20"/>
                <w:szCs w:val="20"/>
                <w:lang w:val="en-US"/>
              </w:rPr>
            </w:pPr>
          </w:p>
          <w:p w:rsidR="00CE38BA" w:rsidRPr="00B97C29" w:rsidRDefault="00CE38BA" w:rsidP="00B97C29">
            <w:pPr>
              <w:spacing w:after="0" w:line="240" w:lineRule="auto"/>
              <w:rPr>
                <w:rFonts w:ascii="Times New Roman" w:hAnsi="Times New Roman"/>
                <w:sz w:val="20"/>
                <w:szCs w:val="20"/>
                <w:lang w:val="en-US"/>
              </w:rPr>
            </w:pPr>
            <w:r w:rsidRPr="00B97C29">
              <w:rPr>
                <w:rFonts w:ascii="Times New Roman" w:hAnsi="Times New Roman"/>
                <w:sz w:val="20"/>
                <w:szCs w:val="20"/>
                <w:lang w:val="en-US"/>
              </w:rPr>
              <w:t xml:space="preserve">The article describes the main trends and methods of analysis. </w:t>
            </w:r>
            <w:r>
              <w:rPr>
                <w:rFonts w:ascii="Times New Roman" w:hAnsi="Times New Roman"/>
                <w:sz w:val="20"/>
                <w:szCs w:val="20"/>
                <w:lang w:val="en-US"/>
              </w:rPr>
              <w:t>We have also given the e</w:t>
            </w:r>
            <w:r w:rsidRPr="00B97C29">
              <w:rPr>
                <w:rFonts w:ascii="Times New Roman" w:hAnsi="Times New Roman"/>
                <w:sz w:val="20"/>
                <w:szCs w:val="20"/>
                <w:lang w:val="en-US"/>
              </w:rPr>
              <w:t>xamples of specific agricultural organizations</w:t>
            </w:r>
            <w:r>
              <w:rPr>
                <w:rFonts w:ascii="Times New Roman" w:hAnsi="Times New Roman"/>
                <w:sz w:val="20"/>
                <w:szCs w:val="20"/>
                <w:lang w:val="en-US"/>
              </w:rPr>
              <w:t>,</w:t>
            </w:r>
            <w:r w:rsidRPr="00B97C29">
              <w:rPr>
                <w:rFonts w:ascii="Times New Roman" w:hAnsi="Times New Roman"/>
                <w:sz w:val="20"/>
                <w:szCs w:val="20"/>
                <w:lang w:val="en-US"/>
              </w:rPr>
              <w:t xml:space="preserve"> estimated financial condition and suggest</w:t>
            </w:r>
            <w:r>
              <w:rPr>
                <w:rFonts w:ascii="Times New Roman" w:hAnsi="Times New Roman"/>
                <w:sz w:val="20"/>
                <w:szCs w:val="20"/>
                <w:lang w:val="en-US"/>
              </w:rPr>
              <w:t>ed</w:t>
            </w:r>
            <w:r w:rsidRPr="00B97C29">
              <w:rPr>
                <w:rFonts w:ascii="Times New Roman" w:hAnsi="Times New Roman"/>
                <w:sz w:val="20"/>
                <w:szCs w:val="20"/>
                <w:lang w:val="en-US"/>
              </w:rPr>
              <w:t xml:space="preserve"> </w:t>
            </w:r>
            <w:r>
              <w:rPr>
                <w:rFonts w:ascii="Times New Roman" w:hAnsi="Times New Roman"/>
                <w:sz w:val="20"/>
                <w:szCs w:val="20"/>
                <w:lang w:val="en-US"/>
              </w:rPr>
              <w:t xml:space="preserve">the </w:t>
            </w:r>
            <w:r w:rsidRPr="00B97C29">
              <w:rPr>
                <w:rFonts w:ascii="Times New Roman" w:hAnsi="Times New Roman"/>
                <w:sz w:val="20"/>
                <w:szCs w:val="20"/>
                <w:lang w:val="en-US"/>
              </w:rPr>
              <w:t>ways to impro</w:t>
            </w:r>
            <w:r>
              <w:rPr>
                <w:rFonts w:ascii="Times New Roman" w:hAnsi="Times New Roman"/>
                <w:sz w:val="20"/>
                <w:szCs w:val="20"/>
                <w:lang w:val="en-US"/>
              </w:rPr>
              <w:t>ve the financial sustainability</w:t>
            </w:r>
          </w:p>
          <w:p w:rsidR="00CE38BA" w:rsidRPr="00B97C29" w:rsidRDefault="00CE38BA" w:rsidP="00B97C29">
            <w:pPr>
              <w:spacing w:after="0" w:line="240" w:lineRule="auto"/>
              <w:rPr>
                <w:rFonts w:ascii="Times New Roman" w:hAnsi="Times New Roman"/>
                <w:sz w:val="20"/>
                <w:szCs w:val="20"/>
                <w:lang w:val="en-US"/>
              </w:rPr>
            </w:pPr>
          </w:p>
          <w:p w:rsidR="00CE38BA" w:rsidRPr="00B97C29" w:rsidRDefault="00CE38BA" w:rsidP="00B97C29">
            <w:pPr>
              <w:spacing w:after="0" w:line="240" w:lineRule="auto"/>
              <w:rPr>
                <w:rFonts w:ascii="Times New Roman" w:hAnsi="Times New Roman"/>
                <w:caps/>
                <w:sz w:val="20"/>
                <w:szCs w:val="20"/>
                <w:lang w:val="en-US"/>
              </w:rPr>
            </w:pPr>
            <w:r w:rsidRPr="00B97C29">
              <w:rPr>
                <w:rFonts w:ascii="Times New Roman" w:hAnsi="Times New Roman"/>
                <w:sz w:val="20"/>
                <w:szCs w:val="20"/>
                <w:lang w:val="en-US"/>
              </w:rPr>
              <w:t xml:space="preserve">Keywords: </w:t>
            </w:r>
            <w:r w:rsidRPr="00B97C29">
              <w:rPr>
                <w:rFonts w:ascii="Times New Roman" w:hAnsi="Times New Roman"/>
                <w:caps/>
                <w:sz w:val="20"/>
                <w:szCs w:val="20"/>
                <w:lang w:val="en-US"/>
              </w:rPr>
              <w:t>agricultural organization</w:t>
            </w:r>
            <w:r>
              <w:rPr>
                <w:rFonts w:ascii="Times New Roman" w:hAnsi="Times New Roman"/>
                <w:caps/>
                <w:sz w:val="20"/>
                <w:szCs w:val="20"/>
                <w:lang w:val="en-US"/>
              </w:rPr>
              <w:t>,</w:t>
            </w:r>
            <w:r w:rsidRPr="00B97C29">
              <w:rPr>
                <w:rFonts w:ascii="Times New Roman" w:hAnsi="Times New Roman"/>
                <w:caps/>
                <w:sz w:val="20"/>
                <w:szCs w:val="20"/>
                <w:lang w:val="en-US"/>
              </w:rPr>
              <w:t xml:space="preserve"> financial condition</w:t>
            </w:r>
            <w:r>
              <w:rPr>
                <w:rFonts w:ascii="Times New Roman" w:hAnsi="Times New Roman"/>
                <w:caps/>
                <w:sz w:val="20"/>
                <w:szCs w:val="20"/>
                <w:lang w:val="en-US"/>
              </w:rPr>
              <w:t>,</w:t>
            </w:r>
            <w:r w:rsidRPr="00B97C29">
              <w:rPr>
                <w:rFonts w:ascii="Times New Roman" w:hAnsi="Times New Roman"/>
                <w:caps/>
                <w:sz w:val="20"/>
                <w:szCs w:val="20"/>
                <w:lang w:val="en-US"/>
              </w:rPr>
              <w:t xml:space="preserve"> liquidity</w:t>
            </w:r>
            <w:r>
              <w:rPr>
                <w:rFonts w:ascii="Times New Roman" w:hAnsi="Times New Roman"/>
                <w:caps/>
                <w:sz w:val="20"/>
                <w:szCs w:val="20"/>
                <w:lang w:val="en-US"/>
              </w:rPr>
              <w:t>,</w:t>
            </w:r>
            <w:r w:rsidRPr="00B97C29">
              <w:rPr>
                <w:rFonts w:ascii="Times New Roman" w:hAnsi="Times New Roman"/>
                <w:caps/>
                <w:sz w:val="20"/>
                <w:szCs w:val="20"/>
                <w:lang w:val="en-US"/>
              </w:rPr>
              <w:t xml:space="preserve"> solvency</w:t>
            </w:r>
            <w:r>
              <w:rPr>
                <w:rFonts w:ascii="Times New Roman" w:hAnsi="Times New Roman"/>
                <w:caps/>
                <w:sz w:val="20"/>
                <w:szCs w:val="20"/>
                <w:lang w:val="en-US"/>
              </w:rPr>
              <w:t>,</w:t>
            </w:r>
            <w:r w:rsidRPr="00B97C29">
              <w:rPr>
                <w:rFonts w:ascii="Times New Roman" w:hAnsi="Times New Roman"/>
                <w:caps/>
                <w:sz w:val="20"/>
                <w:szCs w:val="20"/>
                <w:lang w:val="en-US"/>
              </w:rPr>
              <w:t xml:space="preserve"> busines</w:t>
            </w:r>
            <w:r>
              <w:rPr>
                <w:rFonts w:ascii="Times New Roman" w:hAnsi="Times New Roman"/>
                <w:caps/>
                <w:sz w:val="20"/>
                <w:szCs w:val="20"/>
                <w:lang w:val="en-US"/>
              </w:rPr>
              <w:t>s activity, financial stability</w:t>
            </w:r>
          </w:p>
          <w:p w:rsidR="00CE38BA" w:rsidRPr="00B97C29" w:rsidRDefault="00CE38BA" w:rsidP="00B97C29">
            <w:pPr>
              <w:spacing w:after="0" w:line="240" w:lineRule="auto"/>
              <w:rPr>
                <w:rFonts w:ascii="Times New Roman" w:hAnsi="Times New Roman"/>
                <w:sz w:val="20"/>
                <w:szCs w:val="20"/>
                <w:lang w:val="en-US" w:eastAsia="en-US"/>
              </w:rPr>
            </w:pPr>
          </w:p>
        </w:tc>
      </w:tr>
    </w:tbl>
    <w:p w:rsidR="00CE38BA" w:rsidRDefault="00CE38BA" w:rsidP="0022027E">
      <w:pPr>
        <w:tabs>
          <w:tab w:val="left" w:pos="851"/>
        </w:tabs>
        <w:spacing w:after="0" w:line="360" w:lineRule="auto"/>
        <w:ind w:firstLine="851"/>
        <w:jc w:val="both"/>
        <w:rPr>
          <w:rFonts w:ascii="Times New Roman" w:hAnsi="Times New Roman" w:cs="Times New Roman"/>
          <w:sz w:val="28"/>
          <w:szCs w:val="28"/>
          <w:lang w:val="en-US"/>
        </w:rPr>
      </w:pPr>
    </w:p>
    <w:p w:rsidR="00CE38BA" w:rsidRDefault="00CE38BA" w:rsidP="0022027E">
      <w:pPr>
        <w:tabs>
          <w:tab w:val="left" w:pos="851"/>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Цель данной статьи </w:t>
      </w:r>
      <w:r w:rsidRPr="00614A20">
        <w:rPr>
          <w:rFonts w:ascii="Times New Roman" w:hAnsi="Times New Roman" w:cs="Times New Roman"/>
          <w:sz w:val="28"/>
          <w:szCs w:val="28"/>
        </w:rPr>
        <w:t>–</w:t>
      </w:r>
      <w:r>
        <w:rPr>
          <w:rFonts w:ascii="Times New Roman" w:hAnsi="Times New Roman" w:cs="Times New Roman"/>
          <w:sz w:val="28"/>
          <w:szCs w:val="28"/>
        </w:rPr>
        <w:t xml:space="preserve"> дать характеристику финансовому состоянию сельскохозяйственных организаций и разработать мероприятия, направленные на  повышение финансовой устойчивости,  на примере конкретных сельскохозяйственных организаций Кореновского района Краснодарского края. </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районе в настоящее время производством продукции растениеводства и животноводства занимаются более 40 сельхозорганизаций, 226 крестьянских (фермерских) хозяйств и 17130 личных подсобных хозяйств. </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Лучших результатов в производстве продукции растениеводства и животноводства добились ООО АПК «Кубань – ЛюКС», ЗАО «Кубань», ФГУП «Кореновское», ФГУП «Березанское», ОАО МОК «Братковский», ПУ «Север» ОАО «Агрообъединения»  «Кубань». </w:t>
      </w:r>
    </w:p>
    <w:p w:rsidR="00CE38BA" w:rsidRDefault="00CE38BA">
      <w:pPr>
        <w:spacing w:after="0" w:line="360" w:lineRule="auto"/>
        <w:ind w:firstLine="851"/>
        <w:jc w:val="both"/>
        <w:rPr>
          <w:rStyle w:val="FontStyle58"/>
          <w:sz w:val="28"/>
          <w:szCs w:val="28"/>
        </w:rPr>
      </w:pPr>
      <w:r>
        <w:rPr>
          <w:rFonts w:ascii="Times New Roman" w:hAnsi="Times New Roman" w:cs="Times New Roman"/>
          <w:sz w:val="28"/>
          <w:szCs w:val="28"/>
        </w:rPr>
        <w:t>В качестве объектов исследования  выбраны две сельскохозяйственные организации: ЗАО «Кубань» и ФГУП «Березанское».</w:t>
      </w:r>
    </w:p>
    <w:p w:rsidR="00CE38BA" w:rsidRDefault="00CE38BA">
      <w:pPr>
        <w:pStyle w:val="Style1"/>
        <w:widowControl/>
        <w:suppressAutoHyphens/>
        <w:spacing w:line="360" w:lineRule="auto"/>
        <w:ind w:firstLine="851"/>
        <w:rPr>
          <w:rStyle w:val="FontStyle58"/>
          <w:sz w:val="28"/>
          <w:szCs w:val="28"/>
        </w:rPr>
      </w:pPr>
      <w:r>
        <w:rPr>
          <w:rStyle w:val="FontStyle58"/>
          <w:sz w:val="28"/>
          <w:szCs w:val="28"/>
        </w:rPr>
        <w:t>Организации занимаются одним и тем же видом деятельности –  производством, хранением, переработкой и реализацией продукции сельского хозяйства (животноводства и растениеводства). Все исследуемые предприятия находятся в одинаковых природно-климатических условиях. Использование единой нормативной базы по учету во всех сферах деятельности, схожие потребности, одинаковые статьи расходов и доходов позволили нам выбрать их в качестве пилотных организаций и произвести сравнительный анализ их финансового состояния.</w:t>
      </w:r>
    </w:p>
    <w:p w:rsidR="00CE38BA" w:rsidRDefault="00CE38BA">
      <w:pPr>
        <w:pStyle w:val="Style1"/>
        <w:widowControl/>
        <w:suppressAutoHyphens/>
        <w:spacing w:line="360" w:lineRule="auto"/>
        <w:ind w:firstLine="851"/>
        <w:rPr>
          <w:sz w:val="28"/>
          <w:szCs w:val="28"/>
        </w:rPr>
      </w:pPr>
      <w:r>
        <w:rPr>
          <w:rStyle w:val="FontStyle58"/>
          <w:sz w:val="28"/>
          <w:szCs w:val="28"/>
        </w:rPr>
        <w:t>Финансовое состояние предприятия анализируют и оценивают с помощью системы показателей, характеризующих: качественные изменения в имуществе и источниках средств, вложенных в имущество; ликвидность и платежеспособность; финансовую зависимость; оборачиваемость капитала и деловую активность; рентабельность [2].</w:t>
      </w:r>
    </w:p>
    <w:p w:rsidR="00CE38BA" w:rsidRDefault="00CE38BA">
      <w:pPr>
        <w:pStyle w:val="Style1"/>
        <w:widowControl/>
        <w:suppressAutoHyphens/>
        <w:spacing w:line="360" w:lineRule="auto"/>
        <w:ind w:firstLine="851"/>
        <w:rPr>
          <w:sz w:val="28"/>
          <w:szCs w:val="28"/>
        </w:rPr>
      </w:pPr>
      <w:r>
        <w:rPr>
          <w:sz w:val="28"/>
          <w:szCs w:val="28"/>
        </w:rPr>
        <w:t>Результативность деятельности можно оценить с помощью показателей эффективности использования ресурсов предприятия, представленных в таблице 1.</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Анализ данных позволяет сделать вывод о том, что самая высокая эффективность использования ресурсов в ЗАО «Кубань». Здесь самая высокая эффективность труда, прибылеемкость полной себестоимости проданной продукции. Однако более эффективно используются основные средства в ФГУП «Березанское», на 100 руб. среднегодовой остаточной стоимости основных средств приходится 293,5 руб. выручки, что на 149 руб. или на 103,1 % больше, чем в ЗАО «Кубань».</w:t>
      </w:r>
    </w:p>
    <w:p w:rsidR="00CE38BA" w:rsidRPr="00614A20" w:rsidRDefault="00CE38BA">
      <w:pPr>
        <w:spacing w:after="0" w:line="240" w:lineRule="auto"/>
        <w:ind w:left="3119" w:hanging="2551"/>
        <w:jc w:val="both"/>
      </w:pPr>
    </w:p>
    <w:p w:rsidR="00CE38BA" w:rsidRPr="00614A20" w:rsidRDefault="00CE38BA">
      <w:pPr>
        <w:spacing w:after="0" w:line="240" w:lineRule="auto"/>
        <w:ind w:left="3119" w:hanging="2551"/>
        <w:jc w:val="both"/>
      </w:pPr>
    </w:p>
    <w:p w:rsidR="00CE38BA" w:rsidRDefault="00CE38BA">
      <w:pPr>
        <w:spacing w:after="0" w:line="240" w:lineRule="auto"/>
        <w:ind w:left="3119" w:hanging="2551"/>
        <w:jc w:val="both"/>
        <w:rPr>
          <w:sz w:val="28"/>
          <w:szCs w:val="28"/>
        </w:rPr>
      </w:pPr>
      <w:r>
        <w:rPr>
          <w:rFonts w:ascii="Times New Roman" w:hAnsi="Times New Roman" w:cs="Times New Roman"/>
          <w:sz w:val="28"/>
          <w:szCs w:val="28"/>
        </w:rPr>
        <w:t xml:space="preserve">Таблица 1 – Эффективность использования ресурсов в сельскохозяйственных организациях, 2012 год </w:t>
      </w:r>
    </w:p>
    <w:p w:rsidR="00CE38BA" w:rsidRDefault="00CE38BA">
      <w:pPr>
        <w:pStyle w:val="Style1"/>
        <w:widowControl/>
        <w:suppressAutoHyphens/>
        <w:spacing w:line="360" w:lineRule="auto"/>
        <w:ind w:firstLine="851"/>
        <w:rPr>
          <w:sz w:val="28"/>
          <w:szCs w:val="28"/>
        </w:rPr>
      </w:pPr>
    </w:p>
    <w:tbl>
      <w:tblPr>
        <w:tblW w:w="0" w:type="auto"/>
        <w:tblInd w:w="-20" w:type="dxa"/>
        <w:tblLayout w:type="fixed"/>
        <w:tblLook w:val="0000"/>
      </w:tblPr>
      <w:tblGrid>
        <w:gridCol w:w="2790"/>
        <w:gridCol w:w="1620"/>
        <w:gridCol w:w="1774"/>
        <w:gridCol w:w="1697"/>
        <w:gridCol w:w="1727"/>
      </w:tblGrid>
      <w:tr w:rsidR="00CE38BA">
        <w:tc>
          <w:tcPr>
            <w:tcW w:w="2790" w:type="dxa"/>
            <w:vMerge w:val="restart"/>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Показатель</w:t>
            </w:r>
          </w:p>
        </w:tc>
        <w:tc>
          <w:tcPr>
            <w:tcW w:w="1620" w:type="dxa"/>
            <w:vMerge w:val="restart"/>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ЗАО «Кубань»</w:t>
            </w:r>
          </w:p>
        </w:tc>
        <w:tc>
          <w:tcPr>
            <w:tcW w:w="1774" w:type="dxa"/>
            <w:vMerge w:val="restart"/>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ФГУП «Березанское»</w:t>
            </w:r>
          </w:p>
        </w:tc>
        <w:tc>
          <w:tcPr>
            <w:tcW w:w="3424" w:type="dxa"/>
            <w:gridSpan w:val="2"/>
            <w:tcBorders>
              <w:top w:val="single" w:sz="4" w:space="0" w:color="000000"/>
              <w:left w:val="single" w:sz="4" w:space="0" w:color="000000"/>
              <w:bottom w:val="single" w:sz="4" w:space="0" w:color="000000"/>
              <w:right w:val="single" w:sz="4" w:space="0" w:color="000000"/>
            </w:tcBorders>
            <w:vAlign w:val="center"/>
          </w:tcPr>
          <w:p w:rsidR="00CE38BA" w:rsidRDefault="00CE38BA">
            <w:pPr>
              <w:snapToGrid w:val="0"/>
              <w:spacing w:after="0" w:line="240" w:lineRule="auto"/>
              <w:jc w:val="center"/>
              <w:rPr>
                <w:rFonts w:ascii="Times New Roman" w:hAnsi="Times New Roman" w:cs="Times New Roman"/>
                <w:sz w:val="24"/>
                <w:szCs w:val="24"/>
              </w:rPr>
            </w:pPr>
          </w:p>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ФГУП «Березанское»  к ЗАО «Кубань»</w:t>
            </w:r>
          </w:p>
        </w:tc>
      </w:tr>
      <w:tr w:rsidR="00CE38BA">
        <w:tc>
          <w:tcPr>
            <w:tcW w:w="2790" w:type="dxa"/>
            <w:vMerge/>
            <w:tcBorders>
              <w:top w:val="single" w:sz="4" w:space="0" w:color="000000"/>
              <w:left w:val="single" w:sz="4" w:space="0" w:color="000000"/>
              <w:bottom w:val="single" w:sz="4" w:space="0" w:color="000000"/>
            </w:tcBorders>
            <w:vAlign w:val="center"/>
          </w:tcPr>
          <w:p w:rsidR="00CE38BA" w:rsidRDefault="00CE38BA">
            <w:pPr>
              <w:snapToGrid w:val="0"/>
              <w:spacing w:after="0" w:line="240" w:lineRule="auto"/>
              <w:jc w:val="center"/>
              <w:rPr>
                <w:rFonts w:ascii="Times New Roman" w:hAnsi="Times New Roman" w:cs="Times New Roman"/>
                <w:sz w:val="24"/>
                <w:szCs w:val="24"/>
              </w:rPr>
            </w:pPr>
          </w:p>
        </w:tc>
        <w:tc>
          <w:tcPr>
            <w:tcW w:w="1620" w:type="dxa"/>
            <w:vMerge/>
            <w:tcBorders>
              <w:top w:val="single" w:sz="4" w:space="0" w:color="000000"/>
              <w:left w:val="single" w:sz="4" w:space="0" w:color="000000"/>
              <w:bottom w:val="single" w:sz="4" w:space="0" w:color="000000"/>
            </w:tcBorders>
            <w:vAlign w:val="center"/>
          </w:tcPr>
          <w:p w:rsidR="00CE38BA" w:rsidRDefault="00CE38BA">
            <w:pPr>
              <w:snapToGrid w:val="0"/>
              <w:spacing w:after="0" w:line="240" w:lineRule="auto"/>
              <w:jc w:val="center"/>
              <w:rPr>
                <w:rFonts w:ascii="Times New Roman" w:hAnsi="Times New Roman" w:cs="Times New Roman"/>
                <w:sz w:val="24"/>
                <w:szCs w:val="24"/>
              </w:rPr>
            </w:pPr>
          </w:p>
        </w:tc>
        <w:tc>
          <w:tcPr>
            <w:tcW w:w="1774" w:type="dxa"/>
            <w:vMerge/>
            <w:tcBorders>
              <w:top w:val="single" w:sz="4" w:space="0" w:color="000000"/>
              <w:left w:val="single" w:sz="4" w:space="0" w:color="000000"/>
              <w:bottom w:val="single" w:sz="4" w:space="0" w:color="000000"/>
            </w:tcBorders>
            <w:vAlign w:val="center"/>
          </w:tcPr>
          <w:p w:rsidR="00CE38BA" w:rsidRDefault="00CE38BA">
            <w:pPr>
              <w:snapToGrid w:val="0"/>
              <w:spacing w:after="0" w:line="240" w:lineRule="auto"/>
              <w:jc w:val="center"/>
              <w:rPr>
                <w:rFonts w:ascii="Times New Roman" w:hAnsi="Times New Roman" w:cs="Times New Roman"/>
                <w:sz w:val="24"/>
                <w:szCs w:val="24"/>
              </w:rPr>
            </w:pPr>
          </w:p>
        </w:tc>
        <w:tc>
          <w:tcPr>
            <w:tcW w:w="1697" w:type="dxa"/>
            <w:tcBorders>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абсолютному значению</w:t>
            </w:r>
          </w:p>
        </w:tc>
        <w:tc>
          <w:tcPr>
            <w:tcW w:w="1727" w:type="dxa"/>
            <w:tcBorders>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 %</w:t>
            </w:r>
          </w:p>
        </w:tc>
      </w:tr>
      <w:tr w:rsidR="00CE38BA">
        <w:tc>
          <w:tcPr>
            <w:tcW w:w="2790"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Получено на одного среднегодового работника, тыс.руб.</w:t>
            </w:r>
          </w:p>
        </w:tc>
        <w:tc>
          <w:tcPr>
            <w:tcW w:w="6818" w:type="dxa"/>
            <w:gridSpan w:val="4"/>
            <w:tcBorders>
              <w:top w:val="single" w:sz="4" w:space="0" w:color="000000"/>
              <w:left w:val="single" w:sz="4" w:space="0" w:color="000000"/>
              <w:bottom w:val="single" w:sz="4" w:space="0" w:color="000000"/>
              <w:right w:val="single" w:sz="4" w:space="0" w:color="000000"/>
            </w:tcBorders>
          </w:tcPr>
          <w:p w:rsidR="00CE38BA" w:rsidRDefault="00CE38BA">
            <w:pPr>
              <w:snapToGrid w:val="0"/>
              <w:spacing w:after="0" w:line="240" w:lineRule="auto"/>
              <w:jc w:val="both"/>
              <w:rPr>
                <w:rFonts w:ascii="Times New Roman" w:hAnsi="Times New Roman" w:cs="Times New Roman"/>
                <w:sz w:val="24"/>
                <w:szCs w:val="24"/>
              </w:rPr>
            </w:pPr>
          </w:p>
        </w:tc>
      </w:tr>
      <w:tr w:rsidR="00CE38BA">
        <w:tc>
          <w:tcPr>
            <w:tcW w:w="2790"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выручки от продажи товаров, продукции, работ и услуг</w:t>
            </w:r>
          </w:p>
        </w:tc>
        <w:tc>
          <w:tcPr>
            <w:tcW w:w="162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1197,5</w:t>
            </w:r>
          </w:p>
        </w:tc>
        <w:tc>
          <w:tcPr>
            <w:tcW w:w="1774"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988,1</w:t>
            </w:r>
          </w:p>
        </w:tc>
        <w:tc>
          <w:tcPr>
            <w:tcW w:w="169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-209,4</w:t>
            </w:r>
          </w:p>
        </w:tc>
        <w:tc>
          <w:tcPr>
            <w:tcW w:w="172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82,5</w:t>
            </w:r>
          </w:p>
        </w:tc>
      </w:tr>
      <w:tr w:rsidR="00CE38BA">
        <w:tc>
          <w:tcPr>
            <w:tcW w:w="2790"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прибыли от продаж</w:t>
            </w:r>
          </w:p>
        </w:tc>
        <w:tc>
          <w:tcPr>
            <w:tcW w:w="162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343,8</w:t>
            </w:r>
          </w:p>
        </w:tc>
        <w:tc>
          <w:tcPr>
            <w:tcW w:w="1774"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134,8</w:t>
            </w:r>
          </w:p>
        </w:tc>
        <w:tc>
          <w:tcPr>
            <w:tcW w:w="169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-209,0</w:t>
            </w:r>
          </w:p>
        </w:tc>
        <w:tc>
          <w:tcPr>
            <w:tcW w:w="172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39,2</w:t>
            </w:r>
          </w:p>
        </w:tc>
      </w:tr>
      <w:tr w:rsidR="00CE38BA">
        <w:tc>
          <w:tcPr>
            <w:tcW w:w="2790"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Получено  на 100 руб. полной себестоимости проданной продукции, руб.</w:t>
            </w:r>
          </w:p>
        </w:tc>
        <w:tc>
          <w:tcPr>
            <w:tcW w:w="6818" w:type="dxa"/>
            <w:gridSpan w:val="4"/>
            <w:tcBorders>
              <w:top w:val="single" w:sz="4" w:space="0" w:color="000000"/>
              <w:left w:val="single" w:sz="4" w:space="0" w:color="000000"/>
              <w:bottom w:val="single" w:sz="4" w:space="0" w:color="000000"/>
              <w:right w:val="single" w:sz="4" w:space="0" w:color="000000"/>
            </w:tcBorders>
            <w:vAlign w:val="center"/>
          </w:tcPr>
          <w:p w:rsidR="00CE38BA" w:rsidRDefault="00CE38BA">
            <w:pPr>
              <w:snapToGrid w:val="0"/>
              <w:spacing w:after="0" w:line="240" w:lineRule="auto"/>
              <w:jc w:val="center"/>
              <w:rPr>
                <w:rFonts w:ascii="Times New Roman" w:hAnsi="Times New Roman" w:cs="Times New Roman"/>
                <w:sz w:val="24"/>
                <w:szCs w:val="24"/>
              </w:rPr>
            </w:pPr>
          </w:p>
        </w:tc>
      </w:tr>
      <w:tr w:rsidR="00CE38BA">
        <w:tc>
          <w:tcPr>
            <w:tcW w:w="2790"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выручки от продажи товаров, продукции, работ и услуг</w:t>
            </w:r>
          </w:p>
        </w:tc>
        <w:tc>
          <w:tcPr>
            <w:tcW w:w="162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150,7</w:t>
            </w:r>
          </w:p>
        </w:tc>
        <w:tc>
          <w:tcPr>
            <w:tcW w:w="1774"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78,2</w:t>
            </w:r>
          </w:p>
        </w:tc>
        <w:tc>
          <w:tcPr>
            <w:tcW w:w="169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-72,5</w:t>
            </w:r>
          </w:p>
        </w:tc>
        <w:tc>
          <w:tcPr>
            <w:tcW w:w="172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51,9</w:t>
            </w:r>
          </w:p>
        </w:tc>
      </w:tr>
      <w:tr w:rsidR="00CE38BA">
        <w:tc>
          <w:tcPr>
            <w:tcW w:w="2790"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прибыли от продаж</w:t>
            </w:r>
          </w:p>
        </w:tc>
        <w:tc>
          <w:tcPr>
            <w:tcW w:w="162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43,3</w:t>
            </w:r>
          </w:p>
        </w:tc>
        <w:tc>
          <w:tcPr>
            <w:tcW w:w="1774"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10,7</w:t>
            </w:r>
          </w:p>
        </w:tc>
        <w:tc>
          <w:tcPr>
            <w:tcW w:w="169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-32,6</w:t>
            </w:r>
          </w:p>
        </w:tc>
        <w:tc>
          <w:tcPr>
            <w:tcW w:w="172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24,7</w:t>
            </w:r>
          </w:p>
        </w:tc>
      </w:tr>
      <w:tr w:rsidR="00CE38BA">
        <w:tc>
          <w:tcPr>
            <w:tcW w:w="2790"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Получено на 100 руб. среднегодовой остаточной стоимости основных средств, руб.</w:t>
            </w:r>
          </w:p>
        </w:tc>
        <w:tc>
          <w:tcPr>
            <w:tcW w:w="6818" w:type="dxa"/>
            <w:gridSpan w:val="4"/>
            <w:tcBorders>
              <w:top w:val="single" w:sz="4" w:space="0" w:color="000000"/>
              <w:left w:val="single" w:sz="4" w:space="0" w:color="000000"/>
              <w:bottom w:val="single" w:sz="4" w:space="0" w:color="000000"/>
              <w:right w:val="single" w:sz="4" w:space="0" w:color="000000"/>
            </w:tcBorders>
            <w:vAlign w:val="center"/>
          </w:tcPr>
          <w:p w:rsidR="00CE38BA" w:rsidRDefault="00CE38BA">
            <w:pPr>
              <w:snapToGrid w:val="0"/>
              <w:spacing w:after="0" w:line="240" w:lineRule="auto"/>
              <w:jc w:val="center"/>
              <w:rPr>
                <w:rFonts w:ascii="Times New Roman" w:hAnsi="Times New Roman" w:cs="Times New Roman"/>
                <w:sz w:val="24"/>
                <w:szCs w:val="24"/>
              </w:rPr>
            </w:pPr>
          </w:p>
        </w:tc>
      </w:tr>
      <w:tr w:rsidR="00CE38BA">
        <w:tc>
          <w:tcPr>
            <w:tcW w:w="2790"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выручки от продажи товаров, продукции, работ и услуг</w:t>
            </w:r>
          </w:p>
        </w:tc>
        <w:tc>
          <w:tcPr>
            <w:tcW w:w="162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144,5</w:t>
            </w:r>
          </w:p>
        </w:tc>
        <w:tc>
          <w:tcPr>
            <w:tcW w:w="1774"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293,5</w:t>
            </w:r>
          </w:p>
        </w:tc>
        <w:tc>
          <w:tcPr>
            <w:tcW w:w="169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149,0</w:t>
            </w:r>
          </w:p>
        </w:tc>
        <w:tc>
          <w:tcPr>
            <w:tcW w:w="172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203,1</w:t>
            </w:r>
          </w:p>
        </w:tc>
      </w:tr>
      <w:tr w:rsidR="00CE38BA">
        <w:tc>
          <w:tcPr>
            <w:tcW w:w="2790"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прибыли от продаж</w:t>
            </w:r>
          </w:p>
        </w:tc>
        <w:tc>
          <w:tcPr>
            <w:tcW w:w="162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41,5</w:t>
            </w:r>
          </w:p>
        </w:tc>
        <w:tc>
          <w:tcPr>
            <w:tcW w:w="1774"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40,0</w:t>
            </w:r>
          </w:p>
        </w:tc>
        <w:tc>
          <w:tcPr>
            <w:tcW w:w="169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172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pPr>
            <w:r>
              <w:rPr>
                <w:rFonts w:ascii="Times New Roman" w:hAnsi="Times New Roman" w:cs="Times New Roman"/>
                <w:sz w:val="24"/>
                <w:szCs w:val="24"/>
              </w:rPr>
              <w:t>96,4</w:t>
            </w:r>
          </w:p>
        </w:tc>
      </w:tr>
    </w:tbl>
    <w:p w:rsidR="00CE38BA" w:rsidRDefault="00CE38BA">
      <w:pPr>
        <w:spacing w:after="0" w:line="240" w:lineRule="auto"/>
        <w:ind w:firstLine="851"/>
        <w:jc w:val="both"/>
      </w:pPr>
    </w:p>
    <w:p w:rsidR="00CE38BA" w:rsidRDefault="00CE38BA">
      <w:pPr>
        <w:spacing w:after="0" w:line="360" w:lineRule="auto"/>
        <w:ind w:firstLine="851"/>
        <w:jc w:val="both"/>
      </w:pPr>
    </w:p>
    <w:p w:rsidR="00CE38BA" w:rsidRDefault="00CE38BA">
      <w:pPr>
        <w:spacing w:after="0" w:line="360" w:lineRule="auto"/>
        <w:ind w:firstLine="851"/>
        <w:jc w:val="both"/>
        <w:rPr>
          <w:rStyle w:val="FontStyle58"/>
          <w:sz w:val="28"/>
          <w:szCs w:val="28"/>
        </w:rPr>
      </w:pPr>
      <w:r>
        <w:rPr>
          <w:rStyle w:val="FontStyle58"/>
          <w:sz w:val="28"/>
          <w:szCs w:val="28"/>
        </w:rPr>
        <w:t>Анализ показал, что более высокая эффективность использования производственных ресурсов в ЗАО «Кубань» объясняется уровнем материалоотдачи, рентабельностью продаж: материалоотдача в 2012 году равна 3,1 руб. или на 2,2 руб. (в 3,5 раза) выше в сравнении с ФГУП «Березанское»; рентабельность продаж  в 2012 г. была равна 28,7 % или на 15,1 пунктопроцента выше, чем в ФГУП «Березанское» вследствие опережающих темпов прироста прибыли  от продаж по сравнению с темпами прироста выручки.</w:t>
      </w:r>
    </w:p>
    <w:p w:rsidR="00CE38BA" w:rsidRDefault="00CE38BA">
      <w:pPr>
        <w:pStyle w:val="Style1"/>
        <w:widowControl/>
        <w:suppressAutoHyphens/>
        <w:spacing w:line="360" w:lineRule="auto"/>
        <w:ind w:firstLine="851"/>
      </w:pPr>
      <w:r>
        <w:rPr>
          <w:rStyle w:val="FontStyle58"/>
          <w:sz w:val="28"/>
          <w:szCs w:val="28"/>
        </w:rPr>
        <w:t>Сравним финансовые  результаты деятельности исследуемых организаций (таблица 2).</w:t>
      </w:r>
    </w:p>
    <w:p w:rsidR="00CE38BA" w:rsidRDefault="00CE38BA">
      <w:pPr>
        <w:spacing w:after="0" w:line="360" w:lineRule="auto"/>
        <w:ind w:firstLine="851"/>
        <w:jc w:val="both"/>
      </w:pPr>
    </w:p>
    <w:p w:rsidR="00CE38BA" w:rsidRDefault="00CE38BA">
      <w:pPr>
        <w:pStyle w:val="Style1"/>
        <w:widowControl/>
        <w:suppressAutoHyphens/>
        <w:spacing w:line="240" w:lineRule="auto"/>
        <w:ind w:left="2385" w:hanging="1500"/>
        <w:jc w:val="left"/>
        <w:rPr>
          <w:sz w:val="28"/>
          <w:szCs w:val="28"/>
        </w:rPr>
      </w:pPr>
      <w:r>
        <w:rPr>
          <w:rStyle w:val="FontStyle58"/>
          <w:sz w:val="28"/>
          <w:szCs w:val="28"/>
        </w:rPr>
        <w:t>Таблица 2 – Финансовые результаты деятельности сельскохозяйственных организаций, 2012 год</w:t>
      </w:r>
    </w:p>
    <w:p w:rsidR="00CE38BA" w:rsidRDefault="00CE38BA">
      <w:pPr>
        <w:spacing w:after="0" w:line="360" w:lineRule="auto"/>
        <w:ind w:firstLine="851"/>
        <w:jc w:val="both"/>
        <w:rPr>
          <w:rFonts w:ascii="Times New Roman" w:hAnsi="Times New Roman" w:cs="Times New Roman"/>
          <w:sz w:val="28"/>
          <w:szCs w:val="28"/>
        </w:rPr>
      </w:pPr>
    </w:p>
    <w:tbl>
      <w:tblPr>
        <w:tblW w:w="0" w:type="auto"/>
        <w:tblInd w:w="-20" w:type="dxa"/>
        <w:tblLayout w:type="fixed"/>
        <w:tblLook w:val="0000"/>
      </w:tblPr>
      <w:tblGrid>
        <w:gridCol w:w="2896"/>
        <w:gridCol w:w="1589"/>
        <w:gridCol w:w="1745"/>
        <w:gridCol w:w="1675"/>
        <w:gridCol w:w="1706"/>
      </w:tblGrid>
      <w:tr w:rsidR="00CE38BA">
        <w:tc>
          <w:tcPr>
            <w:tcW w:w="2896" w:type="dxa"/>
            <w:vMerge w:val="restart"/>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Показатель</w:t>
            </w:r>
          </w:p>
        </w:tc>
        <w:tc>
          <w:tcPr>
            <w:tcW w:w="1589" w:type="dxa"/>
            <w:vMerge w:val="restart"/>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ЗАО «Кубань»</w:t>
            </w:r>
          </w:p>
        </w:tc>
        <w:tc>
          <w:tcPr>
            <w:tcW w:w="1745" w:type="dxa"/>
            <w:vMerge w:val="restart"/>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ФГУП «Березанское»</w:t>
            </w:r>
          </w:p>
        </w:tc>
        <w:tc>
          <w:tcPr>
            <w:tcW w:w="3381" w:type="dxa"/>
            <w:gridSpan w:val="2"/>
            <w:tcBorders>
              <w:top w:val="single" w:sz="4" w:space="0" w:color="000000"/>
              <w:left w:val="single" w:sz="4" w:space="0" w:color="000000"/>
              <w:bottom w:val="single" w:sz="4" w:space="0" w:color="000000"/>
              <w:right w:val="single" w:sz="4" w:space="0" w:color="000000"/>
            </w:tcBorders>
            <w:vAlign w:val="center"/>
          </w:tcPr>
          <w:p w:rsidR="00CE38BA" w:rsidRDefault="00CE38BA">
            <w:pPr>
              <w:snapToGrid w:val="0"/>
              <w:spacing w:after="0" w:line="240" w:lineRule="auto"/>
              <w:jc w:val="center"/>
              <w:rPr>
                <w:rFonts w:ascii="Times New Roman" w:hAnsi="Times New Roman" w:cs="Times New Roman"/>
                <w:sz w:val="24"/>
                <w:szCs w:val="24"/>
              </w:rPr>
            </w:pPr>
          </w:p>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ФГУП «Березанское» к ЗАО «Кубань»</w:t>
            </w:r>
          </w:p>
        </w:tc>
      </w:tr>
      <w:tr w:rsidR="00CE38BA">
        <w:tc>
          <w:tcPr>
            <w:tcW w:w="2896" w:type="dxa"/>
            <w:vMerge/>
            <w:tcBorders>
              <w:top w:val="single" w:sz="4" w:space="0" w:color="000000"/>
              <w:left w:val="single" w:sz="4" w:space="0" w:color="000000"/>
              <w:bottom w:val="single" w:sz="4" w:space="0" w:color="000000"/>
            </w:tcBorders>
            <w:vAlign w:val="center"/>
          </w:tcPr>
          <w:p w:rsidR="00CE38BA" w:rsidRDefault="00CE38BA">
            <w:pPr>
              <w:snapToGrid w:val="0"/>
              <w:spacing w:after="0" w:line="240" w:lineRule="auto"/>
              <w:jc w:val="center"/>
              <w:rPr>
                <w:rFonts w:ascii="Times New Roman" w:hAnsi="Times New Roman" w:cs="Times New Roman"/>
                <w:sz w:val="24"/>
                <w:szCs w:val="24"/>
              </w:rPr>
            </w:pPr>
          </w:p>
        </w:tc>
        <w:tc>
          <w:tcPr>
            <w:tcW w:w="1589" w:type="dxa"/>
            <w:vMerge/>
            <w:tcBorders>
              <w:top w:val="single" w:sz="4" w:space="0" w:color="000000"/>
              <w:left w:val="single" w:sz="4" w:space="0" w:color="000000"/>
              <w:bottom w:val="single" w:sz="4" w:space="0" w:color="000000"/>
            </w:tcBorders>
            <w:vAlign w:val="center"/>
          </w:tcPr>
          <w:p w:rsidR="00CE38BA" w:rsidRDefault="00CE38BA">
            <w:pPr>
              <w:snapToGrid w:val="0"/>
              <w:spacing w:after="0" w:line="240" w:lineRule="auto"/>
              <w:jc w:val="center"/>
              <w:rPr>
                <w:rFonts w:ascii="Times New Roman" w:hAnsi="Times New Roman" w:cs="Times New Roman"/>
                <w:sz w:val="24"/>
                <w:szCs w:val="24"/>
              </w:rPr>
            </w:pPr>
          </w:p>
        </w:tc>
        <w:tc>
          <w:tcPr>
            <w:tcW w:w="1745" w:type="dxa"/>
            <w:vMerge/>
            <w:tcBorders>
              <w:top w:val="single" w:sz="4" w:space="0" w:color="000000"/>
              <w:left w:val="single" w:sz="4" w:space="0" w:color="000000"/>
              <w:bottom w:val="single" w:sz="4" w:space="0" w:color="000000"/>
            </w:tcBorders>
            <w:vAlign w:val="center"/>
          </w:tcPr>
          <w:p w:rsidR="00CE38BA" w:rsidRDefault="00CE38BA">
            <w:pPr>
              <w:snapToGrid w:val="0"/>
              <w:spacing w:after="0" w:line="240" w:lineRule="auto"/>
              <w:jc w:val="center"/>
              <w:rPr>
                <w:rFonts w:ascii="Times New Roman" w:hAnsi="Times New Roman" w:cs="Times New Roman"/>
                <w:sz w:val="24"/>
                <w:szCs w:val="24"/>
              </w:rPr>
            </w:pPr>
          </w:p>
        </w:tc>
        <w:tc>
          <w:tcPr>
            <w:tcW w:w="1675" w:type="dxa"/>
            <w:tcBorders>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абсолютному значению</w:t>
            </w:r>
          </w:p>
        </w:tc>
        <w:tc>
          <w:tcPr>
            <w:tcW w:w="1706" w:type="dxa"/>
            <w:tcBorders>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 %</w:t>
            </w:r>
          </w:p>
        </w:tc>
      </w:tr>
      <w:tr w:rsidR="00CE38BA">
        <w:tc>
          <w:tcPr>
            <w:tcW w:w="2896"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Выручка, тыс.руб.</w:t>
            </w:r>
          </w:p>
        </w:tc>
        <w:tc>
          <w:tcPr>
            <w:tcW w:w="1589"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342471</w:t>
            </w:r>
          </w:p>
        </w:tc>
        <w:tc>
          <w:tcPr>
            <w:tcW w:w="1745"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385347</w:t>
            </w:r>
          </w:p>
        </w:tc>
        <w:tc>
          <w:tcPr>
            <w:tcW w:w="1675"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42876</w:t>
            </w:r>
          </w:p>
        </w:tc>
        <w:tc>
          <w:tcPr>
            <w:tcW w:w="1706"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112,5</w:t>
            </w:r>
          </w:p>
        </w:tc>
      </w:tr>
      <w:tr w:rsidR="00CE38BA">
        <w:tc>
          <w:tcPr>
            <w:tcW w:w="2896"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Прибыль (убыток) от продаж, тыс.руб</w:t>
            </w:r>
          </w:p>
        </w:tc>
        <w:tc>
          <w:tcPr>
            <w:tcW w:w="1589"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98320</w:t>
            </w:r>
          </w:p>
        </w:tc>
        <w:tc>
          <w:tcPr>
            <w:tcW w:w="1745"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52558</w:t>
            </w:r>
          </w:p>
        </w:tc>
        <w:tc>
          <w:tcPr>
            <w:tcW w:w="1675"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-45762</w:t>
            </w:r>
          </w:p>
        </w:tc>
        <w:tc>
          <w:tcPr>
            <w:tcW w:w="1706"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53,5</w:t>
            </w:r>
          </w:p>
        </w:tc>
      </w:tr>
      <w:tr w:rsidR="00CE38BA">
        <w:tc>
          <w:tcPr>
            <w:tcW w:w="2896"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Прибыль (убыток) до налогообложения, тыс.руб.</w:t>
            </w:r>
          </w:p>
        </w:tc>
        <w:tc>
          <w:tcPr>
            <w:tcW w:w="1589"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86853</w:t>
            </w:r>
          </w:p>
        </w:tc>
        <w:tc>
          <w:tcPr>
            <w:tcW w:w="1745"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41873</w:t>
            </w:r>
          </w:p>
        </w:tc>
        <w:tc>
          <w:tcPr>
            <w:tcW w:w="1675"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-44980</w:t>
            </w:r>
          </w:p>
        </w:tc>
        <w:tc>
          <w:tcPr>
            <w:tcW w:w="1706"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48,2</w:t>
            </w:r>
          </w:p>
        </w:tc>
      </w:tr>
      <w:tr w:rsidR="00CE38BA">
        <w:tc>
          <w:tcPr>
            <w:tcW w:w="2896"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Чистая прибыль (убыток), тыс.руб.</w:t>
            </w:r>
          </w:p>
        </w:tc>
        <w:tc>
          <w:tcPr>
            <w:tcW w:w="1589"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84039</w:t>
            </w:r>
          </w:p>
        </w:tc>
        <w:tc>
          <w:tcPr>
            <w:tcW w:w="1745"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41040</w:t>
            </w:r>
          </w:p>
        </w:tc>
        <w:tc>
          <w:tcPr>
            <w:tcW w:w="1675"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-42999</w:t>
            </w:r>
          </w:p>
        </w:tc>
        <w:tc>
          <w:tcPr>
            <w:tcW w:w="1706"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48,8</w:t>
            </w:r>
          </w:p>
        </w:tc>
      </w:tr>
      <w:tr w:rsidR="00CE38BA">
        <w:tc>
          <w:tcPr>
            <w:tcW w:w="2896"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Рентабельность (убыточность) продаж, %</w:t>
            </w:r>
          </w:p>
        </w:tc>
        <w:tc>
          <w:tcPr>
            <w:tcW w:w="1589"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28,7</w:t>
            </w:r>
          </w:p>
        </w:tc>
        <w:tc>
          <w:tcPr>
            <w:tcW w:w="1745"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13,6</w:t>
            </w:r>
          </w:p>
        </w:tc>
        <w:tc>
          <w:tcPr>
            <w:tcW w:w="1675"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-15,1</w:t>
            </w:r>
          </w:p>
        </w:tc>
        <w:tc>
          <w:tcPr>
            <w:tcW w:w="1706"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pPr>
            <w:r>
              <w:rPr>
                <w:rFonts w:ascii="Times New Roman" w:hAnsi="Times New Roman" w:cs="Times New Roman"/>
                <w:sz w:val="24"/>
                <w:szCs w:val="24"/>
              </w:rPr>
              <w:t>х</w:t>
            </w:r>
          </w:p>
        </w:tc>
      </w:tr>
    </w:tbl>
    <w:p w:rsidR="00CE38BA" w:rsidRDefault="00CE38BA">
      <w:pPr>
        <w:spacing w:after="0" w:line="360" w:lineRule="auto"/>
        <w:ind w:firstLine="851"/>
        <w:jc w:val="both"/>
      </w:pPr>
    </w:p>
    <w:p w:rsidR="00CE38BA" w:rsidRDefault="00CE38BA">
      <w:pPr>
        <w:spacing w:after="0" w:line="360" w:lineRule="auto"/>
        <w:ind w:firstLine="851"/>
        <w:jc w:val="both"/>
        <w:rPr>
          <w:rStyle w:val="FontStyle58"/>
          <w:sz w:val="28"/>
          <w:szCs w:val="28"/>
        </w:rPr>
      </w:pPr>
      <w:r>
        <w:rPr>
          <w:rStyle w:val="FontStyle58"/>
          <w:sz w:val="28"/>
          <w:szCs w:val="28"/>
        </w:rPr>
        <w:t xml:space="preserve">Из данных таблицы 2 видно, что организации за  анализируемый период завершили свою работу с прибылью. Самый высокий уровень показателя выручки от продажи  у ФГУП «Березанское», в 2012 году он на 12,5 % больше чем у ЗАО «Кубань». Но при этом чистая прибыль больше  у ЗАО «Кубань»,  этот показатель у данной организации в  2 раза больше,  чем у ФГУП «Березанское». Это говорит о том, что темпы роста себестоимости продукции в ФГУП «Березанское» значительно превышают темпы роста выручки. </w:t>
      </w:r>
    </w:p>
    <w:p w:rsidR="00CE38BA" w:rsidRDefault="00CE38BA">
      <w:pPr>
        <w:spacing w:after="0" w:line="360" w:lineRule="auto"/>
        <w:ind w:firstLine="851"/>
        <w:jc w:val="both"/>
      </w:pPr>
      <w:r>
        <w:rPr>
          <w:rStyle w:val="FontStyle58"/>
          <w:sz w:val="28"/>
          <w:szCs w:val="28"/>
        </w:rPr>
        <w:t>Проанализируем влияние финансовых результатов деятельности указанных хозяйствующих субъектов на финансовое состояние организаций.</w:t>
      </w:r>
    </w:p>
    <w:p w:rsidR="00CE38BA" w:rsidRPr="00614A20" w:rsidRDefault="00CE38BA">
      <w:pPr>
        <w:spacing w:after="0" w:line="360" w:lineRule="auto"/>
        <w:ind w:firstLine="851"/>
        <w:jc w:val="both"/>
      </w:pPr>
    </w:p>
    <w:p w:rsidR="00CE38BA" w:rsidRPr="00614A20" w:rsidRDefault="00CE38BA">
      <w:pPr>
        <w:spacing w:after="0" w:line="360" w:lineRule="auto"/>
        <w:ind w:firstLine="851"/>
        <w:jc w:val="both"/>
      </w:pPr>
    </w:p>
    <w:p w:rsidR="00CE38BA" w:rsidRDefault="00CE38BA">
      <w:pPr>
        <w:spacing w:after="0" w:line="240" w:lineRule="auto"/>
        <w:ind w:left="2694" w:hanging="1843"/>
        <w:jc w:val="both"/>
        <w:rPr>
          <w:rFonts w:ascii="Times New Roman" w:hAnsi="Times New Roman" w:cs="Times New Roman"/>
          <w:sz w:val="28"/>
          <w:szCs w:val="28"/>
        </w:rPr>
      </w:pPr>
      <w:r>
        <w:rPr>
          <w:rFonts w:ascii="Times New Roman" w:hAnsi="Times New Roman" w:cs="Times New Roman"/>
          <w:sz w:val="28"/>
          <w:szCs w:val="28"/>
        </w:rPr>
        <w:t>Таблица 3 – Сравнительный аналитический баланс на конец 2012 года, тыс. руб.</w:t>
      </w:r>
    </w:p>
    <w:p w:rsidR="00CE38BA" w:rsidRDefault="00CE38BA">
      <w:pPr>
        <w:spacing w:after="0" w:line="240" w:lineRule="auto"/>
        <w:ind w:left="2694" w:hanging="1843"/>
        <w:jc w:val="both"/>
        <w:rPr>
          <w:rFonts w:ascii="Times New Roman" w:hAnsi="Times New Roman" w:cs="Times New Roman"/>
          <w:sz w:val="28"/>
          <w:szCs w:val="28"/>
        </w:rPr>
      </w:pPr>
    </w:p>
    <w:tbl>
      <w:tblPr>
        <w:tblW w:w="0" w:type="auto"/>
        <w:tblInd w:w="-20" w:type="dxa"/>
        <w:tblLayout w:type="fixed"/>
        <w:tblLook w:val="0000"/>
      </w:tblPr>
      <w:tblGrid>
        <w:gridCol w:w="2482"/>
        <w:gridCol w:w="1336"/>
        <w:gridCol w:w="757"/>
        <w:gridCol w:w="1286"/>
        <w:gridCol w:w="807"/>
        <w:gridCol w:w="1456"/>
        <w:gridCol w:w="1487"/>
      </w:tblGrid>
      <w:tr w:rsidR="00CE38BA">
        <w:tc>
          <w:tcPr>
            <w:tcW w:w="2482" w:type="dxa"/>
            <w:vMerge w:val="restart"/>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4"/>
                <w:szCs w:val="24"/>
              </w:rPr>
              <w:t>Показатель</w:t>
            </w:r>
          </w:p>
        </w:tc>
        <w:tc>
          <w:tcPr>
            <w:tcW w:w="2093" w:type="dxa"/>
            <w:gridSpan w:val="2"/>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ЗАО «Кубань»</w:t>
            </w:r>
          </w:p>
        </w:tc>
        <w:tc>
          <w:tcPr>
            <w:tcW w:w="2093" w:type="dxa"/>
            <w:gridSpan w:val="2"/>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ФГУП «Березанское»</w:t>
            </w:r>
          </w:p>
        </w:tc>
        <w:tc>
          <w:tcPr>
            <w:tcW w:w="2943" w:type="dxa"/>
            <w:gridSpan w:val="2"/>
            <w:vMerge w:val="restart"/>
            <w:tcBorders>
              <w:top w:val="single" w:sz="4" w:space="0" w:color="000000"/>
              <w:left w:val="single" w:sz="4" w:space="0" w:color="000000"/>
              <w:bottom w:val="single" w:sz="4" w:space="0" w:color="000000"/>
              <w:right w:val="single" w:sz="4" w:space="0" w:color="000000"/>
            </w:tcBorders>
            <w:vAlign w:val="center"/>
          </w:tcPr>
          <w:p w:rsidR="00CE38BA" w:rsidRDefault="00CE38BA">
            <w:pPr>
              <w:snapToGrid w:val="0"/>
              <w:spacing w:after="0" w:line="240" w:lineRule="auto"/>
              <w:jc w:val="center"/>
              <w:rPr>
                <w:rFonts w:ascii="Times New Roman" w:hAnsi="Times New Roman" w:cs="Times New Roman"/>
                <w:sz w:val="24"/>
                <w:szCs w:val="24"/>
              </w:rPr>
            </w:pPr>
          </w:p>
          <w:p w:rsidR="00CE38BA" w:rsidRDefault="00CE38BA">
            <w:pPr>
              <w:spacing w:after="0" w:line="240" w:lineRule="auto"/>
              <w:jc w:val="center"/>
              <w:rPr>
                <w:rFonts w:ascii="Times New Roman" w:hAnsi="Times New Roman" w:cs="Times New Roman"/>
                <w:sz w:val="28"/>
                <w:szCs w:val="28"/>
              </w:rPr>
            </w:pPr>
            <w:r>
              <w:rPr>
                <w:rFonts w:ascii="Times New Roman" w:hAnsi="Times New Roman" w:cs="Times New Roman"/>
                <w:sz w:val="24"/>
                <w:szCs w:val="24"/>
              </w:rPr>
              <w:t>ФГУП «Березанское»  к ЗАО «Кубань»</w:t>
            </w:r>
          </w:p>
        </w:tc>
      </w:tr>
      <w:tr w:rsidR="00CE38BA">
        <w:trPr>
          <w:trHeight w:val="483"/>
        </w:trPr>
        <w:tc>
          <w:tcPr>
            <w:tcW w:w="2482" w:type="dxa"/>
            <w:vMerge/>
            <w:tcBorders>
              <w:top w:val="single" w:sz="4" w:space="0" w:color="000000"/>
              <w:left w:val="single" w:sz="4" w:space="0" w:color="000000"/>
              <w:bottom w:val="single" w:sz="4" w:space="0" w:color="000000"/>
            </w:tcBorders>
            <w:vAlign w:val="center"/>
          </w:tcPr>
          <w:p w:rsidR="00CE38BA" w:rsidRDefault="00CE38BA">
            <w:pPr>
              <w:snapToGrid w:val="0"/>
              <w:spacing w:after="0" w:line="360" w:lineRule="auto"/>
              <w:jc w:val="both"/>
              <w:rPr>
                <w:rFonts w:ascii="Times New Roman" w:hAnsi="Times New Roman" w:cs="Times New Roman"/>
                <w:sz w:val="28"/>
                <w:szCs w:val="28"/>
              </w:rPr>
            </w:pPr>
          </w:p>
        </w:tc>
        <w:tc>
          <w:tcPr>
            <w:tcW w:w="1336" w:type="dxa"/>
            <w:vMerge w:val="restart"/>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тыс.руб.</w:t>
            </w:r>
          </w:p>
        </w:tc>
        <w:tc>
          <w:tcPr>
            <w:tcW w:w="757" w:type="dxa"/>
            <w:vMerge w:val="restart"/>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86" w:type="dxa"/>
            <w:vMerge w:val="restart"/>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тыс.руб.</w:t>
            </w:r>
          </w:p>
        </w:tc>
        <w:tc>
          <w:tcPr>
            <w:tcW w:w="807" w:type="dxa"/>
            <w:vMerge w:val="restart"/>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8"/>
                <w:szCs w:val="28"/>
              </w:rPr>
            </w:pPr>
            <w:r>
              <w:rPr>
                <w:rFonts w:ascii="Times New Roman" w:hAnsi="Times New Roman" w:cs="Times New Roman"/>
                <w:sz w:val="24"/>
                <w:szCs w:val="24"/>
              </w:rPr>
              <w:t>%</w:t>
            </w:r>
          </w:p>
        </w:tc>
        <w:tc>
          <w:tcPr>
            <w:tcW w:w="2943" w:type="dxa"/>
            <w:gridSpan w:val="2"/>
            <w:vMerge/>
            <w:tcBorders>
              <w:top w:val="single" w:sz="4" w:space="0" w:color="000000"/>
              <w:left w:val="single" w:sz="4" w:space="0" w:color="000000"/>
              <w:bottom w:val="single" w:sz="4" w:space="0" w:color="000000"/>
              <w:right w:val="single" w:sz="4" w:space="0" w:color="000000"/>
            </w:tcBorders>
            <w:vAlign w:val="center"/>
          </w:tcPr>
          <w:p w:rsidR="00CE38BA" w:rsidRDefault="00CE38BA">
            <w:pPr>
              <w:snapToGrid w:val="0"/>
              <w:spacing w:after="0" w:line="360" w:lineRule="auto"/>
              <w:jc w:val="both"/>
              <w:rPr>
                <w:rFonts w:ascii="Times New Roman" w:hAnsi="Times New Roman" w:cs="Times New Roman"/>
                <w:sz w:val="28"/>
                <w:szCs w:val="28"/>
              </w:rPr>
            </w:pPr>
          </w:p>
        </w:tc>
      </w:tr>
      <w:tr w:rsidR="00CE38BA">
        <w:tc>
          <w:tcPr>
            <w:tcW w:w="2482" w:type="dxa"/>
            <w:vMerge/>
            <w:tcBorders>
              <w:top w:val="single" w:sz="4" w:space="0" w:color="000000"/>
              <w:left w:val="single" w:sz="4" w:space="0" w:color="000000"/>
              <w:bottom w:val="single" w:sz="4" w:space="0" w:color="000000"/>
            </w:tcBorders>
            <w:vAlign w:val="center"/>
          </w:tcPr>
          <w:p w:rsidR="00CE38BA" w:rsidRDefault="00CE38BA">
            <w:pPr>
              <w:snapToGrid w:val="0"/>
              <w:spacing w:after="0" w:line="240" w:lineRule="auto"/>
              <w:rPr>
                <w:rFonts w:ascii="Times New Roman" w:hAnsi="Times New Roman" w:cs="Times New Roman"/>
                <w:sz w:val="24"/>
                <w:szCs w:val="24"/>
              </w:rPr>
            </w:pPr>
          </w:p>
        </w:tc>
        <w:tc>
          <w:tcPr>
            <w:tcW w:w="1336" w:type="dxa"/>
            <w:vMerge/>
            <w:tcBorders>
              <w:top w:val="single" w:sz="4" w:space="0" w:color="000000"/>
              <w:left w:val="single" w:sz="4" w:space="0" w:color="000000"/>
              <w:bottom w:val="single" w:sz="4" w:space="0" w:color="000000"/>
            </w:tcBorders>
            <w:vAlign w:val="center"/>
          </w:tcPr>
          <w:p w:rsidR="00CE38BA" w:rsidRDefault="00CE38BA">
            <w:pPr>
              <w:snapToGrid w:val="0"/>
              <w:spacing w:after="0" w:line="240" w:lineRule="auto"/>
              <w:jc w:val="center"/>
              <w:rPr>
                <w:rFonts w:ascii="Times New Roman" w:hAnsi="Times New Roman" w:cs="Times New Roman"/>
                <w:sz w:val="24"/>
                <w:szCs w:val="24"/>
              </w:rPr>
            </w:pPr>
          </w:p>
        </w:tc>
        <w:tc>
          <w:tcPr>
            <w:tcW w:w="757" w:type="dxa"/>
            <w:vMerge/>
            <w:tcBorders>
              <w:top w:val="single" w:sz="4" w:space="0" w:color="000000"/>
              <w:left w:val="single" w:sz="4" w:space="0" w:color="000000"/>
              <w:bottom w:val="single" w:sz="4" w:space="0" w:color="000000"/>
            </w:tcBorders>
            <w:vAlign w:val="center"/>
          </w:tcPr>
          <w:p w:rsidR="00CE38BA" w:rsidRDefault="00CE38BA">
            <w:pPr>
              <w:snapToGrid w:val="0"/>
              <w:spacing w:after="0" w:line="240" w:lineRule="auto"/>
              <w:jc w:val="center"/>
              <w:rPr>
                <w:rFonts w:ascii="Times New Roman" w:hAnsi="Times New Roman" w:cs="Times New Roman"/>
                <w:sz w:val="24"/>
                <w:szCs w:val="24"/>
              </w:rPr>
            </w:pPr>
          </w:p>
        </w:tc>
        <w:tc>
          <w:tcPr>
            <w:tcW w:w="1286" w:type="dxa"/>
            <w:vMerge/>
            <w:tcBorders>
              <w:top w:val="single" w:sz="4" w:space="0" w:color="000000"/>
              <w:left w:val="single" w:sz="4" w:space="0" w:color="000000"/>
              <w:bottom w:val="single" w:sz="4" w:space="0" w:color="000000"/>
            </w:tcBorders>
            <w:vAlign w:val="center"/>
          </w:tcPr>
          <w:p w:rsidR="00CE38BA" w:rsidRDefault="00CE38BA">
            <w:pPr>
              <w:snapToGrid w:val="0"/>
              <w:spacing w:after="0" w:line="240" w:lineRule="auto"/>
              <w:jc w:val="center"/>
              <w:rPr>
                <w:rFonts w:ascii="Times New Roman" w:hAnsi="Times New Roman" w:cs="Times New Roman"/>
                <w:sz w:val="24"/>
                <w:szCs w:val="24"/>
              </w:rPr>
            </w:pPr>
          </w:p>
        </w:tc>
        <w:tc>
          <w:tcPr>
            <w:tcW w:w="807" w:type="dxa"/>
            <w:vMerge/>
            <w:tcBorders>
              <w:top w:val="single" w:sz="4" w:space="0" w:color="000000"/>
              <w:left w:val="single" w:sz="4" w:space="0" w:color="000000"/>
              <w:bottom w:val="single" w:sz="4" w:space="0" w:color="000000"/>
            </w:tcBorders>
            <w:vAlign w:val="center"/>
          </w:tcPr>
          <w:p w:rsidR="00CE38BA" w:rsidRDefault="00CE38BA">
            <w:pPr>
              <w:snapToGrid w:val="0"/>
              <w:spacing w:after="0" w:line="240" w:lineRule="auto"/>
              <w:jc w:val="center"/>
              <w:rPr>
                <w:rFonts w:ascii="Times New Roman" w:hAnsi="Times New Roman" w:cs="Times New Roman"/>
                <w:sz w:val="24"/>
                <w:szCs w:val="24"/>
              </w:rPr>
            </w:pPr>
          </w:p>
        </w:tc>
        <w:tc>
          <w:tcPr>
            <w:tcW w:w="145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абсолютному значению</w:t>
            </w:r>
          </w:p>
        </w:tc>
        <w:tc>
          <w:tcPr>
            <w:tcW w:w="148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E38BA">
        <w:tc>
          <w:tcPr>
            <w:tcW w:w="2482" w:type="dxa"/>
            <w:tcBorders>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Всего имущества, в том числе:</w:t>
            </w:r>
          </w:p>
        </w:tc>
        <w:tc>
          <w:tcPr>
            <w:tcW w:w="1336" w:type="dxa"/>
            <w:tcBorders>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442252</w:t>
            </w:r>
          </w:p>
        </w:tc>
        <w:tc>
          <w:tcPr>
            <w:tcW w:w="757" w:type="dxa"/>
            <w:tcBorders>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86" w:type="dxa"/>
            <w:tcBorders>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369724</w:t>
            </w:r>
          </w:p>
        </w:tc>
        <w:tc>
          <w:tcPr>
            <w:tcW w:w="807" w:type="dxa"/>
            <w:tcBorders>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456" w:type="dxa"/>
            <w:tcBorders>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-72528</w:t>
            </w:r>
          </w:p>
        </w:tc>
        <w:tc>
          <w:tcPr>
            <w:tcW w:w="1487" w:type="dxa"/>
            <w:tcBorders>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83,6</w:t>
            </w:r>
          </w:p>
        </w:tc>
      </w:tr>
      <w:tr w:rsidR="00CE38BA">
        <w:tc>
          <w:tcPr>
            <w:tcW w:w="2482"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Внеоборотные активы</w:t>
            </w:r>
          </w:p>
        </w:tc>
        <w:tc>
          <w:tcPr>
            <w:tcW w:w="133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249064</w:t>
            </w:r>
          </w:p>
        </w:tc>
        <w:tc>
          <w:tcPr>
            <w:tcW w:w="75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56,3</w:t>
            </w:r>
          </w:p>
        </w:tc>
        <w:tc>
          <w:tcPr>
            <w:tcW w:w="128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172169</w:t>
            </w:r>
          </w:p>
        </w:tc>
        <w:tc>
          <w:tcPr>
            <w:tcW w:w="80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46,6</w:t>
            </w:r>
          </w:p>
        </w:tc>
        <w:tc>
          <w:tcPr>
            <w:tcW w:w="145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-76895</w:t>
            </w:r>
          </w:p>
        </w:tc>
        <w:tc>
          <w:tcPr>
            <w:tcW w:w="148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69,1</w:t>
            </w:r>
          </w:p>
        </w:tc>
      </w:tr>
      <w:tr w:rsidR="00CE38BA">
        <w:tc>
          <w:tcPr>
            <w:tcW w:w="2482"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Основные средства</w:t>
            </w:r>
          </w:p>
        </w:tc>
        <w:tc>
          <w:tcPr>
            <w:tcW w:w="133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248062</w:t>
            </w:r>
          </w:p>
        </w:tc>
        <w:tc>
          <w:tcPr>
            <w:tcW w:w="75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56,1</w:t>
            </w:r>
          </w:p>
        </w:tc>
        <w:tc>
          <w:tcPr>
            <w:tcW w:w="128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128116</w:t>
            </w:r>
          </w:p>
        </w:tc>
        <w:tc>
          <w:tcPr>
            <w:tcW w:w="80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34,7</w:t>
            </w:r>
          </w:p>
        </w:tc>
        <w:tc>
          <w:tcPr>
            <w:tcW w:w="145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-119946</w:t>
            </w:r>
          </w:p>
        </w:tc>
        <w:tc>
          <w:tcPr>
            <w:tcW w:w="148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51,6</w:t>
            </w:r>
          </w:p>
        </w:tc>
      </w:tr>
      <w:tr w:rsidR="00CE38BA">
        <w:tc>
          <w:tcPr>
            <w:tcW w:w="2482"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Оборотные активы</w:t>
            </w:r>
          </w:p>
        </w:tc>
        <w:tc>
          <w:tcPr>
            <w:tcW w:w="133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193188</w:t>
            </w:r>
          </w:p>
        </w:tc>
        <w:tc>
          <w:tcPr>
            <w:tcW w:w="75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43,7</w:t>
            </w:r>
          </w:p>
        </w:tc>
        <w:tc>
          <w:tcPr>
            <w:tcW w:w="128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197555</w:t>
            </w:r>
          </w:p>
        </w:tc>
        <w:tc>
          <w:tcPr>
            <w:tcW w:w="80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53,4</w:t>
            </w:r>
          </w:p>
        </w:tc>
        <w:tc>
          <w:tcPr>
            <w:tcW w:w="145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4367</w:t>
            </w:r>
          </w:p>
        </w:tc>
        <w:tc>
          <w:tcPr>
            <w:tcW w:w="148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102,3</w:t>
            </w:r>
          </w:p>
        </w:tc>
      </w:tr>
      <w:tr w:rsidR="00CE38BA">
        <w:tc>
          <w:tcPr>
            <w:tcW w:w="2482"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Из них</w:t>
            </w:r>
          </w:p>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Запасы</w:t>
            </w:r>
          </w:p>
        </w:tc>
        <w:tc>
          <w:tcPr>
            <w:tcW w:w="133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149289</w:t>
            </w:r>
          </w:p>
        </w:tc>
        <w:tc>
          <w:tcPr>
            <w:tcW w:w="75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33,8</w:t>
            </w:r>
          </w:p>
        </w:tc>
        <w:tc>
          <w:tcPr>
            <w:tcW w:w="128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165528</w:t>
            </w:r>
          </w:p>
        </w:tc>
        <w:tc>
          <w:tcPr>
            <w:tcW w:w="80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44,8</w:t>
            </w:r>
          </w:p>
        </w:tc>
        <w:tc>
          <w:tcPr>
            <w:tcW w:w="145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16239</w:t>
            </w:r>
          </w:p>
        </w:tc>
        <w:tc>
          <w:tcPr>
            <w:tcW w:w="148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110,9</w:t>
            </w:r>
          </w:p>
        </w:tc>
      </w:tr>
      <w:tr w:rsidR="00CE38BA">
        <w:tc>
          <w:tcPr>
            <w:tcW w:w="2482"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Дебиторская задолженность</w:t>
            </w:r>
          </w:p>
        </w:tc>
        <w:tc>
          <w:tcPr>
            <w:tcW w:w="133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12409</w:t>
            </w:r>
          </w:p>
        </w:tc>
        <w:tc>
          <w:tcPr>
            <w:tcW w:w="75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128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3221</w:t>
            </w:r>
          </w:p>
        </w:tc>
        <w:tc>
          <w:tcPr>
            <w:tcW w:w="80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145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-9188</w:t>
            </w:r>
          </w:p>
        </w:tc>
        <w:tc>
          <w:tcPr>
            <w:tcW w:w="148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26,0</w:t>
            </w:r>
          </w:p>
        </w:tc>
      </w:tr>
      <w:tr w:rsidR="00CE38BA">
        <w:tc>
          <w:tcPr>
            <w:tcW w:w="2482"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Денежные средства</w:t>
            </w:r>
          </w:p>
        </w:tc>
        <w:tc>
          <w:tcPr>
            <w:tcW w:w="133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591</w:t>
            </w:r>
          </w:p>
        </w:tc>
        <w:tc>
          <w:tcPr>
            <w:tcW w:w="75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28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1686</w:t>
            </w:r>
          </w:p>
        </w:tc>
        <w:tc>
          <w:tcPr>
            <w:tcW w:w="80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45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1095</w:t>
            </w:r>
          </w:p>
        </w:tc>
        <w:tc>
          <w:tcPr>
            <w:tcW w:w="148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285,3</w:t>
            </w:r>
          </w:p>
        </w:tc>
      </w:tr>
      <w:tr w:rsidR="00CE38BA">
        <w:tc>
          <w:tcPr>
            <w:tcW w:w="2482"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Всего источников средств, в том числе</w:t>
            </w:r>
          </w:p>
        </w:tc>
        <w:tc>
          <w:tcPr>
            <w:tcW w:w="133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442252</w:t>
            </w:r>
          </w:p>
        </w:tc>
        <w:tc>
          <w:tcPr>
            <w:tcW w:w="75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8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369724</w:t>
            </w:r>
          </w:p>
        </w:tc>
        <w:tc>
          <w:tcPr>
            <w:tcW w:w="80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45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-72528</w:t>
            </w:r>
          </w:p>
        </w:tc>
        <w:tc>
          <w:tcPr>
            <w:tcW w:w="148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83,6</w:t>
            </w:r>
          </w:p>
        </w:tc>
      </w:tr>
      <w:tr w:rsidR="00CE38BA">
        <w:tc>
          <w:tcPr>
            <w:tcW w:w="2482"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Собственные и приравненные к ним средства</w:t>
            </w:r>
          </w:p>
        </w:tc>
        <w:tc>
          <w:tcPr>
            <w:tcW w:w="133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234481</w:t>
            </w:r>
          </w:p>
        </w:tc>
        <w:tc>
          <w:tcPr>
            <w:tcW w:w="75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53,0</w:t>
            </w:r>
          </w:p>
        </w:tc>
        <w:tc>
          <w:tcPr>
            <w:tcW w:w="128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332752</w:t>
            </w:r>
          </w:p>
        </w:tc>
        <w:tc>
          <w:tcPr>
            <w:tcW w:w="80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90,0</w:t>
            </w:r>
          </w:p>
        </w:tc>
        <w:tc>
          <w:tcPr>
            <w:tcW w:w="145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98271</w:t>
            </w:r>
          </w:p>
        </w:tc>
        <w:tc>
          <w:tcPr>
            <w:tcW w:w="148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141,9</w:t>
            </w:r>
          </w:p>
        </w:tc>
      </w:tr>
      <w:tr w:rsidR="00CE38BA">
        <w:tc>
          <w:tcPr>
            <w:tcW w:w="2482"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из них</w:t>
            </w:r>
          </w:p>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Уставный капитал</w:t>
            </w:r>
          </w:p>
        </w:tc>
        <w:tc>
          <w:tcPr>
            <w:tcW w:w="133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52327</w:t>
            </w:r>
          </w:p>
        </w:tc>
        <w:tc>
          <w:tcPr>
            <w:tcW w:w="75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11,8</w:t>
            </w:r>
          </w:p>
        </w:tc>
        <w:tc>
          <w:tcPr>
            <w:tcW w:w="128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100000</w:t>
            </w:r>
          </w:p>
        </w:tc>
        <w:tc>
          <w:tcPr>
            <w:tcW w:w="80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27,0</w:t>
            </w:r>
          </w:p>
        </w:tc>
        <w:tc>
          <w:tcPr>
            <w:tcW w:w="145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47673</w:t>
            </w:r>
          </w:p>
        </w:tc>
        <w:tc>
          <w:tcPr>
            <w:tcW w:w="148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191,1</w:t>
            </w:r>
          </w:p>
        </w:tc>
      </w:tr>
      <w:tr w:rsidR="00CE38BA">
        <w:tc>
          <w:tcPr>
            <w:tcW w:w="2482"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Резервный капитал</w:t>
            </w:r>
          </w:p>
        </w:tc>
        <w:tc>
          <w:tcPr>
            <w:tcW w:w="133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5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8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0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5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8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E38BA">
        <w:tc>
          <w:tcPr>
            <w:tcW w:w="2482"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Нераспределенная прибыль (непокрытый убыток)</w:t>
            </w:r>
          </w:p>
        </w:tc>
        <w:tc>
          <w:tcPr>
            <w:tcW w:w="133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148510</w:t>
            </w:r>
          </w:p>
        </w:tc>
        <w:tc>
          <w:tcPr>
            <w:tcW w:w="75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33,6</w:t>
            </w:r>
          </w:p>
        </w:tc>
        <w:tc>
          <w:tcPr>
            <w:tcW w:w="128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143539</w:t>
            </w:r>
          </w:p>
        </w:tc>
        <w:tc>
          <w:tcPr>
            <w:tcW w:w="80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38,8</w:t>
            </w:r>
          </w:p>
        </w:tc>
        <w:tc>
          <w:tcPr>
            <w:tcW w:w="145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-4971</w:t>
            </w:r>
          </w:p>
        </w:tc>
        <w:tc>
          <w:tcPr>
            <w:tcW w:w="148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96,7</w:t>
            </w:r>
          </w:p>
        </w:tc>
      </w:tr>
      <w:tr w:rsidR="00CE38BA">
        <w:tc>
          <w:tcPr>
            <w:tcW w:w="2482"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Заемные средства</w:t>
            </w:r>
          </w:p>
        </w:tc>
        <w:tc>
          <w:tcPr>
            <w:tcW w:w="133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207771</w:t>
            </w:r>
          </w:p>
        </w:tc>
        <w:tc>
          <w:tcPr>
            <w:tcW w:w="75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47,0</w:t>
            </w:r>
          </w:p>
        </w:tc>
        <w:tc>
          <w:tcPr>
            <w:tcW w:w="128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36972</w:t>
            </w:r>
          </w:p>
        </w:tc>
        <w:tc>
          <w:tcPr>
            <w:tcW w:w="80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45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-170799</w:t>
            </w:r>
          </w:p>
        </w:tc>
        <w:tc>
          <w:tcPr>
            <w:tcW w:w="148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17,8</w:t>
            </w:r>
          </w:p>
        </w:tc>
      </w:tr>
      <w:tr w:rsidR="00CE38BA">
        <w:tc>
          <w:tcPr>
            <w:tcW w:w="2482"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из них</w:t>
            </w:r>
          </w:p>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Долгосрочные обязательства</w:t>
            </w:r>
          </w:p>
        </w:tc>
        <w:tc>
          <w:tcPr>
            <w:tcW w:w="133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169947</w:t>
            </w:r>
          </w:p>
        </w:tc>
        <w:tc>
          <w:tcPr>
            <w:tcW w:w="75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38,4</w:t>
            </w:r>
          </w:p>
        </w:tc>
        <w:tc>
          <w:tcPr>
            <w:tcW w:w="128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0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5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-169947</w:t>
            </w:r>
          </w:p>
        </w:tc>
        <w:tc>
          <w:tcPr>
            <w:tcW w:w="148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E38BA">
        <w:tc>
          <w:tcPr>
            <w:tcW w:w="2482"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Краткосрочные обязательства</w:t>
            </w:r>
          </w:p>
        </w:tc>
        <w:tc>
          <w:tcPr>
            <w:tcW w:w="133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37824</w:t>
            </w:r>
          </w:p>
        </w:tc>
        <w:tc>
          <w:tcPr>
            <w:tcW w:w="75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8,6</w:t>
            </w:r>
          </w:p>
        </w:tc>
        <w:tc>
          <w:tcPr>
            <w:tcW w:w="128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36972</w:t>
            </w:r>
          </w:p>
        </w:tc>
        <w:tc>
          <w:tcPr>
            <w:tcW w:w="80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45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-852</w:t>
            </w:r>
          </w:p>
        </w:tc>
        <w:tc>
          <w:tcPr>
            <w:tcW w:w="148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97,7</w:t>
            </w:r>
          </w:p>
        </w:tc>
      </w:tr>
      <w:tr w:rsidR="00CE38BA">
        <w:tc>
          <w:tcPr>
            <w:tcW w:w="2482"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из них</w:t>
            </w:r>
          </w:p>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Кредиторская задолженность</w:t>
            </w:r>
          </w:p>
        </w:tc>
        <w:tc>
          <w:tcPr>
            <w:tcW w:w="133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17688</w:t>
            </w:r>
          </w:p>
        </w:tc>
        <w:tc>
          <w:tcPr>
            <w:tcW w:w="75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28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6972</w:t>
            </w:r>
          </w:p>
        </w:tc>
        <w:tc>
          <w:tcPr>
            <w:tcW w:w="807"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45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-10716</w:t>
            </w:r>
          </w:p>
        </w:tc>
        <w:tc>
          <w:tcPr>
            <w:tcW w:w="1487"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8"/>
                <w:szCs w:val="28"/>
              </w:rPr>
            </w:pPr>
            <w:r>
              <w:rPr>
                <w:rFonts w:ascii="Times New Roman" w:hAnsi="Times New Roman" w:cs="Times New Roman"/>
                <w:sz w:val="24"/>
                <w:szCs w:val="24"/>
              </w:rPr>
              <w:t>39,4</w:t>
            </w:r>
          </w:p>
        </w:tc>
      </w:tr>
    </w:tbl>
    <w:p w:rsidR="00CE38BA" w:rsidRDefault="00CE38BA">
      <w:pPr>
        <w:spacing w:after="0" w:line="360" w:lineRule="auto"/>
        <w:ind w:firstLine="851"/>
        <w:jc w:val="both"/>
        <w:rPr>
          <w:rFonts w:ascii="Times New Roman" w:hAnsi="Times New Roman" w:cs="Times New Roman"/>
          <w:sz w:val="28"/>
          <w:szCs w:val="28"/>
        </w:rPr>
      </w:pPr>
    </w:p>
    <w:p w:rsidR="00CE38BA" w:rsidRDefault="00CE38BA">
      <w:pPr>
        <w:spacing w:after="0" w:line="360" w:lineRule="auto"/>
        <w:ind w:firstLine="851"/>
        <w:jc w:val="both"/>
        <w:rPr>
          <w:rStyle w:val="FontStyle58"/>
          <w:sz w:val="28"/>
          <w:szCs w:val="28"/>
        </w:rPr>
      </w:pPr>
      <w:r>
        <w:rPr>
          <w:rFonts w:ascii="Times New Roman" w:hAnsi="Times New Roman" w:cs="Times New Roman"/>
          <w:sz w:val="28"/>
          <w:szCs w:val="28"/>
        </w:rPr>
        <w:t>Результаты анализа качественных изменений в имуществе и источниках его финансирования представлены в таблице 3.</w:t>
      </w:r>
    </w:p>
    <w:p w:rsidR="00CE38BA" w:rsidRDefault="00CE38BA">
      <w:pPr>
        <w:spacing w:after="0" w:line="360" w:lineRule="auto"/>
        <w:ind w:firstLine="851"/>
        <w:jc w:val="both"/>
        <w:rPr>
          <w:rStyle w:val="FontStyle58"/>
          <w:sz w:val="28"/>
          <w:szCs w:val="28"/>
        </w:rPr>
      </w:pPr>
      <w:r>
        <w:rPr>
          <w:rStyle w:val="FontStyle58"/>
          <w:sz w:val="28"/>
          <w:szCs w:val="28"/>
        </w:rPr>
        <w:t xml:space="preserve">Сравнение стоимости имущества организаций показало, что наибольшая величина валюты баланса в ЗАО «Кубань». При этом в ЗАО «Кубань» наибольший удельный вес в балансе занимают внеоборотные активы – 56,3 %, в ФГУП «Березанское», наоборот, 53,4 % занимают оборотные активы. </w:t>
      </w:r>
    </w:p>
    <w:p w:rsidR="00CE38BA" w:rsidRDefault="00CE38BA">
      <w:pPr>
        <w:spacing w:after="0" w:line="360" w:lineRule="auto"/>
        <w:ind w:firstLine="851"/>
        <w:jc w:val="both"/>
        <w:rPr>
          <w:rFonts w:ascii="Times New Roman" w:hAnsi="Times New Roman" w:cs="Times New Roman"/>
          <w:sz w:val="28"/>
          <w:szCs w:val="28"/>
        </w:rPr>
      </w:pPr>
      <w:r>
        <w:rPr>
          <w:rStyle w:val="FontStyle58"/>
          <w:sz w:val="28"/>
          <w:szCs w:val="28"/>
        </w:rPr>
        <w:t xml:space="preserve">Запасы занимают значительный вес в сумме всего имущества. Организациям необходимо оптимизировать структуру оборотных активов и совершенствовать управление запасами. </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Реальный рост стоимости основных средств, а не в результате их переоценки на основе повышения стоимости, указывает на положительную тенденцию и отражает политику организации опережающих темпов обновления по сравнению с темпами выбытия основных фондов [2].</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Анализируя пассив баланса, можно отметить, что увеличение источников имущества предприятия в 2012 году было обеспеченно увеличением собственного капитала и уменьшением обязательств предприятия.</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Самым большим собственным капиталом обладает ФГУП «Березанское», его удельный вес в структуре баланса за 2012 год составляет 90 % всех источников. Наибольший вес в структуре собственного капитала в ФГУП «Березанское»  занимает нераспределенная прибыль – 38,8 %. Вместе с тем, нужно учитывать, что собственный капитал ограничен в размерах. </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Кроме того, финансирование деятельности предприятия только за счет собственных средств не всегда выгодно для него, особенно в тех случаях, когда производство имеет сезонный характер.</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Кредиторская задолженность в исследуемых организациях не покрывается дебиторской, но задолженность перед кредиторами также уменьшилась на 14,1 % по сравнению  с 2010 годом.</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Все произошедшие качественные изменения в имуществе и источниках его финансирования в ЗАО «Кубань» и ФГУП «Березанское» можно рассматривать в основном как позитивные.</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 основе углубленного  анализа эффективности оборотных средств должна строиться финансовая политика управления оборотным капиталом предприятия, реализация, которой должна обеспечить компромисс между риском потери ликвидности и эффективностью хозяйственной деятельности [1].</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Таблица 4 – Показатели деловой активности за 2012 год</w:t>
      </w:r>
    </w:p>
    <w:p w:rsidR="00CE38BA" w:rsidRDefault="00CE38BA">
      <w:pPr>
        <w:spacing w:after="0" w:line="360" w:lineRule="auto"/>
        <w:ind w:firstLine="851"/>
        <w:jc w:val="both"/>
        <w:rPr>
          <w:rFonts w:ascii="Times New Roman" w:hAnsi="Times New Roman" w:cs="Times New Roman"/>
          <w:sz w:val="28"/>
          <w:szCs w:val="28"/>
        </w:rPr>
      </w:pPr>
    </w:p>
    <w:tbl>
      <w:tblPr>
        <w:tblW w:w="0" w:type="auto"/>
        <w:tblInd w:w="-20" w:type="dxa"/>
        <w:tblLayout w:type="fixed"/>
        <w:tblLook w:val="0000"/>
      </w:tblPr>
      <w:tblGrid>
        <w:gridCol w:w="3510"/>
        <w:gridCol w:w="2020"/>
        <w:gridCol w:w="2020"/>
        <w:gridCol w:w="2061"/>
      </w:tblGrid>
      <w:tr w:rsidR="00CE38BA">
        <w:tc>
          <w:tcPr>
            <w:tcW w:w="351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Показатель</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ЗАО «Кубань»</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ФГУП «Березанское»</w:t>
            </w:r>
          </w:p>
        </w:tc>
        <w:tc>
          <w:tcPr>
            <w:tcW w:w="2061"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ФГУП «Березанское»   к ЗАО «Кубань»</w:t>
            </w:r>
          </w:p>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r>
      <w:tr w:rsidR="00CE38BA">
        <w:tc>
          <w:tcPr>
            <w:tcW w:w="3510"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Выручка от реализации, тыс.руб.</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342471</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385347</w:t>
            </w:r>
          </w:p>
        </w:tc>
        <w:tc>
          <w:tcPr>
            <w:tcW w:w="2061"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42876</w:t>
            </w:r>
          </w:p>
        </w:tc>
      </w:tr>
      <w:tr w:rsidR="00CE38BA">
        <w:tc>
          <w:tcPr>
            <w:tcW w:w="3510"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Среднегодовой остаток оборотных средств, тыс. руб.</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205447</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175955</w:t>
            </w:r>
          </w:p>
        </w:tc>
        <w:tc>
          <w:tcPr>
            <w:tcW w:w="2061"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-29492</w:t>
            </w:r>
          </w:p>
        </w:tc>
      </w:tr>
      <w:tr w:rsidR="00CE38BA">
        <w:tc>
          <w:tcPr>
            <w:tcW w:w="3510"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Среднегодовой остаток запасов, тыс.руб.</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149289</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165528</w:t>
            </w:r>
          </w:p>
        </w:tc>
        <w:tc>
          <w:tcPr>
            <w:tcW w:w="2061"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16239</w:t>
            </w:r>
          </w:p>
        </w:tc>
      </w:tr>
      <w:tr w:rsidR="00CE38BA">
        <w:tc>
          <w:tcPr>
            <w:tcW w:w="3510"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Коэффициент оборачиваемости оборотных средств</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ind w:firstLine="708"/>
              <w:rPr>
                <w:rFonts w:ascii="Times New Roman" w:hAnsi="Times New Roman" w:cs="Times New Roman"/>
                <w:sz w:val="24"/>
                <w:szCs w:val="24"/>
              </w:rPr>
            </w:pPr>
            <w:r>
              <w:rPr>
                <w:rFonts w:ascii="Times New Roman" w:hAnsi="Times New Roman" w:cs="Times New Roman"/>
                <w:sz w:val="24"/>
                <w:szCs w:val="24"/>
              </w:rPr>
              <w:t>1,7</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2061"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0,5</w:t>
            </w:r>
          </w:p>
        </w:tc>
      </w:tr>
      <w:tr w:rsidR="00CE38BA">
        <w:tc>
          <w:tcPr>
            <w:tcW w:w="3510"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Коэффициент оборачиваемости запасов</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2061"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E38BA">
        <w:tc>
          <w:tcPr>
            <w:tcW w:w="3510"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Продолжительность оборота оборотных средств, дней</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216</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164</w:t>
            </w:r>
          </w:p>
        </w:tc>
        <w:tc>
          <w:tcPr>
            <w:tcW w:w="2061"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-52</w:t>
            </w:r>
          </w:p>
        </w:tc>
      </w:tr>
      <w:tr w:rsidR="00CE38BA">
        <w:tc>
          <w:tcPr>
            <w:tcW w:w="3510"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Продолжительность оборота запасов, дней</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157</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155</w:t>
            </w:r>
          </w:p>
        </w:tc>
        <w:tc>
          <w:tcPr>
            <w:tcW w:w="2061"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CE38BA">
        <w:tc>
          <w:tcPr>
            <w:tcW w:w="3510"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Коэффициент закрепления оборотных средств</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2061"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-0,1</w:t>
            </w:r>
          </w:p>
        </w:tc>
      </w:tr>
      <w:tr w:rsidR="00CE38BA">
        <w:tc>
          <w:tcPr>
            <w:tcW w:w="3510" w:type="dxa"/>
            <w:tcBorders>
              <w:top w:val="single" w:sz="4" w:space="0" w:color="000000"/>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Коэффициент закрепления запасов</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2020" w:type="dxa"/>
            <w:tcBorders>
              <w:top w:val="single" w:sz="4" w:space="0" w:color="000000"/>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2061"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E38BA">
        <w:tc>
          <w:tcPr>
            <w:tcW w:w="3510" w:type="dxa"/>
            <w:tcBorders>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Потребность в оборотных средствах, тыс.руб.</w:t>
            </w:r>
          </w:p>
        </w:tc>
        <w:tc>
          <w:tcPr>
            <w:tcW w:w="2020" w:type="dxa"/>
            <w:tcBorders>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239730</w:t>
            </w:r>
          </w:p>
        </w:tc>
        <w:tc>
          <w:tcPr>
            <w:tcW w:w="2020" w:type="dxa"/>
            <w:tcBorders>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154139</w:t>
            </w:r>
          </w:p>
        </w:tc>
        <w:tc>
          <w:tcPr>
            <w:tcW w:w="2061" w:type="dxa"/>
            <w:tcBorders>
              <w:left w:val="single" w:sz="4" w:space="0" w:color="000000"/>
              <w:bottom w:val="single" w:sz="4" w:space="0" w:color="000000"/>
              <w:right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-85591</w:t>
            </w:r>
          </w:p>
        </w:tc>
      </w:tr>
      <w:tr w:rsidR="00CE38BA">
        <w:tc>
          <w:tcPr>
            <w:tcW w:w="3510" w:type="dxa"/>
            <w:tcBorders>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Потребность в запасах, тыс.руб.</w:t>
            </w:r>
          </w:p>
          <w:p w:rsidR="00CE38BA" w:rsidRDefault="00CE38BA">
            <w:pPr>
              <w:spacing w:after="0" w:line="240" w:lineRule="auto"/>
              <w:rPr>
                <w:rFonts w:ascii="Times New Roman" w:hAnsi="Times New Roman" w:cs="Times New Roman"/>
                <w:sz w:val="24"/>
                <w:szCs w:val="24"/>
              </w:rPr>
            </w:pPr>
          </w:p>
        </w:tc>
        <w:tc>
          <w:tcPr>
            <w:tcW w:w="2020" w:type="dxa"/>
            <w:tcBorders>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171236</w:t>
            </w:r>
          </w:p>
        </w:tc>
        <w:tc>
          <w:tcPr>
            <w:tcW w:w="2020" w:type="dxa"/>
            <w:tcBorders>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115604</w:t>
            </w:r>
          </w:p>
        </w:tc>
        <w:tc>
          <w:tcPr>
            <w:tcW w:w="2061" w:type="dxa"/>
            <w:tcBorders>
              <w:left w:val="single" w:sz="4" w:space="0" w:color="000000"/>
              <w:bottom w:val="single" w:sz="4" w:space="0" w:color="000000"/>
              <w:right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-55632</w:t>
            </w:r>
          </w:p>
        </w:tc>
      </w:tr>
      <w:tr w:rsidR="00CE38BA">
        <w:tc>
          <w:tcPr>
            <w:tcW w:w="3510" w:type="dxa"/>
            <w:tcBorders>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Высвобождено (-), привлечено (+) в оборот оборотных средств, тыс.руб.</w:t>
            </w:r>
          </w:p>
          <w:p w:rsidR="00CE38BA" w:rsidRDefault="00CE38BA">
            <w:pPr>
              <w:spacing w:after="0" w:line="240" w:lineRule="auto"/>
              <w:rPr>
                <w:rFonts w:ascii="Times New Roman" w:hAnsi="Times New Roman" w:cs="Times New Roman"/>
                <w:sz w:val="24"/>
                <w:szCs w:val="24"/>
              </w:rPr>
            </w:pPr>
          </w:p>
        </w:tc>
        <w:tc>
          <w:tcPr>
            <w:tcW w:w="2020" w:type="dxa"/>
            <w:tcBorders>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-34283</w:t>
            </w:r>
          </w:p>
        </w:tc>
        <w:tc>
          <w:tcPr>
            <w:tcW w:w="2020" w:type="dxa"/>
            <w:tcBorders>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21816</w:t>
            </w:r>
          </w:p>
        </w:tc>
        <w:tc>
          <w:tcPr>
            <w:tcW w:w="2061" w:type="dxa"/>
            <w:tcBorders>
              <w:left w:val="single" w:sz="4" w:space="0" w:color="000000"/>
              <w:bottom w:val="single" w:sz="4" w:space="0" w:color="000000"/>
              <w:right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56099</w:t>
            </w:r>
          </w:p>
        </w:tc>
      </w:tr>
      <w:tr w:rsidR="00CE38BA">
        <w:tc>
          <w:tcPr>
            <w:tcW w:w="3510" w:type="dxa"/>
            <w:tcBorders>
              <w:left w:val="single" w:sz="4" w:space="0" w:color="000000"/>
              <w:bottom w:val="single" w:sz="4" w:space="0" w:color="000000"/>
            </w:tcBorders>
          </w:tcPr>
          <w:p w:rsidR="00CE38BA" w:rsidRDefault="00CE38BA">
            <w:pPr>
              <w:spacing w:after="0" w:line="240" w:lineRule="auto"/>
              <w:rPr>
                <w:rFonts w:ascii="Times New Roman" w:hAnsi="Times New Roman" w:cs="Times New Roman"/>
                <w:sz w:val="24"/>
                <w:szCs w:val="24"/>
              </w:rPr>
            </w:pPr>
            <w:r>
              <w:rPr>
                <w:rFonts w:ascii="Times New Roman" w:hAnsi="Times New Roman" w:cs="Times New Roman"/>
                <w:sz w:val="24"/>
                <w:szCs w:val="24"/>
              </w:rPr>
              <w:t>Высвобождено (-), привлечено (+) в оборот запасов, тыс.руб.</w:t>
            </w:r>
          </w:p>
        </w:tc>
        <w:tc>
          <w:tcPr>
            <w:tcW w:w="2020" w:type="dxa"/>
            <w:tcBorders>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-21947</w:t>
            </w:r>
          </w:p>
        </w:tc>
        <w:tc>
          <w:tcPr>
            <w:tcW w:w="2020" w:type="dxa"/>
            <w:tcBorders>
              <w:left w:val="single" w:sz="4" w:space="0" w:color="000000"/>
              <w:bottom w:val="single" w:sz="4" w:space="0" w:color="000000"/>
            </w:tcBorders>
            <w:vAlign w:val="center"/>
          </w:tcPr>
          <w:p w:rsidR="00CE38BA" w:rsidRDefault="00CE38B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49924</w:t>
            </w:r>
          </w:p>
        </w:tc>
        <w:tc>
          <w:tcPr>
            <w:tcW w:w="2061" w:type="dxa"/>
            <w:tcBorders>
              <w:left w:val="single" w:sz="4" w:space="0" w:color="000000"/>
              <w:bottom w:val="single" w:sz="4" w:space="0" w:color="000000"/>
              <w:right w:val="single" w:sz="4" w:space="0" w:color="000000"/>
            </w:tcBorders>
            <w:vAlign w:val="center"/>
          </w:tcPr>
          <w:p w:rsidR="00CE38BA" w:rsidRDefault="00CE38BA">
            <w:pPr>
              <w:spacing w:after="0" w:line="360" w:lineRule="auto"/>
              <w:jc w:val="center"/>
            </w:pPr>
            <w:r>
              <w:rPr>
                <w:rFonts w:ascii="Times New Roman" w:hAnsi="Times New Roman" w:cs="Times New Roman"/>
                <w:sz w:val="24"/>
                <w:szCs w:val="24"/>
              </w:rPr>
              <w:t>71871</w:t>
            </w:r>
          </w:p>
        </w:tc>
      </w:tr>
    </w:tbl>
    <w:p w:rsidR="00CE38BA" w:rsidRDefault="00CE38BA">
      <w:pPr>
        <w:spacing w:after="0" w:line="360" w:lineRule="auto"/>
        <w:ind w:firstLine="851"/>
        <w:jc w:val="both"/>
      </w:pPr>
    </w:p>
    <w:p w:rsidR="00CE38BA" w:rsidRDefault="00CE38BA">
      <w:pPr>
        <w:pStyle w:val="WW-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По анализируемым сельскохозяйственным организациям деловая активность характеризуется следующими значениями коэффициентов (таблица 4). </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Приведенные в таблице 4 коэффициенты показывают достаточно эффективную деловую активность анализируемых организаций.</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Коэффициент оборачиваемости оборотных активов  в ЗАО «Кубань» и ФГУП «Березанское» составляет 1,7 и 2,2 соответственно. В ЗАО «Кубань» продолжительность одного оборота оборотных  средств составляет 216 дней, запасов – 157 дней. В ФГУП «Березанское» продолжительность оборота оборотных средств  –  164 дня, запасов  – 155. Таким образом, эффективность  использования оборотных активов выше в ФГУП «Березанское». </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Коэффициент закрепления оборотных средств и запасов указывает на достаточно высокую эффективность  использования оборотных средств и запасов в исследуемых организациях. </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ЗАО «Кубань»  фактическая среднегодовая  величина оборотных средств и запасов меньше потребности  в оборотных активов на 34283 тыс. руб. и 21947 тыс. руб. соответственно, что указывает на ускорение их оборачиваемости. В ФГУП «Березанское», наоборот, имеет место привлечение оборотных активов в оборот (оборотных средств на 21816 тыс. руб., запасов на 49924 тыс. руб.) – явление негативное, характеризующее замедление оборачиваемости.</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Баланс считается абсолютно ликвидным, если одновременно выполнены условия: А</w:t>
      </w:r>
      <w:r>
        <w:rPr>
          <w:rFonts w:ascii="Times New Roman" w:hAnsi="Times New Roman" w:cs="Times New Roman"/>
          <w:sz w:val="28"/>
          <w:szCs w:val="28"/>
          <w:vertAlign w:val="subscript"/>
        </w:rPr>
        <w:t>1</w:t>
      </w:r>
      <w:r>
        <w:rPr>
          <w:rFonts w:ascii="Times New Roman" w:hAnsi="Times New Roman" w:cs="Times New Roman"/>
          <w:sz w:val="28"/>
          <w:szCs w:val="28"/>
        </w:rPr>
        <w:t>≥ П</w:t>
      </w:r>
      <w:r>
        <w:rPr>
          <w:rFonts w:ascii="Times New Roman" w:hAnsi="Times New Roman" w:cs="Times New Roman"/>
          <w:sz w:val="28"/>
          <w:szCs w:val="28"/>
          <w:vertAlign w:val="subscript"/>
        </w:rPr>
        <w:t>1</w:t>
      </w:r>
      <w:r>
        <w:rPr>
          <w:rFonts w:ascii="Times New Roman" w:hAnsi="Times New Roman" w:cs="Times New Roman"/>
          <w:sz w:val="28"/>
          <w:szCs w:val="28"/>
        </w:rPr>
        <w:t>; А</w:t>
      </w:r>
      <w:r>
        <w:rPr>
          <w:rFonts w:ascii="Times New Roman" w:hAnsi="Times New Roman" w:cs="Times New Roman"/>
          <w:sz w:val="28"/>
          <w:szCs w:val="28"/>
          <w:vertAlign w:val="subscript"/>
        </w:rPr>
        <w:t xml:space="preserve">2 </w:t>
      </w:r>
      <w:r>
        <w:rPr>
          <w:rFonts w:ascii="Times New Roman" w:hAnsi="Times New Roman" w:cs="Times New Roman"/>
          <w:sz w:val="28"/>
          <w:szCs w:val="28"/>
        </w:rPr>
        <w:t>≥ П</w:t>
      </w:r>
      <w:r>
        <w:rPr>
          <w:rFonts w:ascii="Times New Roman" w:hAnsi="Times New Roman" w:cs="Times New Roman"/>
          <w:sz w:val="28"/>
          <w:szCs w:val="28"/>
          <w:vertAlign w:val="subscript"/>
        </w:rPr>
        <w:t>2</w:t>
      </w:r>
      <w:r>
        <w:rPr>
          <w:rFonts w:ascii="Times New Roman" w:hAnsi="Times New Roman" w:cs="Times New Roman"/>
          <w:sz w:val="28"/>
          <w:szCs w:val="28"/>
        </w:rPr>
        <w:t>;  А</w:t>
      </w:r>
      <w:r>
        <w:rPr>
          <w:rFonts w:ascii="Times New Roman" w:hAnsi="Times New Roman" w:cs="Times New Roman"/>
          <w:sz w:val="28"/>
          <w:szCs w:val="28"/>
          <w:vertAlign w:val="subscript"/>
        </w:rPr>
        <w:t xml:space="preserve">3 </w:t>
      </w:r>
      <w:r>
        <w:rPr>
          <w:rFonts w:ascii="Times New Roman" w:hAnsi="Times New Roman" w:cs="Times New Roman"/>
          <w:sz w:val="28"/>
          <w:szCs w:val="28"/>
        </w:rPr>
        <w:t>≥ П</w:t>
      </w:r>
      <w:r>
        <w:rPr>
          <w:rFonts w:ascii="Times New Roman" w:hAnsi="Times New Roman" w:cs="Times New Roman"/>
          <w:sz w:val="28"/>
          <w:szCs w:val="28"/>
          <w:vertAlign w:val="subscript"/>
        </w:rPr>
        <w:t>3</w:t>
      </w:r>
      <w:r>
        <w:rPr>
          <w:rFonts w:ascii="Times New Roman" w:hAnsi="Times New Roman" w:cs="Times New Roman"/>
          <w:sz w:val="28"/>
          <w:szCs w:val="28"/>
        </w:rPr>
        <w:t>; А</w:t>
      </w:r>
      <w:r>
        <w:rPr>
          <w:rFonts w:ascii="Times New Roman" w:hAnsi="Times New Roman" w:cs="Times New Roman"/>
          <w:sz w:val="28"/>
          <w:szCs w:val="28"/>
          <w:vertAlign w:val="subscript"/>
        </w:rPr>
        <w:t>4</w:t>
      </w:r>
      <w:r>
        <w:rPr>
          <w:rFonts w:ascii="Times New Roman" w:hAnsi="Times New Roman" w:cs="Times New Roman"/>
          <w:sz w:val="28"/>
          <w:szCs w:val="28"/>
        </w:rPr>
        <w:t>≤ П</w:t>
      </w:r>
      <w:r>
        <w:rPr>
          <w:rFonts w:ascii="Times New Roman" w:hAnsi="Times New Roman" w:cs="Times New Roman"/>
          <w:sz w:val="28"/>
          <w:szCs w:val="28"/>
          <w:vertAlign w:val="subscript"/>
        </w:rPr>
        <w:t>4</w:t>
      </w:r>
      <w:r>
        <w:rPr>
          <w:rFonts w:ascii="Times New Roman" w:hAnsi="Times New Roman" w:cs="Times New Roman"/>
          <w:sz w:val="28"/>
          <w:szCs w:val="28"/>
        </w:rPr>
        <w:t>.</w:t>
      </w:r>
    </w:p>
    <w:p w:rsidR="00CE38BA" w:rsidRDefault="00CE38BA">
      <w:pPr>
        <w:spacing w:after="0" w:line="360" w:lineRule="auto"/>
        <w:ind w:firstLine="851"/>
        <w:jc w:val="both"/>
      </w:pPr>
      <w:r>
        <w:rPr>
          <w:rFonts w:ascii="Times New Roman" w:hAnsi="Times New Roman" w:cs="Times New Roman"/>
          <w:sz w:val="28"/>
          <w:szCs w:val="28"/>
        </w:rPr>
        <w:t>Оценка ликвидности бухгалтерского баланса, представленная в таблице 5, свидетельствует, что бухгалтерский баланс организаций не является ликвидным, так как не выполнялось условие соотношения средств и обязательств в ФГУП «Березанское» по второй группе, в ЗАО «Кубань» по второй, третьей и четвертой группам на начало и конец 2012 года.</w:t>
      </w:r>
    </w:p>
    <w:p w:rsidR="00CE38BA" w:rsidRDefault="00CE38BA">
      <w:pPr>
        <w:spacing w:after="0" w:line="360" w:lineRule="auto"/>
        <w:ind w:firstLine="851"/>
        <w:jc w:val="both"/>
      </w:pPr>
    </w:p>
    <w:p w:rsidR="00CE38BA" w:rsidRDefault="00CE38BA">
      <w:pPr>
        <w:spacing w:after="0" w:line="240" w:lineRule="auto"/>
        <w:ind w:left="2694" w:hanging="1843"/>
        <w:jc w:val="both"/>
        <w:rPr>
          <w:rFonts w:ascii="Times New Roman" w:hAnsi="Times New Roman" w:cs="Times New Roman"/>
          <w:sz w:val="28"/>
          <w:szCs w:val="28"/>
        </w:rPr>
      </w:pPr>
      <w:r>
        <w:rPr>
          <w:rFonts w:ascii="Times New Roman" w:hAnsi="Times New Roman" w:cs="Times New Roman"/>
          <w:sz w:val="28"/>
          <w:szCs w:val="28"/>
        </w:rPr>
        <w:t>Таблица 5 – Оценка ликвидности баланса сельскохозяйственных организаций, 2012 год</w:t>
      </w:r>
    </w:p>
    <w:p w:rsidR="00CE38BA" w:rsidRDefault="00CE38BA">
      <w:pPr>
        <w:spacing w:after="0" w:line="240" w:lineRule="auto"/>
        <w:ind w:left="2694" w:hanging="1843"/>
        <w:jc w:val="both"/>
        <w:rPr>
          <w:rFonts w:ascii="Times New Roman" w:hAnsi="Times New Roman" w:cs="Times New Roman"/>
        </w:rPr>
      </w:pPr>
    </w:p>
    <w:tbl>
      <w:tblPr>
        <w:tblW w:w="0" w:type="auto"/>
        <w:tblInd w:w="55" w:type="dxa"/>
        <w:tblLayout w:type="fixed"/>
        <w:tblCellMar>
          <w:top w:w="55" w:type="dxa"/>
          <w:left w:w="55" w:type="dxa"/>
          <w:bottom w:w="55" w:type="dxa"/>
          <w:right w:w="55" w:type="dxa"/>
        </w:tblCellMar>
        <w:tblLook w:val="0000"/>
      </w:tblPr>
      <w:tblGrid>
        <w:gridCol w:w="1725"/>
        <w:gridCol w:w="944"/>
        <w:gridCol w:w="944"/>
        <w:gridCol w:w="1771"/>
        <w:gridCol w:w="1065"/>
        <w:gridCol w:w="1065"/>
        <w:gridCol w:w="1065"/>
        <w:gridCol w:w="1105"/>
      </w:tblGrid>
      <w:tr w:rsidR="00CE38BA">
        <w:tc>
          <w:tcPr>
            <w:tcW w:w="1725" w:type="dxa"/>
            <w:vMerge w:val="restart"/>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Актив</w:t>
            </w:r>
          </w:p>
        </w:tc>
        <w:tc>
          <w:tcPr>
            <w:tcW w:w="944" w:type="dxa"/>
            <w:vMerge w:val="restart"/>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На начало года</w:t>
            </w:r>
          </w:p>
        </w:tc>
        <w:tc>
          <w:tcPr>
            <w:tcW w:w="944" w:type="dxa"/>
            <w:vMerge w:val="restart"/>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На конец года</w:t>
            </w:r>
          </w:p>
        </w:tc>
        <w:tc>
          <w:tcPr>
            <w:tcW w:w="1771" w:type="dxa"/>
            <w:vMerge w:val="restart"/>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Пассив</w:t>
            </w:r>
          </w:p>
        </w:tc>
        <w:tc>
          <w:tcPr>
            <w:tcW w:w="1065" w:type="dxa"/>
            <w:vMerge w:val="restart"/>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На начало года</w:t>
            </w:r>
          </w:p>
        </w:tc>
        <w:tc>
          <w:tcPr>
            <w:tcW w:w="1065" w:type="dxa"/>
            <w:vMerge w:val="restart"/>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На конец года</w:t>
            </w:r>
          </w:p>
        </w:tc>
        <w:tc>
          <w:tcPr>
            <w:tcW w:w="2170" w:type="dxa"/>
            <w:gridSpan w:val="2"/>
            <w:tcBorders>
              <w:top w:val="single" w:sz="4" w:space="0" w:color="000000"/>
              <w:left w:val="single" w:sz="4" w:space="0" w:color="000000"/>
              <w:bottom w:val="single" w:sz="4" w:space="0" w:color="000000"/>
              <w:right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sz w:val="24"/>
                <w:szCs w:val="24"/>
              </w:rPr>
            </w:pPr>
            <w:r>
              <w:rPr>
                <w:rFonts w:ascii="Times New Roman" w:hAnsi="Times New Roman" w:cs="Times New Roman"/>
              </w:rPr>
              <w:t>Платежные средства(+,-)</w:t>
            </w:r>
          </w:p>
        </w:tc>
      </w:tr>
      <w:tr w:rsidR="00CE38BA">
        <w:tc>
          <w:tcPr>
            <w:tcW w:w="1725" w:type="dxa"/>
            <w:vMerge/>
            <w:tcBorders>
              <w:top w:val="single" w:sz="4" w:space="0" w:color="000000"/>
              <w:left w:val="single" w:sz="4" w:space="0" w:color="000000"/>
              <w:bottom w:val="single" w:sz="4" w:space="0" w:color="000000"/>
            </w:tcBorders>
            <w:vAlign w:val="center"/>
          </w:tcPr>
          <w:p w:rsidR="00CE38BA" w:rsidRDefault="00CE38BA" w:rsidP="0022027E">
            <w:pPr>
              <w:pStyle w:val="ab"/>
              <w:snapToGrid w:val="0"/>
              <w:spacing w:after="0" w:line="240" w:lineRule="auto"/>
              <w:jc w:val="center"/>
              <w:rPr>
                <w:rFonts w:ascii="Times New Roman" w:hAnsi="Times New Roman" w:cs="Times New Roman"/>
                <w:sz w:val="24"/>
                <w:szCs w:val="24"/>
              </w:rPr>
            </w:pPr>
          </w:p>
        </w:tc>
        <w:tc>
          <w:tcPr>
            <w:tcW w:w="944" w:type="dxa"/>
            <w:vMerge/>
            <w:tcBorders>
              <w:top w:val="single" w:sz="4" w:space="0" w:color="000000"/>
              <w:left w:val="single" w:sz="4" w:space="0" w:color="000000"/>
              <w:bottom w:val="single" w:sz="4" w:space="0" w:color="000000"/>
            </w:tcBorders>
            <w:vAlign w:val="center"/>
          </w:tcPr>
          <w:p w:rsidR="00CE38BA" w:rsidRDefault="00CE38BA" w:rsidP="0022027E">
            <w:pPr>
              <w:pStyle w:val="ab"/>
              <w:snapToGrid w:val="0"/>
              <w:spacing w:after="0" w:line="240" w:lineRule="auto"/>
              <w:jc w:val="center"/>
              <w:rPr>
                <w:rFonts w:ascii="Times New Roman" w:hAnsi="Times New Roman" w:cs="Times New Roman"/>
              </w:rPr>
            </w:pPr>
          </w:p>
        </w:tc>
        <w:tc>
          <w:tcPr>
            <w:tcW w:w="944" w:type="dxa"/>
            <w:vMerge/>
            <w:tcBorders>
              <w:top w:val="single" w:sz="4" w:space="0" w:color="000000"/>
              <w:left w:val="single" w:sz="4" w:space="0" w:color="000000"/>
              <w:bottom w:val="single" w:sz="4" w:space="0" w:color="000000"/>
            </w:tcBorders>
            <w:vAlign w:val="center"/>
          </w:tcPr>
          <w:p w:rsidR="00CE38BA" w:rsidRDefault="00CE38BA" w:rsidP="0022027E">
            <w:pPr>
              <w:pStyle w:val="ab"/>
              <w:snapToGrid w:val="0"/>
              <w:spacing w:after="0" w:line="240" w:lineRule="auto"/>
              <w:jc w:val="center"/>
              <w:rPr>
                <w:rFonts w:ascii="Times New Roman" w:hAnsi="Times New Roman" w:cs="Times New Roman"/>
              </w:rPr>
            </w:pPr>
          </w:p>
        </w:tc>
        <w:tc>
          <w:tcPr>
            <w:tcW w:w="1771" w:type="dxa"/>
            <w:vMerge/>
            <w:tcBorders>
              <w:top w:val="single" w:sz="4" w:space="0" w:color="000000"/>
              <w:left w:val="single" w:sz="4" w:space="0" w:color="000000"/>
              <w:bottom w:val="single" w:sz="4" w:space="0" w:color="000000"/>
            </w:tcBorders>
            <w:vAlign w:val="center"/>
          </w:tcPr>
          <w:p w:rsidR="00CE38BA" w:rsidRDefault="00CE38BA" w:rsidP="0022027E">
            <w:pPr>
              <w:pStyle w:val="ab"/>
              <w:snapToGrid w:val="0"/>
              <w:spacing w:after="0" w:line="240" w:lineRule="auto"/>
              <w:jc w:val="center"/>
              <w:rPr>
                <w:rFonts w:ascii="Times New Roman" w:hAnsi="Times New Roman" w:cs="Times New Roman"/>
              </w:rPr>
            </w:pPr>
          </w:p>
        </w:tc>
        <w:tc>
          <w:tcPr>
            <w:tcW w:w="1065" w:type="dxa"/>
            <w:vMerge/>
            <w:tcBorders>
              <w:top w:val="single" w:sz="4" w:space="0" w:color="000000"/>
              <w:left w:val="single" w:sz="4" w:space="0" w:color="000000"/>
              <w:bottom w:val="single" w:sz="4" w:space="0" w:color="000000"/>
            </w:tcBorders>
            <w:vAlign w:val="center"/>
          </w:tcPr>
          <w:p w:rsidR="00CE38BA" w:rsidRDefault="00CE38BA" w:rsidP="0022027E">
            <w:pPr>
              <w:pStyle w:val="ab"/>
              <w:snapToGrid w:val="0"/>
              <w:spacing w:after="0" w:line="240" w:lineRule="auto"/>
              <w:jc w:val="center"/>
              <w:rPr>
                <w:rFonts w:ascii="Times New Roman" w:hAnsi="Times New Roman" w:cs="Times New Roman"/>
              </w:rPr>
            </w:pPr>
          </w:p>
        </w:tc>
        <w:tc>
          <w:tcPr>
            <w:tcW w:w="1065" w:type="dxa"/>
            <w:vMerge/>
            <w:tcBorders>
              <w:top w:val="single" w:sz="4" w:space="0" w:color="000000"/>
              <w:left w:val="single" w:sz="4" w:space="0" w:color="000000"/>
              <w:bottom w:val="single" w:sz="4" w:space="0" w:color="000000"/>
            </w:tcBorders>
            <w:vAlign w:val="center"/>
          </w:tcPr>
          <w:p w:rsidR="00CE38BA" w:rsidRDefault="00CE38BA" w:rsidP="0022027E">
            <w:pPr>
              <w:pStyle w:val="ab"/>
              <w:snapToGrid w:val="0"/>
              <w:spacing w:after="0" w:line="240" w:lineRule="auto"/>
              <w:jc w:val="center"/>
              <w:rPr>
                <w:rFonts w:ascii="Times New Roman" w:hAnsi="Times New Roman" w:cs="Times New Roman"/>
              </w:rPr>
            </w:pP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На начало года</w:t>
            </w:r>
          </w:p>
        </w:tc>
        <w:tc>
          <w:tcPr>
            <w:tcW w:w="1105" w:type="dxa"/>
            <w:tcBorders>
              <w:top w:val="single" w:sz="4" w:space="0" w:color="000000"/>
              <w:left w:val="single" w:sz="4" w:space="0" w:color="000000"/>
              <w:bottom w:val="single" w:sz="4" w:space="0" w:color="000000"/>
              <w:right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sz w:val="24"/>
                <w:szCs w:val="24"/>
              </w:rPr>
            </w:pPr>
            <w:r>
              <w:rPr>
                <w:rFonts w:ascii="Times New Roman" w:hAnsi="Times New Roman" w:cs="Times New Roman"/>
              </w:rPr>
              <w:t>На конец года</w:t>
            </w:r>
          </w:p>
        </w:tc>
      </w:tr>
      <w:tr w:rsidR="00CE38BA">
        <w:tc>
          <w:tcPr>
            <w:tcW w:w="9684" w:type="dxa"/>
            <w:gridSpan w:val="8"/>
            <w:tcBorders>
              <w:top w:val="single" w:sz="4" w:space="0" w:color="000000"/>
              <w:left w:val="single" w:sz="4" w:space="0" w:color="000000"/>
              <w:bottom w:val="single" w:sz="4" w:space="0" w:color="000000"/>
              <w:right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sz w:val="24"/>
                <w:szCs w:val="24"/>
              </w:rPr>
              <w:t>ФГУП «Березанское»</w:t>
            </w:r>
          </w:p>
        </w:tc>
      </w:tr>
      <w:tr w:rsidR="00CE38BA">
        <w:tc>
          <w:tcPr>
            <w:tcW w:w="172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Наиболее ликвидные активы</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11381</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28686</w:t>
            </w:r>
          </w:p>
        </w:tc>
        <w:tc>
          <w:tcPr>
            <w:tcW w:w="1771"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Наиболее срочные обязательства</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7499</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6972</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3882</w:t>
            </w:r>
          </w:p>
        </w:tc>
        <w:tc>
          <w:tcPr>
            <w:tcW w:w="1105" w:type="dxa"/>
            <w:tcBorders>
              <w:top w:val="single" w:sz="4" w:space="0" w:color="000000"/>
              <w:left w:val="single" w:sz="4" w:space="0" w:color="000000"/>
              <w:bottom w:val="single" w:sz="4" w:space="0" w:color="000000"/>
              <w:right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21714</w:t>
            </w:r>
          </w:p>
        </w:tc>
      </w:tr>
      <w:tr w:rsidR="00CE38BA">
        <w:trPr>
          <w:trHeight w:val="1107"/>
        </w:trPr>
        <w:tc>
          <w:tcPr>
            <w:tcW w:w="172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Менее ликвидные активы</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6625</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3221</w:t>
            </w:r>
          </w:p>
        </w:tc>
        <w:tc>
          <w:tcPr>
            <w:tcW w:w="1771"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Срочные обязательства</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33670</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30000</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-27045</w:t>
            </w:r>
          </w:p>
        </w:tc>
        <w:tc>
          <w:tcPr>
            <w:tcW w:w="1105" w:type="dxa"/>
            <w:tcBorders>
              <w:top w:val="single" w:sz="4" w:space="0" w:color="000000"/>
              <w:left w:val="single" w:sz="4" w:space="0" w:color="000000"/>
              <w:bottom w:val="single" w:sz="4" w:space="0" w:color="000000"/>
              <w:right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-26779</w:t>
            </w:r>
          </w:p>
        </w:tc>
      </w:tr>
      <w:tr w:rsidR="00CE38BA">
        <w:tc>
          <w:tcPr>
            <w:tcW w:w="172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Медленно реализуемые активы</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136348</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165648</w:t>
            </w:r>
          </w:p>
        </w:tc>
        <w:tc>
          <w:tcPr>
            <w:tcW w:w="1771"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Долгосрочные обязательства</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136348</w:t>
            </w:r>
          </w:p>
        </w:tc>
        <w:tc>
          <w:tcPr>
            <w:tcW w:w="1105" w:type="dxa"/>
            <w:tcBorders>
              <w:top w:val="single" w:sz="4" w:space="0" w:color="000000"/>
              <w:left w:val="single" w:sz="4" w:space="0" w:color="000000"/>
              <w:bottom w:val="single" w:sz="4" w:space="0" w:color="000000"/>
              <w:right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165648</w:t>
            </w:r>
          </w:p>
        </w:tc>
      </w:tr>
      <w:tr w:rsidR="00CE38BA">
        <w:tc>
          <w:tcPr>
            <w:tcW w:w="172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Трудно реализуемые активы</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178531</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172169</w:t>
            </w:r>
          </w:p>
        </w:tc>
        <w:tc>
          <w:tcPr>
            <w:tcW w:w="1771"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Постоянные пассивы</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291716</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332752</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-113185</w:t>
            </w:r>
          </w:p>
        </w:tc>
        <w:tc>
          <w:tcPr>
            <w:tcW w:w="1105" w:type="dxa"/>
            <w:tcBorders>
              <w:top w:val="single" w:sz="4" w:space="0" w:color="000000"/>
              <w:left w:val="single" w:sz="4" w:space="0" w:color="000000"/>
              <w:bottom w:val="single" w:sz="4" w:space="0" w:color="000000"/>
              <w:right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-160583</w:t>
            </w:r>
          </w:p>
        </w:tc>
      </w:tr>
      <w:tr w:rsidR="00CE38BA">
        <w:tc>
          <w:tcPr>
            <w:tcW w:w="1725" w:type="dxa"/>
            <w:tcBorders>
              <w:top w:val="single" w:sz="4" w:space="0" w:color="000000"/>
              <w:left w:val="single" w:sz="4" w:space="0" w:color="000000"/>
              <w:bottom w:val="single" w:sz="4" w:space="0" w:color="000000"/>
            </w:tcBorders>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Баланс</w:t>
            </w:r>
          </w:p>
        </w:tc>
        <w:tc>
          <w:tcPr>
            <w:tcW w:w="944" w:type="dxa"/>
            <w:tcBorders>
              <w:top w:val="single" w:sz="4" w:space="0" w:color="000000"/>
              <w:left w:val="single" w:sz="4" w:space="0" w:color="000000"/>
              <w:bottom w:val="single" w:sz="4" w:space="0" w:color="000000"/>
            </w:tcBorders>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332885</w:t>
            </w:r>
          </w:p>
        </w:tc>
        <w:tc>
          <w:tcPr>
            <w:tcW w:w="944" w:type="dxa"/>
            <w:tcBorders>
              <w:top w:val="single" w:sz="4" w:space="0" w:color="000000"/>
              <w:left w:val="single" w:sz="4" w:space="0" w:color="000000"/>
              <w:bottom w:val="single" w:sz="4" w:space="0" w:color="000000"/>
            </w:tcBorders>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369724</w:t>
            </w:r>
          </w:p>
        </w:tc>
        <w:tc>
          <w:tcPr>
            <w:tcW w:w="1771" w:type="dxa"/>
            <w:tcBorders>
              <w:top w:val="single" w:sz="4" w:space="0" w:color="000000"/>
              <w:left w:val="single" w:sz="4" w:space="0" w:color="000000"/>
              <w:bottom w:val="single" w:sz="4" w:space="0" w:color="000000"/>
            </w:tcBorders>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Баланс</w:t>
            </w:r>
          </w:p>
        </w:tc>
        <w:tc>
          <w:tcPr>
            <w:tcW w:w="1065" w:type="dxa"/>
            <w:tcBorders>
              <w:top w:val="single" w:sz="4" w:space="0" w:color="000000"/>
              <w:left w:val="single" w:sz="4" w:space="0" w:color="000000"/>
              <w:bottom w:val="single" w:sz="4" w:space="0" w:color="000000"/>
            </w:tcBorders>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332885</w:t>
            </w:r>
          </w:p>
        </w:tc>
        <w:tc>
          <w:tcPr>
            <w:tcW w:w="1065" w:type="dxa"/>
            <w:tcBorders>
              <w:top w:val="single" w:sz="4" w:space="0" w:color="000000"/>
              <w:left w:val="single" w:sz="4" w:space="0" w:color="000000"/>
              <w:bottom w:val="single" w:sz="4" w:space="0" w:color="000000"/>
            </w:tcBorders>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369724</w:t>
            </w:r>
          </w:p>
        </w:tc>
        <w:tc>
          <w:tcPr>
            <w:tcW w:w="1065" w:type="dxa"/>
            <w:tcBorders>
              <w:top w:val="single" w:sz="4" w:space="0" w:color="000000"/>
              <w:left w:val="single" w:sz="4" w:space="0" w:color="000000"/>
              <w:bottom w:val="single" w:sz="4" w:space="0" w:color="000000"/>
            </w:tcBorders>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х</w:t>
            </w:r>
          </w:p>
        </w:tc>
        <w:tc>
          <w:tcPr>
            <w:tcW w:w="1105" w:type="dxa"/>
            <w:tcBorders>
              <w:top w:val="single" w:sz="4" w:space="0" w:color="000000"/>
              <w:left w:val="single" w:sz="4" w:space="0" w:color="000000"/>
              <w:bottom w:val="single" w:sz="4" w:space="0" w:color="000000"/>
              <w:right w:val="single" w:sz="4" w:space="0" w:color="000000"/>
            </w:tcBorders>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х</w:t>
            </w:r>
          </w:p>
        </w:tc>
      </w:tr>
      <w:tr w:rsidR="00CE38BA">
        <w:tc>
          <w:tcPr>
            <w:tcW w:w="9684" w:type="dxa"/>
            <w:gridSpan w:val="8"/>
            <w:tcBorders>
              <w:top w:val="single" w:sz="4" w:space="0" w:color="000000"/>
              <w:left w:val="single" w:sz="4" w:space="0" w:color="000000"/>
              <w:bottom w:val="single" w:sz="4" w:space="0" w:color="000000"/>
              <w:right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ЗАО «Кубань»</w:t>
            </w:r>
          </w:p>
        </w:tc>
      </w:tr>
      <w:tr w:rsidR="00CE38BA">
        <w:tc>
          <w:tcPr>
            <w:tcW w:w="172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Наиболее ликвидные активы</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53361</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31324</w:t>
            </w:r>
          </w:p>
        </w:tc>
        <w:tc>
          <w:tcPr>
            <w:tcW w:w="1771"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Наиболее срочные обязательства</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14082</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17688</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39279</w:t>
            </w:r>
          </w:p>
        </w:tc>
        <w:tc>
          <w:tcPr>
            <w:tcW w:w="1105" w:type="dxa"/>
            <w:tcBorders>
              <w:top w:val="single" w:sz="4" w:space="0" w:color="000000"/>
              <w:left w:val="single" w:sz="4" w:space="0" w:color="000000"/>
              <w:bottom w:val="single" w:sz="4" w:space="0" w:color="000000"/>
              <w:right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13636</w:t>
            </w:r>
          </w:p>
        </w:tc>
      </w:tr>
      <w:tr w:rsidR="00CE38BA">
        <w:tc>
          <w:tcPr>
            <w:tcW w:w="172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Менее ликвидные активы</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17298</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12419</w:t>
            </w:r>
          </w:p>
        </w:tc>
        <w:tc>
          <w:tcPr>
            <w:tcW w:w="1771"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Срочные обязательства</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115012</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20136</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-97714</w:t>
            </w:r>
          </w:p>
        </w:tc>
        <w:tc>
          <w:tcPr>
            <w:tcW w:w="1105" w:type="dxa"/>
            <w:tcBorders>
              <w:top w:val="single" w:sz="4" w:space="0" w:color="000000"/>
              <w:left w:val="single" w:sz="4" w:space="0" w:color="000000"/>
              <w:bottom w:val="single" w:sz="4" w:space="0" w:color="000000"/>
              <w:right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-7717</w:t>
            </w:r>
          </w:p>
        </w:tc>
      </w:tr>
      <w:tr w:rsidR="00CE38BA">
        <w:tc>
          <w:tcPr>
            <w:tcW w:w="172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Медленно реализуемые активы</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147046</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149445</w:t>
            </w:r>
          </w:p>
        </w:tc>
        <w:tc>
          <w:tcPr>
            <w:tcW w:w="1771"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Долгосрочные обязательства</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157772</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169947</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-10726</w:t>
            </w:r>
          </w:p>
        </w:tc>
        <w:tc>
          <w:tcPr>
            <w:tcW w:w="1105" w:type="dxa"/>
            <w:tcBorders>
              <w:top w:val="single" w:sz="4" w:space="0" w:color="000000"/>
              <w:left w:val="single" w:sz="4" w:space="0" w:color="000000"/>
              <w:bottom w:val="single" w:sz="4" w:space="0" w:color="000000"/>
              <w:right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-20502</w:t>
            </w:r>
          </w:p>
        </w:tc>
      </w:tr>
      <w:tr w:rsidR="00CE38BA">
        <w:tc>
          <w:tcPr>
            <w:tcW w:w="172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Трудно реализуемые активы</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230980</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249064</w:t>
            </w:r>
          </w:p>
        </w:tc>
        <w:tc>
          <w:tcPr>
            <w:tcW w:w="1771"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Постоянные пассивы</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161819</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234481</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69161</w:t>
            </w:r>
          </w:p>
        </w:tc>
        <w:tc>
          <w:tcPr>
            <w:tcW w:w="1105" w:type="dxa"/>
            <w:tcBorders>
              <w:top w:val="single" w:sz="4" w:space="0" w:color="000000"/>
              <w:left w:val="single" w:sz="4" w:space="0" w:color="000000"/>
              <w:bottom w:val="single" w:sz="4" w:space="0" w:color="000000"/>
              <w:right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14583</w:t>
            </w:r>
          </w:p>
        </w:tc>
      </w:tr>
      <w:tr w:rsidR="00CE38BA">
        <w:tc>
          <w:tcPr>
            <w:tcW w:w="172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Баланс</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448685</w:t>
            </w:r>
          </w:p>
        </w:tc>
        <w:tc>
          <w:tcPr>
            <w:tcW w:w="944"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442252</w:t>
            </w:r>
          </w:p>
        </w:tc>
        <w:tc>
          <w:tcPr>
            <w:tcW w:w="1771"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rPr>
                <w:rFonts w:ascii="Times New Roman" w:hAnsi="Times New Roman" w:cs="Times New Roman"/>
              </w:rPr>
            </w:pPr>
            <w:r>
              <w:rPr>
                <w:rFonts w:ascii="Times New Roman" w:hAnsi="Times New Roman" w:cs="Times New Roman"/>
              </w:rPr>
              <w:t>Баланс</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448685</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442252</w:t>
            </w:r>
          </w:p>
        </w:tc>
        <w:tc>
          <w:tcPr>
            <w:tcW w:w="1065" w:type="dxa"/>
            <w:tcBorders>
              <w:top w:val="single" w:sz="4" w:space="0" w:color="000000"/>
              <w:left w:val="single" w:sz="4" w:space="0" w:color="000000"/>
              <w:bottom w:val="single" w:sz="4" w:space="0" w:color="000000"/>
            </w:tcBorders>
            <w:vAlign w:val="center"/>
          </w:tcPr>
          <w:p w:rsidR="00CE38BA" w:rsidRDefault="00CE38BA" w:rsidP="0022027E">
            <w:pPr>
              <w:pStyle w:val="ab"/>
              <w:spacing w:after="0" w:line="240" w:lineRule="auto"/>
              <w:jc w:val="center"/>
              <w:rPr>
                <w:rFonts w:ascii="Times New Roman" w:hAnsi="Times New Roman" w:cs="Times New Roman"/>
              </w:rPr>
            </w:pPr>
            <w:r>
              <w:rPr>
                <w:rFonts w:ascii="Times New Roman" w:hAnsi="Times New Roman" w:cs="Times New Roman"/>
              </w:rPr>
              <w:t>х</w:t>
            </w:r>
          </w:p>
        </w:tc>
        <w:tc>
          <w:tcPr>
            <w:tcW w:w="1105" w:type="dxa"/>
            <w:tcBorders>
              <w:top w:val="single" w:sz="4" w:space="0" w:color="000000"/>
              <w:left w:val="single" w:sz="4" w:space="0" w:color="000000"/>
              <w:bottom w:val="single" w:sz="4" w:space="0" w:color="000000"/>
              <w:right w:val="single" w:sz="4" w:space="0" w:color="000000"/>
            </w:tcBorders>
            <w:vAlign w:val="center"/>
          </w:tcPr>
          <w:p w:rsidR="00CE38BA" w:rsidRDefault="00CE38BA" w:rsidP="0022027E">
            <w:pPr>
              <w:pStyle w:val="ab"/>
              <w:spacing w:after="0" w:line="240" w:lineRule="auto"/>
              <w:jc w:val="center"/>
            </w:pPr>
            <w:r>
              <w:rPr>
                <w:rFonts w:ascii="Times New Roman" w:hAnsi="Times New Roman" w:cs="Times New Roman"/>
              </w:rPr>
              <w:t>х</w:t>
            </w:r>
          </w:p>
        </w:tc>
      </w:tr>
    </w:tbl>
    <w:p w:rsidR="00CE38BA" w:rsidRDefault="00CE38BA">
      <w:pPr>
        <w:pStyle w:val="WW-Normal"/>
      </w:pPr>
    </w:p>
    <w:p w:rsidR="00CE38BA" w:rsidRDefault="00CE38BA">
      <w:pPr>
        <w:spacing w:after="0" w:line="240" w:lineRule="auto"/>
        <w:ind w:firstLine="851"/>
        <w:jc w:val="both"/>
        <w:rPr>
          <w:rFonts w:ascii="Times New Roman" w:hAnsi="Times New Roman" w:cs="Times New Roman"/>
          <w:sz w:val="28"/>
          <w:szCs w:val="28"/>
        </w:rPr>
      </w:pP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Для  оценки платежеспособности предприятия и ликвидности бухгалтерского баланса, оборотных активов определим  коэффициенты ликвидности.</w:t>
      </w:r>
    </w:p>
    <w:p w:rsidR="00CE38BA" w:rsidRDefault="00CE38BA">
      <w:pPr>
        <w:spacing w:after="0" w:line="360" w:lineRule="auto"/>
        <w:ind w:firstLine="851"/>
        <w:jc w:val="both"/>
        <w:rPr>
          <w:rFonts w:ascii="Times New Roman" w:hAnsi="Times New Roman" w:cs="Times New Roman"/>
          <w:sz w:val="28"/>
          <w:szCs w:val="28"/>
        </w:rPr>
      </w:pPr>
    </w:p>
    <w:p w:rsidR="00CE38BA" w:rsidRDefault="00CE38BA">
      <w:pPr>
        <w:spacing w:after="0" w:line="240" w:lineRule="auto"/>
        <w:ind w:left="2410" w:hanging="1559"/>
        <w:jc w:val="both"/>
        <w:rPr>
          <w:sz w:val="28"/>
          <w:szCs w:val="28"/>
        </w:rPr>
      </w:pPr>
      <w:r>
        <w:rPr>
          <w:rFonts w:ascii="Times New Roman" w:hAnsi="Times New Roman" w:cs="Times New Roman"/>
          <w:sz w:val="28"/>
          <w:szCs w:val="28"/>
        </w:rPr>
        <w:t>Таблица 6 – Относительные показатели ликвидности организаций на конец 2012 года</w:t>
      </w:r>
    </w:p>
    <w:p w:rsidR="00CE38BA" w:rsidRDefault="00CE38BA">
      <w:pPr>
        <w:spacing w:after="0" w:line="240" w:lineRule="auto"/>
        <w:ind w:firstLine="851"/>
        <w:jc w:val="both"/>
        <w:rPr>
          <w:sz w:val="28"/>
          <w:szCs w:val="28"/>
        </w:rPr>
      </w:pPr>
    </w:p>
    <w:tbl>
      <w:tblPr>
        <w:tblW w:w="0" w:type="auto"/>
        <w:tblInd w:w="55" w:type="dxa"/>
        <w:tblLayout w:type="fixed"/>
        <w:tblCellMar>
          <w:top w:w="55" w:type="dxa"/>
          <w:left w:w="55" w:type="dxa"/>
          <w:bottom w:w="55" w:type="dxa"/>
          <w:right w:w="55" w:type="dxa"/>
        </w:tblCellMar>
        <w:tblLook w:val="0000"/>
      </w:tblPr>
      <w:tblGrid>
        <w:gridCol w:w="3261"/>
        <w:gridCol w:w="1764"/>
        <w:gridCol w:w="1540"/>
        <w:gridCol w:w="1657"/>
        <w:gridCol w:w="1463"/>
      </w:tblGrid>
      <w:tr w:rsidR="00CE38BA">
        <w:tc>
          <w:tcPr>
            <w:tcW w:w="3261" w:type="dxa"/>
            <w:tcBorders>
              <w:top w:val="single" w:sz="4" w:space="0" w:color="000000"/>
              <w:left w:val="single" w:sz="4" w:space="0" w:color="000000"/>
              <w:bottom w:val="single" w:sz="4" w:space="0" w:color="000000"/>
            </w:tcBorders>
            <w:vAlign w:val="center"/>
          </w:tcPr>
          <w:p w:rsidR="00CE38BA" w:rsidRDefault="00CE38BA">
            <w:pPr>
              <w:pStyle w:val="ab"/>
              <w:jc w:val="center"/>
              <w:rPr>
                <w:rFonts w:ascii="Times New Roman" w:hAnsi="Times New Roman" w:cs="Times New Roman"/>
                <w:sz w:val="24"/>
                <w:szCs w:val="24"/>
              </w:rPr>
            </w:pPr>
            <w:r>
              <w:rPr>
                <w:rFonts w:ascii="Times New Roman" w:hAnsi="Times New Roman" w:cs="Times New Roman"/>
                <w:sz w:val="24"/>
                <w:szCs w:val="24"/>
              </w:rPr>
              <w:t>Показатель</w:t>
            </w:r>
          </w:p>
        </w:tc>
        <w:tc>
          <w:tcPr>
            <w:tcW w:w="1764" w:type="dxa"/>
            <w:tcBorders>
              <w:top w:val="single" w:sz="4" w:space="0" w:color="000000"/>
              <w:left w:val="single" w:sz="4" w:space="0" w:color="000000"/>
              <w:bottom w:val="single" w:sz="4" w:space="0" w:color="000000"/>
            </w:tcBorders>
            <w:vAlign w:val="center"/>
          </w:tcPr>
          <w:p w:rsidR="00CE38BA" w:rsidRDefault="00CE38BA">
            <w:pPr>
              <w:pStyle w:val="ab"/>
              <w:jc w:val="center"/>
              <w:rPr>
                <w:rFonts w:ascii="Times New Roman" w:hAnsi="Times New Roman" w:cs="Times New Roman"/>
                <w:sz w:val="24"/>
                <w:szCs w:val="24"/>
              </w:rPr>
            </w:pPr>
            <w:r>
              <w:rPr>
                <w:rFonts w:ascii="Times New Roman" w:hAnsi="Times New Roman" w:cs="Times New Roman"/>
                <w:sz w:val="24"/>
                <w:szCs w:val="24"/>
              </w:rPr>
              <w:t>Рекомендуемое значение</w:t>
            </w:r>
          </w:p>
        </w:tc>
        <w:tc>
          <w:tcPr>
            <w:tcW w:w="1540" w:type="dxa"/>
            <w:tcBorders>
              <w:top w:val="single" w:sz="4" w:space="0" w:color="000000"/>
              <w:left w:val="single" w:sz="4" w:space="0" w:color="000000"/>
              <w:bottom w:val="single" w:sz="4" w:space="0" w:color="000000"/>
            </w:tcBorders>
            <w:vAlign w:val="center"/>
          </w:tcPr>
          <w:p w:rsidR="00CE38BA" w:rsidRDefault="00CE38BA">
            <w:pPr>
              <w:pStyle w:val="ab"/>
              <w:jc w:val="center"/>
              <w:rPr>
                <w:rFonts w:ascii="Times New Roman" w:hAnsi="Times New Roman" w:cs="Times New Roman"/>
                <w:sz w:val="24"/>
                <w:szCs w:val="24"/>
              </w:rPr>
            </w:pPr>
            <w:r>
              <w:rPr>
                <w:rFonts w:ascii="Times New Roman" w:hAnsi="Times New Roman" w:cs="Times New Roman"/>
                <w:sz w:val="24"/>
                <w:szCs w:val="24"/>
              </w:rPr>
              <w:t>ЗАО «Кубань»</w:t>
            </w:r>
          </w:p>
        </w:tc>
        <w:tc>
          <w:tcPr>
            <w:tcW w:w="1657" w:type="dxa"/>
            <w:tcBorders>
              <w:top w:val="single" w:sz="4" w:space="0" w:color="000000"/>
              <w:left w:val="single" w:sz="4" w:space="0" w:color="000000"/>
              <w:bottom w:val="single" w:sz="4" w:space="0" w:color="000000"/>
            </w:tcBorders>
            <w:vAlign w:val="center"/>
          </w:tcPr>
          <w:p w:rsidR="00CE38BA" w:rsidRDefault="00CE38BA">
            <w:pPr>
              <w:pStyle w:val="ab"/>
              <w:jc w:val="center"/>
              <w:rPr>
                <w:rFonts w:ascii="Times New Roman" w:hAnsi="Times New Roman" w:cs="Times New Roman"/>
                <w:sz w:val="24"/>
                <w:szCs w:val="24"/>
              </w:rPr>
            </w:pPr>
            <w:r>
              <w:rPr>
                <w:rFonts w:ascii="Times New Roman" w:hAnsi="Times New Roman" w:cs="Times New Roman"/>
                <w:sz w:val="24"/>
                <w:szCs w:val="24"/>
              </w:rPr>
              <w:t>ФГУП «Березанское»</w:t>
            </w:r>
          </w:p>
        </w:tc>
        <w:tc>
          <w:tcPr>
            <w:tcW w:w="1463" w:type="dxa"/>
            <w:tcBorders>
              <w:top w:val="single" w:sz="4" w:space="0" w:color="000000"/>
              <w:left w:val="single" w:sz="4" w:space="0" w:color="000000"/>
              <w:bottom w:val="single" w:sz="4" w:space="0" w:color="000000"/>
              <w:right w:val="single" w:sz="4" w:space="0" w:color="000000"/>
            </w:tcBorders>
            <w:vAlign w:val="center"/>
          </w:tcPr>
          <w:p w:rsidR="00CE38BA" w:rsidRDefault="00CE38BA">
            <w:pPr>
              <w:pStyle w:val="ab"/>
              <w:spacing w:after="0" w:line="240" w:lineRule="auto"/>
              <w:jc w:val="center"/>
              <w:rPr>
                <w:rFonts w:ascii="Times New Roman" w:hAnsi="Times New Roman" w:cs="Times New Roman"/>
                <w:sz w:val="24"/>
                <w:szCs w:val="24"/>
              </w:rPr>
            </w:pPr>
            <w:r>
              <w:rPr>
                <w:rFonts w:ascii="Times New Roman" w:hAnsi="Times New Roman" w:cs="Times New Roman"/>
                <w:sz w:val="24"/>
                <w:szCs w:val="24"/>
              </w:rPr>
              <w:t>ФГУП «Березанское»  к ЗАО «Кубань»</w:t>
            </w:r>
          </w:p>
          <w:p w:rsidR="00CE38BA" w:rsidRDefault="00CE38BA">
            <w:pPr>
              <w:pStyle w:val="ab"/>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tc>
      </w:tr>
      <w:tr w:rsidR="00CE38BA">
        <w:tc>
          <w:tcPr>
            <w:tcW w:w="3261" w:type="dxa"/>
            <w:tcBorders>
              <w:top w:val="single" w:sz="4" w:space="0" w:color="000000"/>
              <w:left w:val="single" w:sz="4" w:space="0" w:color="000000"/>
              <w:bottom w:val="single" w:sz="4" w:space="0" w:color="000000"/>
            </w:tcBorders>
            <w:vAlign w:val="center"/>
          </w:tcPr>
          <w:p w:rsidR="00CE38BA" w:rsidRDefault="00CE38BA">
            <w:pPr>
              <w:pStyle w:val="ab"/>
              <w:spacing w:after="0" w:line="200" w:lineRule="atLeast"/>
              <w:rPr>
                <w:rFonts w:ascii="Times New Roman" w:hAnsi="Times New Roman" w:cs="Times New Roman"/>
                <w:sz w:val="24"/>
                <w:szCs w:val="24"/>
              </w:rPr>
            </w:pPr>
            <w:r>
              <w:rPr>
                <w:rFonts w:ascii="Times New Roman" w:hAnsi="Times New Roman" w:cs="Times New Roman"/>
                <w:sz w:val="24"/>
                <w:szCs w:val="24"/>
              </w:rPr>
              <w:t>Коэффициент</w:t>
            </w:r>
          </w:p>
          <w:p w:rsidR="00CE38BA" w:rsidRDefault="00CE38BA">
            <w:pPr>
              <w:pStyle w:val="ab"/>
              <w:spacing w:after="0" w:line="200" w:lineRule="atLeast"/>
              <w:rPr>
                <w:rFonts w:ascii="Times New Roman" w:hAnsi="Times New Roman" w:cs="Times New Roman"/>
                <w:sz w:val="24"/>
                <w:szCs w:val="24"/>
              </w:rPr>
            </w:pPr>
            <w:r>
              <w:rPr>
                <w:rFonts w:ascii="Times New Roman" w:hAnsi="Times New Roman" w:cs="Times New Roman"/>
                <w:sz w:val="24"/>
                <w:szCs w:val="24"/>
              </w:rPr>
              <w:t>абсолютной</w:t>
            </w:r>
          </w:p>
          <w:p w:rsidR="00CE38BA" w:rsidRDefault="00CE38BA">
            <w:pPr>
              <w:pStyle w:val="ab"/>
              <w:spacing w:after="0" w:line="200" w:lineRule="atLeast"/>
              <w:rPr>
                <w:rFonts w:ascii="Times New Roman" w:hAnsi="Times New Roman" w:cs="Times New Roman"/>
                <w:sz w:val="24"/>
                <w:szCs w:val="24"/>
              </w:rPr>
            </w:pPr>
            <w:r>
              <w:rPr>
                <w:rFonts w:ascii="Times New Roman" w:hAnsi="Times New Roman" w:cs="Times New Roman"/>
                <w:sz w:val="24"/>
                <w:szCs w:val="24"/>
              </w:rPr>
              <w:t>ликвидности</w:t>
            </w:r>
          </w:p>
        </w:tc>
        <w:tc>
          <w:tcPr>
            <w:tcW w:w="1764" w:type="dxa"/>
            <w:tcBorders>
              <w:top w:val="single" w:sz="4" w:space="0" w:color="000000"/>
              <w:left w:val="single" w:sz="4" w:space="0" w:color="000000"/>
              <w:bottom w:val="single" w:sz="4" w:space="0" w:color="000000"/>
            </w:tcBorders>
            <w:vAlign w:val="center"/>
          </w:tcPr>
          <w:p w:rsidR="00CE38BA" w:rsidRDefault="00CE38BA">
            <w:pPr>
              <w:pStyle w:val="ab"/>
              <w:jc w:val="center"/>
              <w:rPr>
                <w:rFonts w:ascii="Times New Roman" w:hAnsi="Times New Roman" w:cs="Times New Roman"/>
                <w:sz w:val="24"/>
                <w:szCs w:val="24"/>
              </w:rPr>
            </w:pPr>
            <w:r>
              <w:rPr>
                <w:rFonts w:ascii="Times New Roman" w:hAnsi="Times New Roman" w:cs="Times New Roman"/>
                <w:sz w:val="24"/>
                <w:szCs w:val="24"/>
              </w:rPr>
              <w:t>0,2-0,7</w:t>
            </w:r>
          </w:p>
        </w:tc>
        <w:tc>
          <w:tcPr>
            <w:tcW w:w="1540" w:type="dxa"/>
            <w:tcBorders>
              <w:top w:val="single" w:sz="4" w:space="0" w:color="000000"/>
              <w:left w:val="single" w:sz="4" w:space="0" w:color="000000"/>
              <w:bottom w:val="single" w:sz="4" w:space="0" w:color="000000"/>
            </w:tcBorders>
            <w:vAlign w:val="center"/>
          </w:tcPr>
          <w:p w:rsidR="00CE38BA" w:rsidRDefault="00CE38BA">
            <w:pPr>
              <w:pStyle w:val="ab"/>
              <w:jc w:val="center"/>
              <w:rPr>
                <w:rFonts w:ascii="Times New Roman" w:hAnsi="Times New Roman" w:cs="Times New Roman"/>
                <w:sz w:val="24"/>
                <w:szCs w:val="24"/>
              </w:rPr>
            </w:pPr>
            <w:r>
              <w:rPr>
                <w:rFonts w:ascii="Times New Roman" w:hAnsi="Times New Roman" w:cs="Times New Roman"/>
                <w:sz w:val="24"/>
                <w:szCs w:val="24"/>
              </w:rPr>
              <w:t>0,8</w:t>
            </w:r>
          </w:p>
        </w:tc>
        <w:tc>
          <w:tcPr>
            <w:tcW w:w="1657" w:type="dxa"/>
            <w:tcBorders>
              <w:top w:val="single" w:sz="4" w:space="0" w:color="000000"/>
              <w:left w:val="single" w:sz="4" w:space="0" w:color="000000"/>
              <w:bottom w:val="single" w:sz="4" w:space="0" w:color="000000"/>
            </w:tcBorders>
            <w:vAlign w:val="center"/>
          </w:tcPr>
          <w:p w:rsidR="00CE38BA" w:rsidRDefault="00CE38BA">
            <w:pPr>
              <w:pStyle w:val="ab"/>
              <w:jc w:val="center"/>
              <w:rPr>
                <w:rFonts w:ascii="Times New Roman" w:hAnsi="Times New Roman" w:cs="Times New Roman"/>
                <w:sz w:val="24"/>
                <w:szCs w:val="24"/>
              </w:rPr>
            </w:pPr>
            <w:r>
              <w:rPr>
                <w:rFonts w:ascii="Times New Roman" w:hAnsi="Times New Roman" w:cs="Times New Roman"/>
                <w:sz w:val="24"/>
                <w:szCs w:val="24"/>
              </w:rPr>
              <w:t>0,8</w:t>
            </w:r>
          </w:p>
        </w:tc>
        <w:tc>
          <w:tcPr>
            <w:tcW w:w="1463" w:type="dxa"/>
            <w:tcBorders>
              <w:top w:val="single" w:sz="4" w:space="0" w:color="000000"/>
              <w:left w:val="single" w:sz="4" w:space="0" w:color="000000"/>
              <w:bottom w:val="single" w:sz="4" w:space="0" w:color="000000"/>
              <w:right w:val="single" w:sz="4" w:space="0" w:color="000000"/>
            </w:tcBorders>
            <w:vAlign w:val="center"/>
          </w:tcPr>
          <w:p w:rsidR="00CE38BA" w:rsidRDefault="00CE38BA">
            <w:pPr>
              <w:pStyle w:val="ab"/>
              <w:jc w:val="center"/>
              <w:rPr>
                <w:rFonts w:ascii="Times New Roman" w:hAnsi="Times New Roman" w:cs="Times New Roman"/>
                <w:sz w:val="24"/>
                <w:szCs w:val="24"/>
              </w:rPr>
            </w:pPr>
            <w:r>
              <w:rPr>
                <w:rFonts w:ascii="Times New Roman" w:hAnsi="Times New Roman" w:cs="Times New Roman"/>
                <w:sz w:val="24"/>
                <w:szCs w:val="24"/>
              </w:rPr>
              <w:t>-</w:t>
            </w:r>
          </w:p>
        </w:tc>
      </w:tr>
      <w:tr w:rsidR="00CE38BA">
        <w:tc>
          <w:tcPr>
            <w:tcW w:w="3261" w:type="dxa"/>
            <w:tcBorders>
              <w:top w:val="single" w:sz="4" w:space="0" w:color="000000"/>
              <w:left w:val="single" w:sz="4" w:space="0" w:color="000000"/>
              <w:bottom w:val="single" w:sz="4" w:space="0" w:color="000000"/>
            </w:tcBorders>
            <w:vAlign w:val="center"/>
          </w:tcPr>
          <w:p w:rsidR="00CE38BA" w:rsidRDefault="00CE38BA">
            <w:pPr>
              <w:pStyle w:val="ab"/>
              <w:spacing w:after="0" w:line="240" w:lineRule="auto"/>
              <w:rPr>
                <w:rFonts w:ascii="Times New Roman" w:hAnsi="Times New Roman" w:cs="Times New Roman"/>
                <w:sz w:val="24"/>
                <w:szCs w:val="24"/>
              </w:rPr>
            </w:pPr>
            <w:r>
              <w:rPr>
                <w:rFonts w:ascii="Times New Roman" w:hAnsi="Times New Roman" w:cs="Times New Roman"/>
                <w:sz w:val="24"/>
                <w:szCs w:val="24"/>
              </w:rPr>
              <w:t>Коэффициент</w:t>
            </w:r>
          </w:p>
          <w:p w:rsidR="00CE38BA" w:rsidRDefault="00CE38BA">
            <w:pPr>
              <w:pStyle w:val="ab"/>
              <w:spacing w:after="0" w:line="240" w:lineRule="auto"/>
              <w:rPr>
                <w:rFonts w:ascii="Times New Roman" w:hAnsi="Times New Roman" w:cs="Times New Roman"/>
                <w:sz w:val="24"/>
                <w:szCs w:val="24"/>
              </w:rPr>
            </w:pPr>
            <w:r>
              <w:rPr>
                <w:rFonts w:ascii="Times New Roman" w:hAnsi="Times New Roman" w:cs="Times New Roman"/>
                <w:sz w:val="24"/>
                <w:szCs w:val="24"/>
              </w:rPr>
              <w:t>быстрой ликвидности</w:t>
            </w:r>
          </w:p>
        </w:tc>
        <w:tc>
          <w:tcPr>
            <w:tcW w:w="1764" w:type="dxa"/>
            <w:tcBorders>
              <w:top w:val="single" w:sz="4" w:space="0" w:color="000000"/>
              <w:left w:val="single" w:sz="4" w:space="0" w:color="000000"/>
              <w:bottom w:val="single" w:sz="4" w:space="0" w:color="000000"/>
            </w:tcBorders>
            <w:vAlign w:val="center"/>
          </w:tcPr>
          <w:p w:rsidR="00CE38BA" w:rsidRDefault="00CE38BA">
            <w:pPr>
              <w:pStyle w:val="ab"/>
              <w:spacing w:after="0"/>
              <w:jc w:val="center"/>
              <w:rPr>
                <w:rFonts w:ascii="Times New Roman" w:hAnsi="Times New Roman" w:cs="Times New Roman"/>
                <w:sz w:val="24"/>
                <w:szCs w:val="24"/>
              </w:rPr>
            </w:pPr>
            <w:r>
              <w:rPr>
                <w:rFonts w:ascii="Times New Roman" w:hAnsi="Times New Roman" w:cs="Times New Roman"/>
                <w:sz w:val="24"/>
                <w:szCs w:val="24"/>
              </w:rPr>
              <w:t>от 0,7-0,8 до 1,5</w:t>
            </w:r>
          </w:p>
        </w:tc>
        <w:tc>
          <w:tcPr>
            <w:tcW w:w="1540" w:type="dxa"/>
            <w:tcBorders>
              <w:top w:val="single" w:sz="4" w:space="0" w:color="000000"/>
              <w:left w:val="single" w:sz="4" w:space="0" w:color="000000"/>
              <w:bottom w:val="single" w:sz="4" w:space="0" w:color="000000"/>
            </w:tcBorders>
            <w:vAlign w:val="center"/>
          </w:tcPr>
          <w:p w:rsidR="00CE38BA" w:rsidRDefault="00CE38BA">
            <w:pPr>
              <w:pStyle w:val="ab"/>
              <w:spacing w:after="0"/>
              <w:jc w:val="center"/>
              <w:rPr>
                <w:rFonts w:ascii="Times New Roman" w:hAnsi="Times New Roman" w:cs="Times New Roman"/>
                <w:sz w:val="24"/>
                <w:szCs w:val="24"/>
              </w:rPr>
            </w:pPr>
            <w:r>
              <w:rPr>
                <w:rFonts w:ascii="Times New Roman" w:hAnsi="Times New Roman" w:cs="Times New Roman"/>
                <w:sz w:val="24"/>
                <w:szCs w:val="24"/>
              </w:rPr>
              <w:t>1,2</w:t>
            </w:r>
          </w:p>
        </w:tc>
        <w:tc>
          <w:tcPr>
            <w:tcW w:w="1657" w:type="dxa"/>
            <w:tcBorders>
              <w:top w:val="single" w:sz="4" w:space="0" w:color="000000"/>
              <w:left w:val="single" w:sz="4" w:space="0" w:color="000000"/>
              <w:bottom w:val="single" w:sz="4" w:space="0" w:color="000000"/>
            </w:tcBorders>
            <w:vAlign w:val="center"/>
          </w:tcPr>
          <w:p w:rsidR="00CE38BA" w:rsidRDefault="00CE38BA">
            <w:pPr>
              <w:pStyle w:val="ab"/>
              <w:spacing w:after="0"/>
              <w:jc w:val="center"/>
              <w:rPr>
                <w:rFonts w:ascii="Times New Roman" w:hAnsi="Times New Roman" w:cs="Times New Roman"/>
                <w:sz w:val="24"/>
                <w:szCs w:val="24"/>
              </w:rPr>
            </w:pPr>
            <w:r>
              <w:rPr>
                <w:rFonts w:ascii="Times New Roman" w:hAnsi="Times New Roman" w:cs="Times New Roman"/>
                <w:sz w:val="24"/>
                <w:szCs w:val="24"/>
              </w:rPr>
              <w:t>0,9</w:t>
            </w:r>
          </w:p>
        </w:tc>
        <w:tc>
          <w:tcPr>
            <w:tcW w:w="1463" w:type="dxa"/>
            <w:tcBorders>
              <w:top w:val="single" w:sz="4" w:space="0" w:color="000000"/>
              <w:left w:val="single" w:sz="4" w:space="0" w:color="000000"/>
              <w:bottom w:val="single" w:sz="4" w:space="0" w:color="000000"/>
              <w:right w:val="single" w:sz="4" w:space="0" w:color="000000"/>
            </w:tcBorders>
            <w:vAlign w:val="center"/>
          </w:tcPr>
          <w:p w:rsidR="00CE38BA" w:rsidRDefault="00CE38BA">
            <w:pPr>
              <w:pStyle w:val="ab"/>
              <w:spacing w:after="0"/>
              <w:jc w:val="center"/>
              <w:rPr>
                <w:rFonts w:ascii="Times New Roman" w:hAnsi="Times New Roman" w:cs="Times New Roman"/>
                <w:sz w:val="24"/>
                <w:szCs w:val="24"/>
              </w:rPr>
            </w:pPr>
            <w:r>
              <w:rPr>
                <w:rFonts w:ascii="Times New Roman" w:hAnsi="Times New Roman" w:cs="Times New Roman"/>
                <w:sz w:val="24"/>
                <w:szCs w:val="24"/>
              </w:rPr>
              <w:t>-0,3</w:t>
            </w:r>
          </w:p>
        </w:tc>
      </w:tr>
      <w:tr w:rsidR="00CE38BA">
        <w:tc>
          <w:tcPr>
            <w:tcW w:w="3261" w:type="dxa"/>
            <w:tcBorders>
              <w:top w:val="single" w:sz="4" w:space="0" w:color="000000"/>
              <w:left w:val="single" w:sz="4" w:space="0" w:color="000000"/>
              <w:bottom w:val="single" w:sz="4" w:space="0" w:color="000000"/>
            </w:tcBorders>
          </w:tcPr>
          <w:p w:rsidR="00CE38BA" w:rsidRDefault="00CE38BA">
            <w:pPr>
              <w:pStyle w:val="ab"/>
              <w:spacing w:after="0" w:line="240" w:lineRule="auto"/>
              <w:rPr>
                <w:rFonts w:ascii="Times New Roman" w:hAnsi="Times New Roman" w:cs="Times New Roman"/>
                <w:sz w:val="24"/>
                <w:szCs w:val="24"/>
              </w:rPr>
            </w:pPr>
            <w:r>
              <w:rPr>
                <w:rFonts w:ascii="Times New Roman" w:hAnsi="Times New Roman" w:cs="Times New Roman"/>
                <w:sz w:val="24"/>
                <w:szCs w:val="24"/>
              </w:rPr>
              <w:t>Коэффициент текущей ликвидности</w:t>
            </w:r>
          </w:p>
        </w:tc>
        <w:tc>
          <w:tcPr>
            <w:tcW w:w="1764" w:type="dxa"/>
            <w:tcBorders>
              <w:top w:val="single" w:sz="4" w:space="0" w:color="000000"/>
              <w:left w:val="single" w:sz="4" w:space="0" w:color="000000"/>
              <w:bottom w:val="single" w:sz="4" w:space="0" w:color="000000"/>
            </w:tcBorders>
            <w:vAlign w:val="center"/>
          </w:tcPr>
          <w:p w:rsidR="00CE38BA" w:rsidRDefault="00CE38BA">
            <w:pPr>
              <w:pStyle w:val="ab"/>
              <w:spacing w:after="0"/>
              <w:jc w:val="center"/>
              <w:rPr>
                <w:rFonts w:ascii="Times New Roman" w:hAnsi="Times New Roman" w:cs="Times New Roman"/>
                <w:sz w:val="24"/>
                <w:szCs w:val="24"/>
              </w:rPr>
            </w:pPr>
            <w:r>
              <w:rPr>
                <w:rFonts w:ascii="Times New Roman" w:hAnsi="Times New Roman" w:cs="Times New Roman"/>
                <w:sz w:val="24"/>
                <w:szCs w:val="24"/>
              </w:rPr>
              <w:t>от 1 до 2</w:t>
            </w:r>
          </w:p>
        </w:tc>
        <w:tc>
          <w:tcPr>
            <w:tcW w:w="1540" w:type="dxa"/>
            <w:tcBorders>
              <w:top w:val="single" w:sz="4" w:space="0" w:color="000000"/>
              <w:left w:val="single" w:sz="4" w:space="0" w:color="000000"/>
              <w:bottom w:val="single" w:sz="4" w:space="0" w:color="000000"/>
            </w:tcBorders>
            <w:vAlign w:val="center"/>
          </w:tcPr>
          <w:p w:rsidR="00CE38BA" w:rsidRDefault="00CE38BA">
            <w:pPr>
              <w:pStyle w:val="ab"/>
              <w:spacing w:after="0"/>
              <w:jc w:val="center"/>
              <w:rPr>
                <w:rFonts w:ascii="Times New Roman" w:hAnsi="Times New Roman" w:cs="Times New Roman"/>
                <w:sz w:val="24"/>
                <w:szCs w:val="24"/>
              </w:rPr>
            </w:pPr>
            <w:r>
              <w:rPr>
                <w:rFonts w:ascii="Times New Roman" w:hAnsi="Times New Roman" w:cs="Times New Roman"/>
                <w:sz w:val="24"/>
                <w:szCs w:val="24"/>
              </w:rPr>
              <w:t>5,1</w:t>
            </w:r>
          </w:p>
        </w:tc>
        <w:tc>
          <w:tcPr>
            <w:tcW w:w="1657" w:type="dxa"/>
            <w:tcBorders>
              <w:top w:val="single" w:sz="4" w:space="0" w:color="000000"/>
              <w:left w:val="single" w:sz="4" w:space="0" w:color="000000"/>
              <w:bottom w:val="single" w:sz="4" w:space="0" w:color="000000"/>
            </w:tcBorders>
            <w:vAlign w:val="center"/>
          </w:tcPr>
          <w:p w:rsidR="00CE38BA" w:rsidRDefault="00CE38BA">
            <w:pPr>
              <w:pStyle w:val="ab"/>
              <w:spacing w:after="0"/>
              <w:jc w:val="center"/>
              <w:rPr>
                <w:rFonts w:ascii="Times New Roman" w:hAnsi="Times New Roman" w:cs="Times New Roman"/>
                <w:sz w:val="24"/>
                <w:szCs w:val="24"/>
              </w:rPr>
            </w:pPr>
            <w:r>
              <w:rPr>
                <w:rFonts w:ascii="Times New Roman" w:hAnsi="Times New Roman" w:cs="Times New Roman"/>
                <w:sz w:val="24"/>
                <w:szCs w:val="24"/>
              </w:rPr>
              <w:t>5,3</w:t>
            </w:r>
          </w:p>
        </w:tc>
        <w:tc>
          <w:tcPr>
            <w:tcW w:w="1463" w:type="dxa"/>
            <w:tcBorders>
              <w:top w:val="single" w:sz="4" w:space="0" w:color="000000"/>
              <w:left w:val="single" w:sz="4" w:space="0" w:color="000000"/>
              <w:bottom w:val="single" w:sz="4" w:space="0" w:color="000000"/>
              <w:right w:val="single" w:sz="4" w:space="0" w:color="000000"/>
            </w:tcBorders>
            <w:vAlign w:val="center"/>
          </w:tcPr>
          <w:p w:rsidR="00CE38BA" w:rsidRDefault="00CE38BA">
            <w:pPr>
              <w:pStyle w:val="ab"/>
              <w:spacing w:after="0"/>
              <w:jc w:val="center"/>
            </w:pPr>
            <w:r>
              <w:rPr>
                <w:rFonts w:ascii="Times New Roman" w:hAnsi="Times New Roman" w:cs="Times New Roman"/>
                <w:sz w:val="24"/>
                <w:szCs w:val="24"/>
              </w:rPr>
              <w:t>0,2</w:t>
            </w:r>
          </w:p>
        </w:tc>
      </w:tr>
    </w:tbl>
    <w:p w:rsidR="00CE38BA" w:rsidRDefault="00CE38BA">
      <w:pPr>
        <w:spacing w:after="0" w:line="240" w:lineRule="auto"/>
        <w:ind w:firstLine="851"/>
        <w:jc w:val="both"/>
      </w:pP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Фактическое значение коэффициента абсолютной ликвидности в анализируемых хозяйствах  выше рекомендуемого значения  и составило 0,8. Это значит, что только 80 % краткосрочных обязательств может быть немедленно погашено за счет денежных средств и краткосрочных финансовых вложений. </w:t>
      </w:r>
    </w:p>
    <w:p w:rsidR="00CE38BA" w:rsidRDefault="00CE38BA">
      <w:pPr>
        <w:tabs>
          <w:tab w:val="left" w:pos="851"/>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Значение коэффициента быстрой ликвидности  в обеих организациях соответствует рекомендованному (в ЗАО «Кубань» - 1,2; в ФГУП «Березанское» - 0,9). Это означает, что часть текущих обязательств может быть погашена не только за счет наличности, но и за счет ожидаемых поступлений. В целом значение данного коэффициента можно назвать прогнозным, так как организация не может точно знать, когда будет погашена дебиторская задолженность.</w:t>
      </w:r>
    </w:p>
    <w:p w:rsidR="00CE38BA" w:rsidRDefault="00CE38BA">
      <w:pPr>
        <w:tabs>
          <w:tab w:val="left" w:pos="0"/>
          <w:tab w:val="left" w:pos="993"/>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Фактическое значение коэффициента текущей ликвидности  ЗАО «Кубань» составляет 5,1, в ФГУП «Березанское» - 5,3, что выше рекомендуемого значения и указывает на удовлетворительную структуру бухгалтерского баланса, платежеспособность организаций.</w:t>
      </w:r>
    </w:p>
    <w:p w:rsidR="00CE38BA" w:rsidRDefault="00CE38BA">
      <w:pPr>
        <w:tabs>
          <w:tab w:val="left" w:pos="851"/>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Оценку финансовой устойчивости исследуемых организаций дадим по трехкомпонентному показателю типа финансовой устойчивости.</w:t>
      </w:r>
    </w:p>
    <w:p w:rsidR="00CE38BA" w:rsidRDefault="00CE38BA" w:rsidP="0022027E">
      <w:pPr>
        <w:tabs>
          <w:tab w:val="left" w:pos="851"/>
          <w:tab w:val="left" w:pos="7740"/>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Абсолютные показатели финансовой устойчивости приведены в таблице 8.</w:t>
      </w:r>
    </w:p>
    <w:p w:rsidR="00CE38BA" w:rsidRDefault="00CE38BA">
      <w:pPr>
        <w:tabs>
          <w:tab w:val="left" w:pos="851"/>
          <w:tab w:val="left" w:pos="7740"/>
        </w:tabs>
        <w:spacing w:after="0" w:line="240" w:lineRule="auto"/>
        <w:ind w:left="2552" w:hanging="1701"/>
        <w:jc w:val="both"/>
        <w:rPr>
          <w:rFonts w:ascii="Times New Roman" w:hAnsi="Times New Roman" w:cs="Times New Roman"/>
          <w:sz w:val="28"/>
          <w:szCs w:val="28"/>
        </w:rPr>
      </w:pPr>
      <w:r>
        <w:rPr>
          <w:rFonts w:ascii="Times New Roman" w:hAnsi="Times New Roman" w:cs="Times New Roman"/>
          <w:sz w:val="28"/>
          <w:szCs w:val="28"/>
        </w:rPr>
        <w:t>Таблица 8 – Абсолютные показатели финансовой устойчивости за 2012 год, тыс. руб.</w:t>
      </w:r>
    </w:p>
    <w:p w:rsidR="00CE38BA" w:rsidRDefault="00CE38BA">
      <w:pPr>
        <w:spacing w:after="0" w:line="240" w:lineRule="auto"/>
        <w:ind w:firstLine="851"/>
        <w:jc w:val="both"/>
        <w:rPr>
          <w:rFonts w:ascii="Times New Roman" w:hAnsi="Times New Roman" w:cs="Times New Roman"/>
          <w:sz w:val="28"/>
          <w:szCs w:val="28"/>
        </w:rPr>
      </w:pPr>
    </w:p>
    <w:tbl>
      <w:tblPr>
        <w:tblW w:w="0" w:type="auto"/>
        <w:tblInd w:w="-20" w:type="dxa"/>
        <w:tblLayout w:type="fixed"/>
        <w:tblLook w:val="0000"/>
      </w:tblPr>
      <w:tblGrid>
        <w:gridCol w:w="3920"/>
        <w:gridCol w:w="1849"/>
        <w:gridCol w:w="1850"/>
        <w:gridCol w:w="1880"/>
      </w:tblGrid>
      <w:tr w:rsidR="00CE38BA">
        <w:trPr>
          <w:trHeight w:val="835"/>
        </w:trPr>
        <w:tc>
          <w:tcPr>
            <w:tcW w:w="392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Показатель</w:t>
            </w:r>
          </w:p>
        </w:tc>
        <w:tc>
          <w:tcPr>
            <w:tcW w:w="1849" w:type="dxa"/>
            <w:tcBorders>
              <w:top w:val="single" w:sz="4" w:space="0" w:color="000000"/>
              <w:left w:val="single" w:sz="4" w:space="0" w:color="000000"/>
              <w:bottom w:val="single" w:sz="4" w:space="0" w:color="000000"/>
            </w:tcBorders>
            <w:vAlign w:val="center"/>
          </w:tcPr>
          <w:p w:rsidR="00CE38BA" w:rsidRDefault="00CE38BA">
            <w:pPr>
              <w:ind w:left="466"/>
              <w:jc w:val="center"/>
              <w:rPr>
                <w:rFonts w:ascii="Times New Roman" w:hAnsi="Times New Roman" w:cs="Times New Roman"/>
                <w:sz w:val="24"/>
                <w:szCs w:val="24"/>
              </w:rPr>
            </w:pPr>
            <w:r>
              <w:rPr>
                <w:rFonts w:ascii="Times New Roman" w:hAnsi="Times New Roman" w:cs="Times New Roman"/>
                <w:sz w:val="24"/>
                <w:szCs w:val="24"/>
              </w:rPr>
              <w:t>ЗАО «Кубань»</w:t>
            </w:r>
          </w:p>
        </w:tc>
        <w:tc>
          <w:tcPr>
            <w:tcW w:w="1850" w:type="dxa"/>
            <w:tcBorders>
              <w:top w:val="single" w:sz="4" w:space="0" w:color="000000"/>
              <w:left w:val="single" w:sz="4" w:space="0" w:color="000000"/>
              <w:bottom w:val="single" w:sz="4" w:space="0" w:color="000000"/>
            </w:tcBorders>
            <w:vAlign w:val="center"/>
          </w:tcPr>
          <w:p w:rsidR="00CE38BA" w:rsidRDefault="00CE38BA">
            <w:pPr>
              <w:jc w:val="center"/>
              <w:rPr>
                <w:rFonts w:ascii="Times New Roman" w:hAnsi="Times New Roman" w:cs="Times New Roman"/>
                <w:sz w:val="24"/>
                <w:szCs w:val="24"/>
              </w:rPr>
            </w:pPr>
            <w:r>
              <w:rPr>
                <w:rFonts w:ascii="Times New Roman" w:hAnsi="Times New Roman" w:cs="Times New Roman"/>
                <w:sz w:val="24"/>
                <w:szCs w:val="24"/>
              </w:rPr>
              <w:t>ФГУП «Березанское»</w:t>
            </w:r>
          </w:p>
        </w:tc>
        <w:tc>
          <w:tcPr>
            <w:tcW w:w="1880" w:type="dxa"/>
            <w:tcBorders>
              <w:top w:val="single" w:sz="4" w:space="0" w:color="000000"/>
              <w:left w:val="single" w:sz="4" w:space="0" w:color="000000"/>
              <w:right w:val="single" w:sz="4" w:space="0" w:color="000000"/>
            </w:tcBorders>
          </w:tcPr>
          <w:p w:rsidR="00CE38BA" w:rsidRDefault="00CE38BA">
            <w:pPr>
              <w:pStyle w:val="ab"/>
              <w:spacing w:after="0" w:line="240" w:lineRule="auto"/>
              <w:jc w:val="center"/>
              <w:rPr>
                <w:rFonts w:ascii="Times New Roman" w:hAnsi="Times New Roman" w:cs="Times New Roman"/>
                <w:sz w:val="24"/>
                <w:szCs w:val="24"/>
              </w:rPr>
            </w:pPr>
            <w:r>
              <w:rPr>
                <w:rFonts w:ascii="Times New Roman" w:hAnsi="Times New Roman" w:cs="Times New Roman"/>
                <w:sz w:val="24"/>
                <w:szCs w:val="24"/>
              </w:rPr>
              <w:t>ФГУП «Березанское»   к ЗАО «Кубань»</w:t>
            </w:r>
          </w:p>
          <w:p w:rsidR="00CE38BA" w:rsidRDefault="00CE38BA">
            <w:pPr>
              <w:jc w:val="center"/>
              <w:rPr>
                <w:rFonts w:ascii="Times New Roman" w:hAnsi="Times New Roman" w:cs="Times New Roman"/>
                <w:sz w:val="23"/>
                <w:szCs w:val="23"/>
              </w:rPr>
            </w:pPr>
            <w:r>
              <w:rPr>
                <w:rFonts w:ascii="Times New Roman" w:hAnsi="Times New Roman" w:cs="Times New Roman"/>
                <w:sz w:val="24"/>
                <w:szCs w:val="24"/>
              </w:rPr>
              <w:t>(+, -)</w:t>
            </w:r>
          </w:p>
        </w:tc>
      </w:tr>
      <w:tr w:rsidR="00CE38BA">
        <w:tc>
          <w:tcPr>
            <w:tcW w:w="3920"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3"/>
                <w:szCs w:val="23"/>
              </w:rPr>
            </w:pPr>
            <w:r>
              <w:rPr>
                <w:rFonts w:ascii="Times New Roman" w:hAnsi="Times New Roman" w:cs="Times New Roman"/>
                <w:sz w:val="23"/>
                <w:szCs w:val="23"/>
              </w:rPr>
              <w:t>Общая величина запасов</w:t>
            </w:r>
          </w:p>
          <w:p w:rsidR="00CE38BA" w:rsidRDefault="00CE38BA">
            <w:pPr>
              <w:spacing w:after="0" w:line="240" w:lineRule="auto"/>
              <w:jc w:val="both"/>
              <w:rPr>
                <w:rFonts w:ascii="Times New Roman" w:hAnsi="Times New Roman" w:cs="Times New Roman"/>
                <w:sz w:val="23"/>
                <w:szCs w:val="23"/>
              </w:rPr>
            </w:pPr>
          </w:p>
        </w:tc>
        <w:tc>
          <w:tcPr>
            <w:tcW w:w="1849"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149289</w:t>
            </w:r>
          </w:p>
        </w:tc>
        <w:tc>
          <w:tcPr>
            <w:tcW w:w="185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165528</w:t>
            </w:r>
          </w:p>
        </w:tc>
        <w:tc>
          <w:tcPr>
            <w:tcW w:w="1880"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16239</w:t>
            </w:r>
          </w:p>
        </w:tc>
      </w:tr>
      <w:tr w:rsidR="00CE38BA">
        <w:tc>
          <w:tcPr>
            <w:tcW w:w="3920"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3"/>
                <w:szCs w:val="23"/>
              </w:rPr>
            </w:pPr>
            <w:r>
              <w:rPr>
                <w:rFonts w:ascii="Times New Roman" w:hAnsi="Times New Roman" w:cs="Times New Roman"/>
                <w:sz w:val="23"/>
                <w:szCs w:val="23"/>
              </w:rPr>
              <w:t>Собственные оборотные средства</w:t>
            </w:r>
          </w:p>
        </w:tc>
        <w:tc>
          <w:tcPr>
            <w:tcW w:w="1849"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-14583</w:t>
            </w:r>
          </w:p>
        </w:tc>
        <w:tc>
          <w:tcPr>
            <w:tcW w:w="185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160583</w:t>
            </w:r>
          </w:p>
        </w:tc>
        <w:tc>
          <w:tcPr>
            <w:tcW w:w="1880"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175166</w:t>
            </w:r>
          </w:p>
        </w:tc>
      </w:tr>
      <w:tr w:rsidR="00CE38BA">
        <w:tc>
          <w:tcPr>
            <w:tcW w:w="3920"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3"/>
                <w:szCs w:val="23"/>
              </w:rPr>
            </w:pPr>
            <w:r>
              <w:rPr>
                <w:rFonts w:ascii="Times New Roman" w:hAnsi="Times New Roman" w:cs="Times New Roman"/>
                <w:sz w:val="23"/>
                <w:szCs w:val="23"/>
              </w:rPr>
              <w:t>Величина собственных оборотных и долгосрочных заемных средств, используемых для финансирования запасов</w:t>
            </w:r>
          </w:p>
        </w:tc>
        <w:tc>
          <w:tcPr>
            <w:tcW w:w="1849"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155364</w:t>
            </w:r>
          </w:p>
        </w:tc>
        <w:tc>
          <w:tcPr>
            <w:tcW w:w="185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160583</w:t>
            </w:r>
          </w:p>
        </w:tc>
        <w:tc>
          <w:tcPr>
            <w:tcW w:w="1880"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5219</w:t>
            </w:r>
          </w:p>
        </w:tc>
      </w:tr>
      <w:tr w:rsidR="00CE38BA">
        <w:tc>
          <w:tcPr>
            <w:tcW w:w="3920"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3"/>
                <w:szCs w:val="23"/>
              </w:rPr>
            </w:pPr>
            <w:r>
              <w:rPr>
                <w:rFonts w:ascii="Times New Roman" w:hAnsi="Times New Roman" w:cs="Times New Roman"/>
                <w:sz w:val="23"/>
                <w:szCs w:val="23"/>
              </w:rPr>
              <w:t>Общая величина источников финансирования</w:t>
            </w:r>
          </w:p>
        </w:tc>
        <w:tc>
          <w:tcPr>
            <w:tcW w:w="1849"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193188</w:t>
            </w:r>
          </w:p>
        </w:tc>
        <w:tc>
          <w:tcPr>
            <w:tcW w:w="185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197555</w:t>
            </w:r>
          </w:p>
        </w:tc>
        <w:tc>
          <w:tcPr>
            <w:tcW w:w="1880"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4367</w:t>
            </w:r>
          </w:p>
        </w:tc>
      </w:tr>
      <w:tr w:rsidR="00CE38BA">
        <w:tc>
          <w:tcPr>
            <w:tcW w:w="3920"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3"/>
                <w:szCs w:val="23"/>
              </w:rPr>
            </w:pPr>
            <w:r>
              <w:rPr>
                <w:rFonts w:ascii="Times New Roman" w:hAnsi="Times New Roman" w:cs="Times New Roman"/>
                <w:sz w:val="23"/>
                <w:szCs w:val="23"/>
              </w:rPr>
              <w:t>Излишек (+), недостаток (-) собственных оборотных средств</w:t>
            </w:r>
          </w:p>
        </w:tc>
        <w:tc>
          <w:tcPr>
            <w:tcW w:w="1849"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-163872</w:t>
            </w:r>
          </w:p>
        </w:tc>
        <w:tc>
          <w:tcPr>
            <w:tcW w:w="185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-4945</w:t>
            </w:r>
          </w:p>
        </w:tc>
        <w:tc>
          <w:tcPr>
            <w:tcW w:w="1880"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158927</w:t>
            </w:r>
          </w:p>
        </w:tc>
      </w:tr>
      <w:tr w:rsidR="00CE38BA">
        <w:tc>
          <w:tcPr>
            <w:tcW w:w="3920"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3"/>
                <w:szCs w:val="23"/>
              </w:rPr>
            </w:pPr>
            <w:r>
              <w:rPr>
                <w:rFonts w:ascii="Times New Roman" w:hAnsi="Times New Roman" w:cs="Times New Roman"/>
                <w:sz w:val="23"/>
                <w:szCs w:val="23"/>
              </w:rPr>
              <w:t>Излишек (+), недостаток (-) собственных и долгосрочных заемных источников финансирования</w:t>
            </w:r>
          </w:p>
        </w:tc>
        <w:tc>
          <w:tcPr>
            <w:tcW w:w="1849"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6075</w:t>
            </w:r>
          </w:p>
        </w:tc>
        <w:tc>
          <w:tcPr>
            <w:tcW w:w="185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-4945</w:t>
            </w:r>
          </w:p>
        </w:tc>
        <w:tc>
          <w:tcPr>
            <w:tcW w:w="1880"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-11020</w:t>
            </w:r>
          </w:p>
        </w:tc>
      </w:tr>
      <w:tr w:rsidR="00CE38BA">
        <w:tc>
          <w:tcPr>
            <w:tcW w:w="3920"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3"/>
                <w:szCs w:val="23"/>
              </w:rPr>
            </w:pPr>
            <w:r>
              <w:rPr>
                <w:rFonts w:ascii="Times New Roman" w:hAnsi="Times New Roman" w:cs="Times New Roman"/>
                <w:sz w:val="23"/>
                <w:szCs w:val="23"/>
              </w:rPr>
              <w:t>Излишек (+), недостаток (-) общей величины источников формирования запасов</w:t>
            </w:r>
          </w:p>
        </w:tc>
        <w:tc>
          <w:tcPr>
            <w:tcW w:w="1849"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43899</w:t>
            </w:r>
          </w:p>
        </w:tc>
        <w:tc>
          <w:tcPr>
            <w:tcW w:w="185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32027</w:t>
            </w:r>
          </w:p>
        </w:tc>
        <w:tc>
          <w:tcPr>
            <w:tcW w:w="1880"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-11872</w:t>
            </w:r>
          </w:p>
        </w:tc>
      </w:tr>
      <w:tr w:rsidR="00CE38BA">
        <w:tc>
          <w:tcPr>
            <w:tcW w:w="3920"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3"/>
                <w:szCs w:val="23"/>
              </w:rPr>
            </w:pPr>
            <w:r>
              <w:rPr>
                <w:rFonts w:ascii="Times New Roman" w:hAnsi="Times New Roman" w:cs="Times New Roman"/>
                <w:sz w:val="23"/>
                <w:szCs w:val="23"/>
              </w:rPr>
              <w:t>Тип финансовой устойчивости</w:t>
            </w:r>
          </w:p>
        </w:tc>
        <w:tc>
          <w:tcPr>
            <w:tcW w:w="1849"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3"/>
                <w:szCs w:val="23"/>
              </w:rPr>
              <w:t>предкризисная</w:t>
            </w:r>
          </w:p>
        </w:tc>
        <w:tc>
          <w:tcPr>
            <w:tcW w:w="1850"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нормальная</w:t>
            </w:r>
          </w:p>
        </w:tc>
        <w:tc>
          <w:tcPr>
            <w:tcW w:w="1880" w:type="dxa"/>
            <w:tcBorders>
              <w:top w:val="single" w:sz="4" w:space="0" w:color="000000"/>
              <w:left w:val="single" w:sz="4" w:space="0" w:color="000000"/>
              <w:bottom w:val="single" w:sz="4" w:space="0" w:color="000000"/>
              <w:right w:val="single" w:sz="4" w:space="0" w:color="000000"/>
            </w:tcBorders>
          </w:tcPr>
          <w:p w:rsidR="00CE38BA" w:rsidRDefault="00CE38BA">
            <w:pPr>
              <w:spacing w:after="0" w:line="240" w:lineRule="auto"/>
              <w:jc w:val="center"/>
            </w:pPr>
            <w:r>
              <w:rPr>
                <w:rFonts w:ascii="Times New Roman" w:hAnsi="Times New Roman" w:cs="Times New Roman"/>
                <w:sz w:val="24"/>
                <w:szCs w:val="24"/>
              </w:rPr>
              <w:t>х</w:t>
            </w:r>
          </w:p>
        </w:tc>
      </w:tr>
    </w:tbl>
    <w:p w:rsidR="00CE38BA" w:rsidRDefault="00CE38BA">
      <w:pPr>
        <w:spacing w:after="0" w:line="240" w:lineRule="auto"/>
        <w:ind w:firstLine="851"/>
        <w:jc w:val="both"/>
      </w:pP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Анализ абсолютных показателей финансовой устойчивости  ФГУП «Березанское» за 2012 год характеризует финансовую устойчивость организации как нормальную. Возможность обеспечить запасы источниками финансирования организация получает с помощью собственных оборотных средств и краткосрочных заемных источников.</w:t>
      </w:r>
    </w:p>
    <w:p w:rsidR="00CE38BA" w:rsidRDefault="00CE38BA">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В ЗАО «Кубань» в 2012 году отсутствовали собственные оборотные средства, поэтому покрыть всю имеющуюся сумму запасов было возможно только с помощью привлеченных средств.</w:t>
      </w:r>
    </w:p>
    <w:p w:rsidR="00CE38BA" w:rsidRDefault="00CE38BA">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По мнению профессора А.Г. Прудникова, для оценки финансовой устойчивости организации должны принимать во внимание только два источника финансирования запасов: собственные оборотные средства, краткосрочные кредиты и займы. Долгосрочные кредиты и займы использовать для оценки финансовой устойчивости в качестве источника финансирования запасов некорректно, так как они предназначены  для инвестирования только внеоборотных активов [3].</w:t>
      </w:r>
    </w:p>
    <w:p w:rsidR="00CE38BA" w:rsidRDefault="00CE38BA">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Точность оценки финансовой устойчивости сельскохозяйственной организации во многом зависит от стоимости запасов. При этом при анализе финансовой устойчивости в оценке запасов не должно учитываться незавершенное производство в растениеводстве и животноводстве на конец года, так как оно является частью себестоимости продукции будущего периода, следующего за отчетным [1].</w:t>
      </w:r>
    </w:p>
    <w:p w:rsidR="00CE38BA" w:rsidRDefault="00CE38BA">
      <w:pPr>
        <w:shd w:val="clear" w:color="auto" w:fill="FFFFFF"/>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Анализ абсолютных показателей по предлагаемой методике приведен в таблице 9.</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Так как при использовании этой методики мы в составе запасов не учитываем затраты в незавершенном производстве, то нам необходимо распределить сумму кредитов и займов на незавершенное производство и объем запасов на незавершенное производство.</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ЗАО «Кубань»:  сумма кредитных средств на один рубль запасов составляет 0,2534 (37824:149289), тогда величина кредитов, приходящаяся на запасы без незавершенного производства равна 12691 тыс. руб. (50082*0,2534);</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ФГУП «Березанское»: сумма кредитных средств на один рубль запасов составляет 0,2234 (36972:165528), тогда величина кредитов, приходящаяся на запасы без незавершенного производства равна 11346 тыс.руб. (50788*0,2234).</w:t>
      </w:r>
    </w:p>
    <w:p w:rsidR="00CE38BA" w:rsidRDefault="00CE38BA">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По апробированной нами методике мы также определили тип финансовой устойчивости в ЗАО «Кубань» как предкризисную. В организации недостаток собственных оборотных средств.</w:t>
      </w:r>
    </w:p>
    <w:p w:rsidR="00CE38BA" w:rsidRDefault="00CE38BA">
      <w:pPr>
        <w:shd w:val="clear" w:color="auto" w:fill="FFFFFF"/>
        <w:spacing w:after="0" w:line="240" w:lineRule="auto"/>
        <w:ind w:left="2694" w:hanging="1843"/>
        <w:jc w:val="both"/>
        <w:rPr>
          <w:rFonts w:ascii="Times New Roman" w:hAnsi="Times New Roman" w:cs="Times New Roman"/>
          <w:sz w:val="28"/>
          <w:szCs w:val="28"/>
        </w:rPr>
      </w:pPr>
    </w:p>
    <w:p w:rsidR="00CE38BA" w:rsidRDefault="00CE38BA">
      <w:pPr>
        <w:shd w:val="clear" w:color="auto" w:fill="FFFFFF"/>
        <w:spacing w:after="0" w:line="240" w:lineRule="auto"/>
        <w:ind w:left="2694" w:hanging="1843"/>
        <w:jc w:val="both"/>
        <w:rPr>
          <w:rFonts w:ascii="Times New Roman" w:hAnsi="Times New Roman" w:cs="Times New Roman"/>
          <w:sz w:val="28"/>
          <w:szCs w:val="28"/>
        </w:rPr>
      </w:pPr>
    </w:p>
    <w:p w:rsidR="00CE38BA" w:rsidRDefault="00CE38BA" w:rsidP="00281F89">
      <w:pPr>
        <w:shd w:val="clear" w:color="auto" w:fill="FFFFFF"/>
        <w:spacing w:after="0" w:line="240" w:lineRule="auto"/>
        <w:ind w:left="2410" w:hanging="1559"/>
        <w:jc w:val="both"/>
        <w:rPr>
          <w:rFonts w:ascii="Times New Roman" w:hAnsi="Times New Roman" w:cs="Times New Roman"/>
          <w:sz w:val="28"/>
          <w:szCs w:val="28"/>
        </w:rPr>
      </w:pPr>
      <w:r>
        <w:rPr>
          <w:rFonts w:ascii="Times New Roman" w:hAnsi="Times New Roman" w:cs="Times New Roman"/>
          <w:sz w:val="28"/>
          <w:szCs w:val="28"/>
        </w:rPr>
        <w:t xml:space="preserve">Таблица 9 – Абсолютные показатели финансовой устойчивости за 2012 год, предлагаемая методика, тыс. руб. </w:t>
      </w:r>
    </w:p>
    <w:p w:rsidR="00CE38BA" w:rsidRDefault="00CE38BA">
      <w:pPr>
        <w:shd w:val="clear" w:color="auto" w:fill="FFFFFF"/>
        <w:spacing w:after="0" w:line="240" w:lineRule="auto"/>
        <w:ind w:left="2694" w:hanging="1843"/>
        <w:jc w:val="both"/>
        <w:rPr>
          <w:rFonts w:ascii="Times New Roman" w:hAnsi="Times New Roman" w:cs="Times New Roman"/>
          <w:sz w:val="28"/>
          <w:szCs w:val="28"/>
        </w:rPr>
      </w:pPr>
    </w:p>
    <w:tbl>
      <w:tblPr>
        <w:tblW w:w="0" w:type="auto"/>
        <w:tblInd w:w="-15" w:type="dxa"/>
        <w:tblLayout w:type="fixed"/>
        <w:tblLook w:val="0000"/>
      </w:tblPr>
      <w:tblGrid>
        <w:gridCol w:w="3936"/>
        <w:gridCol w:w="1752"/>
        <w:gridCol w:w="1752"/>
        <w:gridCol w:w="1782"/>
      </w:tblGrid>
      <w:tr w:rsidR="00CE38BA">
        <w:trPr>
          <w:trHeight w:val="835"/>
        </w:trPr>
        <w:tc>
          <w:tcPr>
            <w:tcW w:w="3936"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Показатель</w:t>
            </w:r>
          </w:p>
        </w:tc>
        <w:tc>
          <w:tcPr>
            <w:tcW w:w="1752" w:type="dxa"/>
            <w:tcBorders>
              <w:top w:val="single" w:sz="4" w:space="0" w:color="000000"/>
              <w:left w:val="single" w:sz="4" w:space="0" w:color="000000"/>
              <w:bottom w:val="single" w:sz="4" w:space="0" w:color="000000"/>
            </w:tcBorders>
            <w:vAlign w:val="center"/>
          </w:tcPr>
          <w:p w:rsidR="00CE38BA" w:rsidRDefault="00CE38BA">
            <w:pPr>
              <w:ind w:left="466"/>
              <w:jc w:val="center"/>
              <w:rPr>
                <w:rFonts w:ascii="Times New Roman" w:hAnsi="Times New Roman" w:cs="Times New Roman"/>
                <w:sz w:val="24"/>
                <w:szCs w:val="24"/>
              </w:rPr>
            </w:pPr>
            <w:r>
              <w:rPr>
                <w:rFonts w:ascii="Times New Roman" w:hAnsi="Times New Roman" w:cs="Times New Roman"/>
                <w:sz w:val="24"/>
                <w:szCs w:val="24"/>
              </w:rPr>
              <w:t>ЗАО «Кубань»</w:t>
            </w:r>
          </w:p>
        </w:tc>
        <w:tc>
          <w:tcPr>
            <w:tcW w:w="1752" w:type="dxa"/>
            <w:tcBorders>
              <w:top w:val="single" w:sz="4" w:space="0" w:color="000000"/>
              <w:left w:val="single" w:sz="4" w:space="0" w:color="000000"/>
              <w:bottom w:val="single" w:sz="4" w:space="0" w:color="000000"/>
            </w:tcBorders>
            <w:vAlign w:val="center"/>
          </w:tcPr>
          <w:p w:rsidR="00CE38BA" w:rsidRDefault="00CE38BA">
            <w:pPr>
              <w:jc w:val="center"/>
              <w:rPr>
                <w:rFonts w:ascii="Times New Roman" w:hAnsi="Times New Roman" w:cs="Times New Roman"/>
                <w:sz w:val="24"/>
                <w:szCs w:val="24"/>
              </w:rPr>
            </w:pPr>
            <w:r>
              <w:rPr>
                <w:rFonts w:ascii="Times New Roman" w:hAnsi="Times New Roman" w:cs="Times New Roman"/>
                <w:sz w:val="24"/>
                <w:szCs w:val="24"/>
              </w:rPr>
              <w:t>ФГУП «Березанское»</w:t>
            </w:r>
          </w:p>
        </w:tc>
        <w:tc>
          <w:tcPr>
            <w:tcW w:w="1782" w:type="dxa"/>
            <w:tcBorders>
              <w:top w:val="single" w:sz="4" w:space="0" w:color="000000"/>
              <w:left w:val="single" w:sz="4" w:space="0" w:color="000000"/>
              <w:bottom w:val="single" w:sz="4" w:space="0" w:color="000000"/>
              <w:right w:val="single" w:sz="4" w:space="0" w:color="000000"/>
            </w:tcBorders>
          </w:tcPr>
          <w:p w:rsidR="00CE38BA" w:rsidRDefault="00CE38BA">
            <w:pPr>
              <w:pStyle w:val="ab"/>
              <w:spacing w:after="0" w:line="240" w:lineRule="auto"/>
              <w:jc w:val="center"/>
              <w:rPr>
                <w:rFonts w:ascii="Times New Roman" w:hAnsi="Times New Roman" w:cs="Times New Roman"/>
                <w:sz w:val="24"/>
                <w:szCs w:val="24"/>
              </w:rPr>
            </w:pPr>
            <w:r>
              <w:rPr>
                <w:rFonts w:ascii="Times New Roman" w:hAnsi="Times New Roman" w:cs="Times New Roman"/>
                <w:sz w:val="24"/>
                <w:szCs w:val="24"/>
              </w:rPr>
              <w:t>ФГУП «Березанское»  к ЗАО «Кубань»</w:t>
            </w:r>
          </w:p>
          <w:p w:rsidR="00CE38BA" w:rsidRDefault="00CE38BA">
            <w:pPr>
              <w:spacing w:line="240" w:lineRule="auto"/>
              <w:jc w:val="center"/>
              <w:rPr>
                <w:rFonts w:ascii="Times New Roman" w:hAnsi="Times New Roman" w:cs="Times New Roman"/>
                <w:sz w:val="24"/>
                <w:szCs w:val="24"/>
              </w:rPr>
            </w:pPr>
            <w:r>
              <w:rPr>
                <w:rFonts w:ascii="Times New Roman" w:hAnsi="Times New Roman" w:cs="Times New Roman"/>
                <w:sz w:val="24"/>
                <w:szCs w:val="24"/>
              </w:rPr>
              <w:t>(+, -)</w:t>
            </w:r>
          </w:p>
        </w:tc>
      </w:tr>
      <w:tr w:rsidR="00CE38BA">
        <w:tc>
          <w:tcPr>
            <w:tcW w:w="3936"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величина запасов</w:t>
            </w:r>
          </w:p>
          <w:p w:rsidR="00CE38BA" w:rsidRDefault="00CE38BA">
            <w:pPr>
              <w:spacing w:after="0" w:line="240" w:lineRule="auto"/>
              <w:jc w:val="both"/>
              <w:rPr>
                <w:rFonts w:ascii="Times New Roman" w:hAnsi="Times New Roman" w:cs="Times New Roman"/>
                <w:sz w:val="24"/>
                <w:szCs w:val="24"/>
              </w:rPr>
            </w:pPr>
          </w:p>
        </w:tc>
        <w:tc>
          <w:tcPr>
            <w:tcW w:w="1752"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149289</w:t>
            </w:r>
          </w:p>
        </w:tc>
        <w:tc>
          <w:tcPr>
            <w:tcW w:w="1752"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165528</w:t>
            </w:r>
          </w:p>
        </w:tc>
        <w:tc>
          <w:tcPr>
            <w:tcW w:w="1782"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16239</w:t>
            </w:r>
          </w:p>
        </w:tc>
      </w:tr>
      <w:tr w:rsidR="00CE38BA">
        <w:tc>
          <w:tcPr>
            <w:tcW w:w="3936"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Незавершенное производство</w:t>
            </w:r>
          </w:p>
        </w:tc>
        <w:tc>
          <w:tcPr>
            <w:tcW w:w="1752"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99207</w:t>
            </w:r>
          </w:p>
        </w:tc>
        <w:tc>
          <w:tcPr>
            <w:tcW w:w="1752"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114740</w:t>
            </w:r>
          </w:p>
        </w:tc>
        <w:tc>
          <w:tcPr>
            <w:tcW w:w="1782"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15533</w:t>
            </w:r>
          </w:p>
        </w:tc>
      </w:tr>
      <w:tr w:rsidR="00CE38BA">
        <w:tc>
          <w:tcPr>
            <w:tcW w:w="3936"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Величина запасов без незавершенного производства</w:t>
            </w:r>
          </w:p>
        </w:tc>
        <w:tc>
          <w:tcPr>
            <w:tcW w:w="1752"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50082</w:t>
            </w:r>
          </w:p>
        </w:tc>
        <w:tc>
          <w:tcPr>
            <w:tcW w:w="1752"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50788</w:t>
            </w:r>
          </w:p>
        </w:tc>
        <w:tc>
          <w:tcPr>
            <w:tcW w:w="1782"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706</w:t>
            </w:r>
          </w:p>
        </w:tc>
      </w:tr>
      <w:tr w:rsidR="00CE38BA">
        <w:tc>
          <w:tcPr>
            <w:tcW w:w="3936"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3"/>
                <w:szCs w:val="23"/>
              </w:rPr>
            </w:pPr>
            <w:r>
              <w:rPr>
                <w:rFonts w:ascii="Times New Roman" w:hAnsi="Times New Roman" w:cs="Times New Roman"/>
                <w:sz w:val="24"/>
                <w:szCs w:val="24"/>
              </w:rPr>
              <w:t>Собственные оборотные средства</w:t>
            </w:r>
          </w:p>
        </w:tc>
        <w:tc>
          <w:tcPr>
            <w:tcW w:w="1752"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3"/>
                <w:szCs w:val="23"/>
              </w:rPr>
              <w:t>-14583</w:t>
            </w:r>
          </w:p>
        </w:tc>
        <w:tc>
          <w:tcPr>
            <w:tcW w:w="1752"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160583</w:t>
            </w:r>
          </w:p>
        </w:tc>
        <w:tc>
          <w:tcPr>
            <w:tcW w:w="1782"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175166</w:t>
            </w:r>
          </w:p>
        </w:tc>
      </w:tr>
      <w:tr w:rsidR="00CE38BA">
        <w:tc>
          <w:tcPr>
            <w:tcW w:w="3936"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Величина собственных оборотных и краткосрочных заемных средств, используемых для финансирования запасов без незавершенного производства</w:t>
            </w:r>
          </w:p>
        </w:tc>
        <w:tc>
          <w:tcPr>
            <w:tcW w:w="1752"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-1892</w:t>
            </w:r>
          </w:p>
        </w:tc>
        <w:tc>
          <w:tcPr>
            <w:tcW w:w="1752"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171929</w:t>
            </w:r>
          </w:p>
        </w:tc>
        <w:tc>
          <w:tcPr>
            <w:tcW w:w="1782"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173821</w:t>
            </w:r>
          </w:p>
        </w:tc>
      </w:tr>
      <w:tr w:rsidR="00CE38BA">
        <w:tc>
          <w:tcPr>
            <w:tcW w:w="3936"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Излишек (+), недостаток (-) собственных оборотных средств</w:t>
            </w:r>
          </w:p>
        </w:tc>
        <w:tc>
          <w:tcPr>
            <w:tcW w:w="1752"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-64665</w:t>
            </w:r>
          </w:p>
        </w:tc>
        <w:tc>
          <w:tcPr>
            <w:tcW w:w="1752"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109795</w:t>
            </w:r>
          </w:p>
        </w:tc>
        <w:tc>
          <w:tcPr>
            <w:tcW w:w="1782"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174460</w:t>
            </w:r>
          </w:p>
        </w:tc>
      </w:tr>
      <w:tr w:rsidR="00CE38BA">
        <w:tc>
          <w:tcPr>
            <w:tcW w:w="3936"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Излишек (+), недостаток (-) собственных краткосрочных заемных средств</w:t>
            </w:r>
          </w:p>
        </w:tc>
        <w:tc>
          <w:tcPr>
            <w:tcW w:w="1752"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-51974</w:t>
            </w:r>
          </w:p>
        </w:tc>
        <w:tc>
          <w:tcPr>
            <w:tcW w:w="1752"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121141</w:t>
            </w:r>
          </w:p>
        </w:tc>
        <w:tc>
          <w:tcPr>
            <w:tcW w:w="1782" w:type="dxa"/>
            <w:tcBorders>
              <w:top w:val="single" w:sz="4" w:space="0" w:color="000000"/>
              <w:left w:val="single" w:sz="4" w:space="0" w:color="000000"/>
              <w:bottom w:val="single" w:sz="4" w:space="0" w:color="000000"/>
              <w:right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173115</w:t>
            </w:r>
          </w:p>
        </w:tc>
      </w:tr>
      <w:tr w:rsidR="00CE38BA">
        <w:tc>
          <w:tcPr>
            <w:tcW w:w="3936" w:type="dxa"/>
            <w:tcBorders>
              <w:top w:val="single" w:sz="4" w:space="0" w:color="000000"/>
              <w:left w:val="single" w:sz="4" w:space="0" w:color="000000"/>
              <w:bottom w:val="single" w:sz="4" w:space="0" w:color="000000"/>
            </w:tcBorders>
          </w:tcPr>
          <w:p w:rsidR="00CE38BA" w:rsidRDefault="00CE38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финансовой устойчивости</w:t>
            </w:r>
          </w:p>
        </w:tc>
        <w:tc>
          <w:tcPr>
            <w:tcW w:w="1752"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предкризисная</w:t>
            </w:r>
          </w:p>
        </w:tc>
        <w:tc>
          <w:tcPr>
            <w:tcW w:w="1752" w:type="dxa"/>
            <w:tcBorders>
              <w:top w:val="single" w:sz="4" w:space="0" w:color="000000"/>
              <w:left w:val="single" w:sz="4" w:space="0" w:color="000000"/>
              <w:bottom w:val="single" w:sz="4" w:space="0" w:color="000000"/>
            </w:tcBorders>
            <w:vAlign w:val="center"/>
          </w:tcPr>
          <w:p w:rsidR="00CE38BA" w:rsidRDefault="00CE38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абсолютная</w:t>
            </w:r>
          </w:p>
        </w:tc>
        <w:tc>
          <w:tcPr>
            <w:tcW w:w="1782" w:type="dxa"/>
            <w:tcBorders>
              <w:top w:val="single" w:sz="4" w:space="0" w:color="000000"/>
              <w:left w:val="single" w:sz="4" w:space="0" w:color="000000"/>
              <w:bottom w:val="single" w:sz="4" w:space="0" w:color="000000"/>
              <w:right w:val="single" w:sz="4" w:space="0" w:color="000000"/>
            </w:tcBorders>
          </w:tcPr>
          <w:p w:rsidR="00CE38BA" w:rsidRDefault="00CE38BA">
            <w:pPr>
              <w:spacing w:after="0" w:line="240" w:lineRule="auto"/>
              <w:jc w:val="center"/>
            </w:pPr>
            <w:r>
              <w:rPr>
                <w:rFonts w:ascii="Times New Roman" w:hAnsi="Times New Roman" w:cs="Times New Roman"/>
                <w:sz w:val="24"/>
                <w:szCs w:val="24"/>
              </w:rPr>
              <w:t>х</w:t>
            </w:r>
          </w:p>
        </w:tc>
      </w:tr>
    </w:tbl>
    <w:p w:rsidR="00CE38BA" w:rsidRDefault="00CE38BA">
      <w:pPr>
        <w:shd w:val="clear" w:color="auto" w:fill="FFFFFF"/>
        <w:spacing w:after="0" w:line="240" w:lineRule="auto"/>
        <w:ind w:left="2694" w:hanging="1843"/>
        <w:jc w:val="both"/>
      </w:pPr>
    </w:p>
    <w:p w:rsidR="00CE38BA" w:rsidRDefault="00CE38BA">
      <w:pPr>
        <w:spacing w:after="0" w:line="360" w:lineRule="auto"/>
        <w:ind w:firstLine="851"/>
        <w:jc w:val="both"/>
      </w:pP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Результаты применения предлагаемой методики оценки финансовой устойчивости  ФГУП «Березанское» отличаются от результата, полученного при применении традиционной методики. Оценка финансовой устойчивости по предлагаемой методики показывает, что собственных источников финансирования достаточно для осуществления текущей деятельности ФГУП «Березанское».</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Таким образом, более точную оценку финансовой устойчивости дает сравнение стоимости запасов и затрат без стоимости незавершенного производства в животноводстве и растениеводстве с:</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суммой собственных оборотных средств;</w:t>
      </w:r>
    </w:p>
    <w:p w:rsidR="00CE38BA" w:rsidRDefault="00CE38B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суммой собственных оборотных средств и краткосрочных кредитов и займов.</w:t>
      </w:r>
    </w:p>
    <w:p w:rsidR="00CE38BA" w:rsidRDefault="00CE38BA">
      <w:pPr>
        <w:spacing w:after="0" w:line="360" w:lineRule="auto"/>
        <w:ind w:firstLine="851"/>
        <w:jc w:val="both"/>
        <w:rPr>
          <w:rFonts w:ascii="Times New Roman" w:eastAsia="TimesNewRoman" w:hAnsi="Times New Roman" w:cs="Times New Roman"/>
          <w:sz w:val="28"/>
          <w:szCs w:val="28"/>
          <w:lang w:eastAsia="ru-RU"/>
        </w:rPr>
      </w:pPr>
      <w:r>
        <w:rPr>
          <w:rFonts w:ascii="Times New Roman" w:hAnsi="Times New Roman" w:cs="Times New Roman"/>
          <w:sz w:val="28"/>
          <w:szCs w:val="28"/>
        </w:rPr>
        <w:t>Подводя итог проведенному анализу отдельных  сельскохозяйственных организаций Кореновского района, можно признать  их финансовое состояние как удовлетворительное.</w:t>
      </w:r>
    </w:p>
    <w:p w:rsidR="00CE38BA" w:rsidRDefault="00CE38BA">
      <w:pPr>
        <w:spacing w:after="0" w:line="360" w:lineRule="auto"/>
        <w:ind w:firstLine="851"/>
        <w:jc w:val="both"/>
        <w:rPr>
          <w:sz w:val="28"/>
          <w:szCs w:val="28"/>
        </w:rPr>
      </w:pPr>
      <w:r>
        <w:rPr>
          <w:rFonts w:ascii="Times New Roman" w:eastAsia="TimesNewRoman" w:hAnsi="Times New Roman" w:cs="Times New Roman"/>
          <w:sz w:val="28"/>
          <w:szCs w:val="28"/>
          <w:lang w:eastAsia="ru-RU"/>
        </w:rPr>
        <w:t>В целях повышения финансовой устойчивости предлагается технически совершенствовать основные производственные фонды с помощью реконструкции, модернизации оборудования за счет дополнительного привлечения долгосрочных заемных средств. Необходимо совершенствовать управление запасами, для увеличения скорости оборота можно предложить реализовать залежалые и не пользующиеся спросом запасы по сниженным ценам.  Кроме этого, необходимо уменьшать затраты, что приведет к  увеличению прибыли, а значит, повысит рентабельность собственного капитала, что в конечном итоге приведет к повышению финансовой устойчивости предприятия.</w:t>
      </w:r>
    </w:p>
    <w:p w:rsidR="00CE38BA" w:rsidRDefault="00CE38BA">
      <w:pPr>
        <w:spacing w:line="360" w:lineRule="auto"/>
        <w:ind w:firstLine="720"/>
        <w:jc w:val="both"/>
        <w:rPr>
          <w:sz w:val="28"/>
          <w:szCs w:val="28"/>
        </w:rPr>
      </w:pPr>
    </w:p>
    <w:p w:rsidR="00CE38BA" w:rsidRDefault="00CE38BA" w:rsidP="008C52C5">
      <w:pPr>
        <w:spacing w:after="0" w:line="240" w:lineRule="auto"/>
        <w:ind w:firstLine="567"/>
        <w:jc w:val="both"/>
        <w:rPr>
          <w:rFonts w:ascii="Times New Roman" w:hAnsi="Times New Roman" w:cs="Times New Roman"/>
          <w:b/>
          <w:sz w:val="24"/>
          <w:szCs w:val="24"/>
          <w:lang w:val="en-US"/>
        </w:rPr>
      </w:pPr>
      <w:r w:rsidRPr="008C52C5">
        <w:rPr>
          <w:rFonts w:ascii="Times New Roman" w:hAnsi="Times New Roman" w:cs="Times New Roman"/>
          <w:b/>
          <w:sz w:val="24"/>
          <w:szCs w:val="24"/>
        </w:rPr>
        <w:t>СПИСОК</w:t>
      </w:r>
      <w:r>
        <w:rPr>
          <w:rFonts w:ascii="Times New Roman" w:hAnsi="Times New Roman" w:cs="Times New Roman"/>
          <w:b/>
          <w:sz w:val="24"/>
          <w:szCs w:val="24"/>
        </w:rPr>
        <w:t xml:space="preserve"> ЛИТЕРАТУРЫ</w:t>
      </w:r>
    </w:p>
    <w:p w:rsidR="00CE38BA" w:rsidRPr="00306162" w:rsidRDefault="00CE38BA" w:rsidP="008C52C5">
      <w:pPr>
        <w:spacing w:after="0" w:line="240" w:lineRule="auto"/>
        <w:ind w:firstLine="567"/>
        <w:jc w:val="both"/>
        <w:rPr>
          <w:rFonts w:ascii="Times New Roman" w:hAnsi="Times New Roman" w:cs="Times New Roman"/>
          <w:sz w:val="24"/>
          <w:szCs w:val="24"/>
          <w:lang w:val="en-US"/>
        </w:rPr>
      </w:pPr>
    </w:p>
    <w:p w:rsidR="00CE38BA" w:rsidRPr="008C52C5" w:rsidRDefault="00CE38BA" w:rsidP="00306162">
      <w:pPr>
        <w:numPr>
          <w:ilvl w:val="0"/>
          <w:numId w:val="2"/>
        </w:numPr>
        <w:spacing w:after="0" w:line="240" w:lineRule="auto"/>
        <w:jc w:val="both"/>
        <w:rPr>
          <w:rFonts w:ascii="Times New Roman" w:hAnsi="Times New Roman" w:cs="Times New Roman"/>
          <w:sz w:val="24"/>
          <w:szCs w:val="24"/>
        </w:rPr>
      </w:pPr>
      <w:r w:rsidRPr="008C52C5">
        <w:rPr>
          <w:rFonts w:ascii="Times New Roman" w:hAnsi="Times New Roman" w:cs="Times New Roman"/>
          <w:sz w:val="24"/>
          <w:szCs w:val="24"/>
        </w:rPr>
        <w:t>Донцова Л.В. Анализ финансовой отчетности: учеб.</w:t>
      </w:r>
      <w:r>
        <w:rPr>
          <w:rFonts w:ascii="Times New Roman" w:hAnsi="Times New Roman" w:cs="Times New Roman"/>
          <w:sz w:val="24"/>
          <w:szCs w:val="24"/>
        </w:rPr>
        <w:t xml:space="preserve"> </w:t>
      </w:r>
      <w:r w:rsidRPr="008C52C5">
        <w:rPr>
          <w:rFonts w:ascii="Times New Roman" w:hAnsi="Times New Roman" w:cs="Times New Roman"/>
          <w:sz w:val="24"/>
          <w:szCs w:val="24"/>
        </w:rPr>
        <w:t>пособие/ Л.В.Донцова, Н.А.Никифорова – М.: Издательство «Дело и Сервис», 2010. – 336 с.</w:t>
      </w:r>
    </w:p>
    <w:p w:rsidR="00CE38BA" w:rsidRPr="008C52C5" w:rsidRDefault="00CE38BA" w:rsidP="008C52C5">
      <w:pPr>
        <w:numPr>
          <w:ilvl w:val="0"/>
          <w:numId w:val="2"/>
        </w:numPr>
        <w:spacing w:after="0" w:line="240" w:lineRule="auto"/>
        <w:ind w:left="0" w:firstLine="567"/>
        <w:jc w:val="both"/>
        <w:rPr>
          <w:rFonts w:ascii="Times New Roman" w:hAnsi="Times New Roman" w:cs="Times New Roman"/>
          <w:sz w:val="24"/>
          <w:szCs w:val="24"/>
        </w:rPr>
      </w:pPr>
      <w:r w:rsidRPr="008C52C5">
        <w:rPr>
          <w:rFonts w:ascii="Times New Roman" w:hAnsi="Times New Roman" w:cs="Times New Roman"/>
          <w:sz w:val="24"/>
          <w:szCs w:val="24"/>
        </w:rPr>
        <w:t>Прудников А.Г.,Трубилин А.И., Черник А.А. Методологические проблемы анализа и оценки финансового состояния аграрных формирований. - Краснодар: КубГАУ, 2010. – 251 с.</w:t>
      </w:r>
    </w:p>
    <w:p w:rsidR="00CE38BA" w:rsidRPr="008C52C5" w:rsidRDefault="00CE38BA" w:rsidP="008C52C5">
      <w:pPr>
        <w:numPr>
          <w:ilvl w:val="0"/>
          <w:numId w:val="2"/>
        </w:numPr>
        <w:spacing w:after="0" w:line="240" w:lineRule="auto"/>
        <w:ind w:left="0" w:firstLine="567"/>
        <w:jc w:val="both"/>
        <w:rPr>
          <w:rFonts w:ascii="Times New Roman" w:hAnsi="Times New Roman" w:cs="Times New Roman"/>
          <w:sz w:val="24"/>
          <w:szCs w:val="24"/>
        </w:rPr>
      </w:pPr>
      <w:r w:rsidRPr="008C52C5">
        <w:rPr>
          <w:rFonts w:ascii="Times New Roman" w:hAnsi="Times New Roman" w:cs="Times New Roman"/>
          <w:sz w:val="24"/>
          <w:szCs w:val="24"/>
        </w:rPr>
        <w:t>Прудников А.Г., Пшмахова М.И. Совершенствование методики анализа и оценки финансовой устойчивости аграрных формирований// Бухучет в сельском хозяйстве. 2012. №6. с 51- 54.</w:t>
      </w:r>
    </w:p>
    <w:p w:rsidR="00CE38BA" w:rsidRPr="008C52C5" w:rsidRDefault="00CE38BA" w:rsidP="008C52C5">
      <w:pPr>
        <w:numPr>
          <w:ilvl w:val="0"/>
          <w:numId w:val="2"/>
        </w:numPr>
        <w:spacing w:after="0" w:line="240" w:lineRule="auto"/>
        <w:ind w:left="0" w:firstLine="567"/>
        <w:jc w:val="both"/>
        <w:rPr>
          <w:rFonts w:ascii="Times New Roman" w:hAnsi="Times New Roman" w:cs="Times New Roman"/>
          <w:b/>
          <w:sz w:val="24"/>
          <w:szCs w:val="24"/>
        </w:rPr>
      </w:pPr>
      <w:r w:rsidRPr="008C52C5">
        <w:rPr>
          <w:rFonts w:ascii="Times New Roman" w:hAnsi="Times New Roman" w:cs="Times New Roman"/>
          <w:sz w:val="24"/>
          <w:szCs w:val="24"/>
        </w:rPr>
        <w:t xml:space="preserve">Прудников А.Г., Пшмахова М.И. Совершенствование методики анализа ликвидности оборотных активов организаций аграрной сферы// Бухучет в сельском хозяйстве. 2012. №5. с 57- 62. </w:t>
      </w:r>
    </w:p>
    <w:p w:rsidR="00CE38BA" w:rsidRPr="008C52C5" w:rsidRDefault="00CE38BA" w:rsidP="008C52C5">
      <w:pPr>
        <w:spacing w:after="0" w:line="240" w:lineRule="auto"/>
        <w:ind w:firstLine="567"/>
        <w:jc w:val="both"/>
        <w:rPr>
          <w:rFonts w:ascii="Times New Roman" w:hAnsi="Times New Roman" w:cs="Times New Roman"/>
          <w:b/>
          <w:sz w:val="24"/>
          <w:szCs w:val="24"/>
        </w:rPr>
      </w:pPr>
    </w:p>
    <w:p w:rsidR="00CE38BA" w:rsidRDefault="00CE38BA" w:rsidP="008C52C5">
      <w:pPr>
        <w:spacing w:after="0" w:line="240" w:lineRule="auto"/>
        <w:ind w:firstLine="567"/>
        <w:jc w:val="both"/>
        <w:rPr>
          <w:rFonts w:ascii="Times New Roman" w:hAnsi="Times New Roman" w:cs="Times New Roman"/>
          <w:b/>
          <w:sz w:val="24"/>
          <w:szCs w:val="24"/>
          <w:lang w:val="en-US"/>
        </w:rPr>
      </w:pPr>
    </w:p>
    <w:p w:rsidR="00CE38BA" w:rsidRDefault="00CE38BA" w:rsidP="008C52C5">
      <w:pPr>
        <w:spacing w:after="0" w:line="240" w:lineRule="auto"/>
        <w:ind w:firstLine="567"/>
        <w:jc w:val="both"/>
        <w:rPr>
          <w:rFonts w:ascii="Times New Roman" w:hAnsi="Times New Roman" w:cs="Times New Roman"/>
          <w:b/>
          <w:sz w:val="24"/>
          <w:szCs w:val="24"/>
          <w:lang w:val="en-US"/>
        </w:rPr>
      </w:pPr>
      <w:bookmarkStart w:id="2" w:name="_GoBack"/>
      <w:bookmarkEnd w:id="2"/>
      <w:r>
        <w:rPr>
          <w:rFonts w:ascii="Times New Roman" w:hAnsi="Times New Roman" w:cs="Times New Roman"/>
          <w:b/>
          <w:sz w:val="24"/>
          <w:szCs w:val="24"/>
          <w:lang w:val="en-US"/>
        </w:rPr>
        <w:t>References</w:t>
      </w:r>
    </w:p>
    <w:p w:rsidR="00CE38BA" w:rsidRPr="005A4D52" w:rsidRDefault="00CE38BA" w:rsidP="008C52C5">
      <w:pPr>
        <w:spacing w:after="0" w:line="240" w:lineRule="auto"/>
        <w:ind w:firstLine="567"/>
        <w:jc w:val="both"/>
        <w:rPr>
          <w:rFonts w:ascii="Times New Roman" w:hAnsi="Times New Roman" w:cs="Times New Roman"/>
          <w:b/>
          <w:sz w:val="24"/>
          <w:szCs w:val="24"/>
          <w:lang w:val="en-US"/>
        </w:rPr>
      </w:pPr>
    </w:p>
    <w:p w:rsidR="00CE38BA" w:rsidRPr="00306162" w:rsidRDefault="00CE38BA" w:rsidP="00306162">
      <w:pPr>
        <w:spacing w:line="360" w:lineRule="auto"/>
        <w:jc w:val="both"/>
        <w:rPr>
          <w:rFonts w:ascii="Times New Roman" w:hAnsi="Times New Roman" w:cs="Times New Roman"/>
          <w:sz w:val="24"/>
          <w:szCs w:val="24"/>
          <w:lang w:val="en-US"/>
        </w:rPr>
      </w:pPr>
      <w:r w:rsidRPr="00306162">
        <w:rPr>
          <w:rFonts w:ascii="Times New Roman" w:hAnsi="Times New Roman" w:cs="Times New Roman"/>
          <w:sz w:val="24"/>
          <w:szCs w:val="24"/>
          <w:lang w:val="en-US"/>
        </w:rPr>
        <w:t>1.</w:t>
      </w:r>
      <w:r w:rsidRPr="00306162">
        <w:rPr>
          <w:rFonts w:ascii="Times New Roman" w:hAnsi="Times New Roman" w:cs="Times New Roman"/>
          <w:sz w:val="24"/>
          <w:szCs w:val="24"/>
          <w:lang w:val="en-US"/>
        </w:rPr>
        <w:tab/>
        <w:t>Doncova L.V. Analiz finansovoj otchetnosti: ucheb. posobie/ L.V.Doncova, N.A.Nikiforova – M.: Izdatel'stvo «Delo i Servis», 2010. – 336 s.</w:t>
      </w:r>
    </w:p>
    <w:p w:rsidR="00CE38BA" w:rsidRPr="00306162" w:rsidRDefault="00CE38BA" w:rsidP="00306162">
      <w:pPr>
        <w:spacing w:line="360" w:lineRule="auto"/>
        <w:jc w:val="both"/>
        <w:rPr>
          <w:rFonts w:ascii="Times New Roman" w:hAnsi="Times New Roman" w:cs="Times New Roman"/>
          <w:sz w:val="24"/>
          <w:szCs w:val="24"/>
          <w:lang w:val="en-US"/>
        </w:rPr>
      </w:pPr>
      <w:r w:rsidRPr="00306162">
        <w:rPr>
          <w:rFonts w:ascii="Times New Roman" w:hAnsi="Times New Roman" w:cs="Times New Roman"/>
          <w:sz w:val="24"/>
          <w:szCs w:val="24"/>
          <w:lang w:val="en-US"/>
        </w:rPr>
        <w:t>2.</w:t>
      </w:r>
      <w:r w:rsidRPr="00306162">
        <w:rPr>
          <w:rFonts w:ascii="Times New Roman" w:hAnsi="Times New Roman" w:cs="Times New Roman"/>
          <w:sz w:val="24"/>
          <w:szCs w:val="24"/>
          <w:lang w:val="en-US"/>
        </w:rPr>
        <w:tab/>
        <w:t>Prudnikov A.G.,Trubilin A.I., Chernik A.A. Metodologicheskie problemy analiza i ocenki finansovogo sostojanija agrarnyh formirovanij. - Krasnodar: KubGAU, 2010. – 251 s.</w:t>
      </w:r>
    </w:p>
    <w:p w:rsidR="00CE38BA" w:rsidRPr="00306162" w:rsidRDefault="00CE38BA" w:rsidP="00306162">
      <w:pPr>
        <w:spacing w:line="360" w:lineRule="auto"/>
        <w:jc w:val="both"/>
        <w:rPr>
          <w:rFonts w:ascii="Times New Roman" w:hAnsi="Times New Roman" w:cs="Times New Roman"/>
          <w:sz w:val="24"/>
          <w:szCs w:val="24"/>
        </w:rPr>
      </w:pPr>
      <w:r w:rsidRPr="00306162">
        <w:rPr>
          <w:rFonts w:ascii="Times New Roman" w:hAnsi="Times New Roman" w:cs="Times New Roman"/>
          <w:sz w:val="24"/>
          <w:szCs w:val="24"/>
          <w:lang w:val="en-US"/>
        </w:rPr>
        <w:t>3.</w:t>
      </w:r>
      <w:r w:rsidRPr="00306162">
        <w:rPr>
          <w:rFonts w:ascii="Times New Roman" w:hAnsi="Times New Roman" w:cs="Times New Roman"/>
          <w:sz w:val="24"/>
          <w:szCs w:val="24"/>
          <w:lang w:val="en-US"/>
        </w:rPr>
        <w:tab/>
        <w:t xml:space="preserve">Prudnikov A.G., Pshmahova M.I. Sovershenstvovanie metodiki analiza i ocenki finansovoj ustojchivosti agrarnyh formirovanij// Buhuchet v sel'skom hozjajstve. </w:t>
      </w:r>
      <w:r w:rsidRPr="00306162">
        <w:rPr>
          <w:rFonts w:ascii="Times New Roman" w:hAnsi="Times New Roman" w:cs="Times New Roman"/>
          <w:sz w:val="24"/>
          <w:szCs w:val="24"/>
        </w:rPr>
        <w:t>2012. №6. s 51- 54.</w:t>
      </w:r>
    </w:p>
    <w:p w:rsidR="00CE38BA" w:rsidRPr="00306162" w:rsidRDefault="00CE38BA" w:rsidP="00306162">
      <w:pPr>
        <w:spacing w:line="360" w:lineRule="auto"/>
        <w:jc w:val="both"/>
        <w:rPr>
          <w:rFonts w:ascii="Times New Roman" w:hAnsi="Times New Roman" w:cs="Times New Roman"/>
          <w:sz w:val="24"/>
          <w:szCs w:val="24"/>
        </w:rPr>
      </w:pPr>
      <w:r w:rsidRPr="00306162">
        <w:rPr>
          <w:rFonts w:ascii="Times New Roman" w:hAnsi="Times New Roman" w:cs="Times New Roman"/>
          <w:sz w:val="24"/>
          <w:szCs w:val="24"/>
        </w:rPr>
        <w:t>4.</w:t>
      </w:r>
      <w:r w:rsidRPr="00306162">
        <w:rPr>
          <w:rFonts w:ascii="Times New Roman" w:hAnsi="Times New Roman" w:cs="Times New Roman"/>
          <w:sz w:val="24"/>
          <w:szCs w:val="24"/>
        </w:rPr>
        <w:tab/>
        <w:t>Prudnikov A.G., Pshmahova M.I. Sovershenstvovanie metodiki analiza likvidnosti oborotnyh aktivov organizacij agrarnoj sfery// Buhuchet v sel'skom hozjajstve. 2012. №5. s 57- 62.</w:t>
      </w:r>
    </w:p>
    <w:sectPr w:rsidR="00CE38BA" w:rsidRPr="00306162" w:rsidSect="000C5BDE">
      <w:headerReference w:type="even" r:id="rId7"/>
      <w:headerReference w:type="default" r:id="rId8"/>
      <w:footerReference w:type="default" r:id="rId9"/>
      <w:pgSz w:w="11906" w:h="16838"/>
      <w:pgMar w:top="1418" w:right="1418"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38BA" w:rsidRDefault="00CE38BA">
      <w:pPr>
        <w:spacing w:after="0" w:line="240" w:lineRule="auto"/>
      </w:pPr>
      <w:r>
        <w:separator/>
      </w:r>
    </w:p>
  </w:endnote>
  <w:endnote w:type="continuationSeparator" w:id="1">
    <w:p w:rsidR="00CE38BA" w:rsidRDefault="00CE38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20B0604020202020204"/>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WenQuanYi Micro Hei">
    <w:altName w:val="MS Mincho"/>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8BA" w:rsidRDefault="00CE38BA">
    <w:pPr>
      <w:pStyle w:val="Footer"/>
    </w:pPr>
    <w:r w:rsidRPr="002C53E3">
      <w:rPr>
        <w:rFonts w:ascii="Times New Roman" w:hAnsi="Times New Roman"/>
        <w:sz w:val="24"/>
        <w:szCs w:val="24"/>
      </w:rPr>
      <w:t>http://ej.kubagro.ru/201</w:t>
    </w:r>
    <w:r w:rsidRPr="002C53E3">
      <w:rPr>
        <w:rFonts w:ascii="Times New Roman" w:hAnsi="Times New Roman"/>
        <w:sz w:val="24"/>
        <w:szCs w:val="24"/>
        <w:lang w:val="en-US"/>
      </w:rPr>
      <w:t>4</w:t>
    </w:r>
    <w:r w:rsidRPr="002C53E3">
      <w:rPr>
        <w:rFonts w:ascii="Times New Roman" w:hAnsi="Times New Roman"/>
        <w:sz w:val="24"/>
        <w:szCs w:val="24"/>
      </w:rPr>
      <w:t>/</w:t>
    </w:r>
    <w:r w:rsidRPr="002C53E3">
      <w:rPr>
        <w:rFonts w:ascii="Times New Roman" w:hAnsi="Times New Roman"/>
        <w:sz w:val="24"/>
        <w:szCs w:val="24"/>
        <w:lang w:val="en-US"/>
      </w:rPr>
      <w:t>07</w:t>
    </w:r>
    <w:r w:rsidRPr="002C53E3">
      <w:rPr>
        <w:rFonts w:ascii="Times New Roman" w:hAnsi="Times New Roman"/>
        <w:sz w:val="24"/>
        <w:szCs w:val="24"/>
      </w:rPr>
      <w:t>/pdf/</w:t>
    </w:r>
    <w:r>
      <w:rPr>
        <w:rFonts w:ascii="Times New Roman" w:hAnsi="Times New Roman"/>
        <w:sz w:val="24"/>
        <w:szCs w:val="24"/>
        <w:lang w:val="en-US"/>
      </w:rPr>
      <w:t>75</w:t>
    </w:r>
    <w:r w:rsidRPr="002C53E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38BA" w:rsidRDefault="00CE38BA">
      <w:pPr>
        <w:spacing w:after="0" w:line="240" w:lineRule="auto"/>
      </w:pPr>
      <w:r>
        <w:separator/>
      </w:r>
    </w:p>
  </w:footnote>
  <w:footnote w:type="continuationSeparator" w:id="1">
    <w:p w:rsidR="00CE38BA" w:rsidRDefault="00CE38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8BA" w:rsidRDefault="00CE38BA" w:rsidP="00825331">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CE38BA" w:rsidRDefault="00CE38BA" w:rsidP="00C03DB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8BA" w:rsidRPr="00C03DB0" w:rsidRDefault="00CE38BA" w:rsidP="00825331">
    <w:pPr>
      <w:pStyle w:val="Header"/>
      <w:framePr w:wrap="around" w:vAnchor="text" w:hAnchor="margin" w:xAlign="right" w:y="1"/>
      <w:rPr>
        <w:rStyle w:val="PageNumber"/>
        <w:rFonts w:ascii="Times New Roman" w:hAnsi="Times New Roman"/>
        <w:sz w:val="28"/>
        <w:szCs w:val="28"/>
      </w:rPr>
    </w:pPr>
    <w:r w:rsidRPr="00C03DB0">
      <w:rPr>
        <w:rStyle w:val="PageNumber"/>
        <w:rFonts w:ascii="Times New Roman" w:hAnsi="Times New Roman"/>
        <w:sz w:val="28"/>
        <w:szCs w:val="28"/>
      </w:rPr>
      <w:fldChar w:fldCharType="begin"/>
    </w:r>
    <w:r w:rsidRPr="00C03DB0">
      <w:rPr>
        <w:rStyle w:val="PageNumber"/>
        <w:rFonts w:ascii="Times New Roman" w:hAnsi="Times New Roman"/>
        <w:sz w:val="28"/>
        <w:szCs w:val="28"/>
      </w:rPr>
      <w:instrText xml:space="preserve">PAGE  </w:instrText>
    </w:r>
    <w:r w:rsidRPr="00C03DB0">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C03DB0">
      <w:rPr>
        <w:rStyle w:val="PageNumber"/>
        <w:rFonts w:ascii="Times New Roman" w:hAnsi="Times New Roman"/>
        <w:sz w:val="28"/>
        <w:szCs w:val="28"/>
      </w:rPr>
      <w:fldChar w:fldCharType="end"/>
    </w:r>
  </w:p>
  <w:p w:rsidR="00CE38BA" w:rsidRPr="00C03DB0" w:rsidRDefault="00CE38BA" w:rsidP="00C03DB0">
    <w:pPr>
      <w:pStyle w:val="Header"/>
      <w:ind w:right="360"/>
      <w:rPr>
        <w:rFonts w:ascii="Times New Roman" w:hAnsi="Times New Roman" w:cs="Times New Roman"/>
        <w:sz w:val="24"/>
        <w:szCs w:val="24"/>
      </w:rPr>
    </w:pPr>
    <w:r w:rsidRPr="00C03DB0">
      <w:rPr>
        <w:rFonts w:ascii="Times New Roman" w:hAnsi="Times New Roman" w:cs="Times New Roman"/>
        <w:sz w:val="24"/>
        <w:szCs w:val="24"/>
      </w:rPr>
      <w:t>Научный журнал КубГАУ, №</w:t>
    </w:r>
    <w:r w:rsidRPr="00C03DB0">
      <w:rPr>
        <w:rFonts w:ascii="Times New Roman" w:hAnsi="Times New Roman" w:cs="Times New Roman"/>
        <w:sz w:val="24"/>
        <w:szCs w:val="24"/>
        <w:lang w:val="en-US"/>
      </w:rPr>
      <w:t>101</w:t>
    </w:r>
    <w:r w:rsidRPr="00C03DB0">
      <w:rPr>
        <w:rFonts w:ascii="Times New Roman" w:hAnsi="Times New Roman" w:cs="Times New Roman"/>
        <w:sz w:val="24"/>
        <w:szCs w:val="24"/>
      </w:rPr>
      <w:t>(</w:t>
    </w:r>
    <w:r w:rsidRPr="00C03DB0">
      <w:rPr>
        <w:rFonts w:ascii="Times New Roman" w:hAnsi="Times New Roman" w:cs="Times New Roman"/>
        <w:sz w:val="24"/>
        <w:szCs w:val="24"/>
        <w:lang w:val="en-US"/>
      </w:rPr>
      <w:t>07</w:t>
    </w:r>
    <w:r w:rsidRPr="00C03DB0">
      <w:rPr>
        <w:rFonts w:ascii="Times New Roman" w:hAnsi="Times New Roman" w:cs="Times New Roman"/>
        <w:sz w:val="24"/>
        <w:szCs w:val="24"/>
      </w:rPr>
      <w:t>), 201</w:t>
    </w:r>
    <w:r w:rsidRPr="00C03DB0">
      <w:rPr>
        <w:rFonts w:ascii="Times New Roman" w:hAnsi="Times New Roman" w:cs="Times New Roman"/>
        <w:sz w:val="24"/>
        <w:szCs w:val="24"/>
        <w:lang w:val="en-US"/>
      </w:rPr>
      <w:t>4</w:t>
    </w:r>
    <w:r w:rsidRPr="00C03DB0">
      <w:rPr>
        <w:rFonts w:ascii="Times New Roman" w:hAnsi="Times New Roman" w:cs="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singleLevel"/>
    <w:tmpl w:val="19FE6786"/>
    <w:name w:val="WW8Num2"/>
    <w:lvl w:ilvl="0">
      <w:start w:val="1"/>
      <w:numFmt w:val="decimal"/>
      <w:lvlText w:val="%1."/>
      <w:lvlJc w:val="left"/>
      <w:pPr>
        <w:tabs>
          <w:tab w:val="num" w:pos="0"/>
        </w:tabs>
        <w:ind w:left="927" w:hanging="360"/>
      </w:pPr>
      <w:rPr>
        <w:rFonts w:ascii="Times New Roman" w:eastAsia="Times New Roman" w:hAnsi="Times New Roman" w:cs="Times New Roman"/>
        <w:b w:val="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stylePaneFormatFilter w:val="000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7994"/>
    <w:rsid w:val="00015491"/>
    <w:rsid w:val="00030962"/>
    <w:rsid w:val="000C5BDE"/>
    <w:rsid w:val="0022027E"/>
    <w:rsid w:val="00281F89"/>
    <w:rsid w:val="002C53E3"/>
    <w:rsid w:val="00306162"/>
    <w:rsid w:val="00315CA5"/>
    <w:rsid w:val="003D28DB"/>
    <w:rsid w:val="003F07C8"/>
    <w:rsid w:val="004637E5"/>
    <w:rsid w:val="005A4D52"/>
    <w:rsid w:val="00614A20"/>
    <w:rsid w:val="00626FF0"/>
    <w:rsid w:val="006C02E4"/>
    <w:rsid w:val="006F2F0A"/>
    <w:rsid w:val="00736C30"/>
    <w:rsid w:val="00825331"/>
    <w:rsid w:val="00827994"/>
    <w:rsid w:val="008C52C5"/>
    <w:rsid w:val="00926271"/>
    <w:rsid w:val="00A233CA"/>
    <w:rsid w:val="00A6113D"/>
    <w:rsid w:val="00B97C29"/>
    <w:rsid w:val="00C03DB0"/>
    <w:rsid w:val="00CE38BA"/>
    <w:rsid w:val="00D4351B"/>
    <w:rsid w:val="00D52CA8"/>
    <w:rsid w:val="00F82FD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F0A"/>
    <w:pPr>
      <w:suppressAutoHyphens/>
      <w:spacing w:after="200" w:line="276" w:lineRule="auto"/>
    </w:pPr>
    <w:rPr>
      <w:rFonts w:ascii="Calibri" w:hAnsi="Calibri" w:cs="Calibri"/>
      <w:lang w:eastAsia="zh-CN"/>
    </w:rPr>
  </w:style>
  <w:style w:type="paragraph" w:styleId="Heading5">
    <w:name w:val="heading 5"/>
    <w:basedOn w:val="Normal"/>
    <w:next w:val="Normal"/>
    <w:link w:val="Heading5Char"/>
    <w:uiPriority w:val="99"/>
    <w:qFormat/>
    <w:rsid w:val="006F2F0A"/>
    <w:pPr>
      <w:widowControl w:val="0"/>
      <w:tabs>
        <w:tab w:val="num" w:pos="0"/>
      </w:tabs>
      <w:autoSpaceDE w:val="0"/>
      <w:spacing w:before="240" w:after="60" w:line="240" w:lineRule="auto"/>
      <w:ind w:left="1008" w:hanging="1008"/>
      <w:outlineLvl w:val="4"/>
    </w:pPr>
    <w:rPr>
      <w:rFonts w:ascii="Times New Roman" w:hAnsi="Times New Roman" w:cs="Times New Roman"/>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semiHidden/>
    <w:rsid w:val="00DC665D"/>
    <w:rPr>
      <w:rFonts w:asciiTheme="minorHAnsi" w:eastAsiaTheme="minorEastAsia" w:hAnsiTheme="minorHAnsi" w:cstheme="minorBidi"/>
      <w:b/>
      <w:bCs/>
      <w:i/>
      <w:iCs/>
      <w:sz w:val="26"/>
      <w:szCs w:val="26"/>
      <w:lang w:eastAsia="zh-CN"/>
    </w:rPr>
  </w:style>
  <w:style w:type="character" w:customStyle="1" w:styleId="WW8Num2z0">
    <w:name w:val="WW8Num2z0"/>
    <w:uiPriority w:val="99"/>
    <w:rsid w:val="006F2F0A"/>
  </w:style>
  <w:style w:type="character" w:customStyle="1" w:styleId="4">
    <w:name w:val="Основной шрифт абзаца4"/>
    <w:uiPriority w:val="99"/>
    <w:rsid w:val="006F2F0A"/>
  </w:style>
  <w:style w:type="character" w:customStyle="1" w:styleId="WW8Num3z0">
    <w:name w:val="WW8Num3z0"/>
    <w:uiPriority w:val="99"/>
    <w:rsid w:val="006F2F0A"/>
    <w:rPr>
      <w:rFonts w:ascii="Symbol" w:hAnsi="Symbol"/>
    </w:rPr>
  </w:style>
  <w:style w:type="character" w:customStyle="1" w:styleId="WW8Num5z0">
    <w:name w:val="WW8Num5z0"/>
    <w:uiPriority w:val="99"/>
    <w:rsid w:val="006F2F0A"/>
    <w:rPr>
      <w:rFonts w:ascii="Times New Roman" w:hAnsi="Times New Roman"/>
    </w:rPr>
  </w:style>
  <w:style w:type="character" w:customStyle="1" w:styleId="WW8Num6z0">
    <w:name w:val="WW8Num6z0"/>
    <w:uiPriority w:val="99"/>
    <w:rsid w:val="006F2F0A"/>
    <w:rPr>
      <w:rFonts w:ascii="Times New Roman" w:hAnsi="Times New Roman"/>
    </w:rPr>
  </w:style>
  <w:style w:type="character" w:customStyle="1" w:styleId="3">
    <w:name w:val="Основной шрифт абзаца3"/>
    <w:uiPriority w:val="99"/>
    <w:rsid w:val="006F2F0A"/>
  </w:style>
  <w:style w:type="character" w:customStyle="1" w:styleId="WW8Num4z0">
    <w:name w:val="WW8Num4z0"/>
    <w:uiPriority w:val="99"/>
    <w:rsid w:val="006F2F0A"/>
    <w:rPr>
      <w:rFonts w:ascii="Symbol" w:hAnsi="Symbol"/>
    </w:rPr>
  </w:style>
  <w:style w:type="character" w:customStyle="1" w:styleId="2">
    <w:name w:val="Основной шрифт абзаца2"/>
    <w:uiPriority w:val="99"/>
    <w:rsid w:val="006F2F0A"/>
  </w:style>
  <w:style w:type="character" w:customStyle="1" w:styleId="1">
    <w:name w:val="Основной шрифт абзаца1"/>
    <w:uiPriority w:val="99"/>
    <w:rsid w:val="006F2F0A"/>
  </w:style>
  <w:style w:type="character" w:customStyle="1" w:styleId="5">
    <w:name w:val="Заголовок 5 Знак"/>
    <w:basedOn w:val="1"/>
    <w:uiPriority w:val="99"/>
    <w:rsid w:val="006F2F0A"/>
    <w:rPr>
      <w:rFonts w:cs="Times New Roman"/>
      <w:b/>
      <w:bCs/>
      <w:i/>
      <w:iCs/>
      <w:sz w:val="26"/>
      <w:szCs w:val="26"/>
      <w:lang w:val="ru-RU" w:bidi="ar-SA"/>
    </w:rPr>
  </w:style>
  <w:style w:type="character" w:customStyle="1" w:styleId="a">
    <w:name w:val="Символ нумерации"/>
    <w:uiPriority w:val="99"/>
    <w:rsid w:val="006F2F0A"/>
  </w:style>
  <w:style w:type="character" w:customStyle="1" w:styleId="a0">
    <w:name w:val="Маркеры списка"/>
    <w:uiPriority w:val="99"/>
    <w:rsid w:val="006F2F0A"/>
    <w:rPr>
      <w:rFonts w:ascii="OpenSymbol" w:eastAsia="Times New Roman" w:hAnsi="OpenSymbol"/>
    </w:rPr>
  </w:style>
  <w:style w:type="character" w:customStyle="1" w:styleId="a1">
    <w:name w:val="Символ сноски"/>
    <w:uiPriority w:val="99"/>
    <w:rsid w:val="006F2F0A"/>
    <w:rPr>
      <w:vertAlign w:val="superscript"/>
    </w:rPr>
  </w:style>
  <w:style w:type="character" w:customStyle="1" w:styleId="a2">
    <w:name w:val="Текст сноски Знак"/>
    <w:basedOn w:val="2"/>
    <w:uiPriority w:val="99"/>
    <w:rsid w:val="006F2F0A"/>
    <w:rPr>
      <w:rFonts w:ascii="Calibri" w:eastAsia="Times New Roman" w:hAnsi="Calibri" w:cs="Calibri"/>
      <w:lang w:eastAsia="zh-CN"/>
    </w:rPr>
  </w:style>
  <w:style w:type="character" w:customStyle="1" w:styleId="a3">
    <w:name w:val="Текст концевой сноски Знак"/>
    <w:basedOn w:val="2"/>
    <w:uiPriority w:val="99"/>
    <w:rsid w:val="006F2F0A"/>
    <w:rPr>
      <w:rFonts w:ascii="Calibri" w:hAnsi="Calibri" w:cs="Calibri"/>
      <w:lang w:eastAsia="zh-CN"/>
    </w:rPr>
  </w:style>
  <w:style w:type="character" w:customStyle="1" w:styleId="a4">
    <w:name w:val="Символы концевой сноски"/>
    <w:basedOn w:val="2"/>
    <w:uiPriority w:val="99"/>
    <w:rsid w:val="006F2F0A"/>
    <w:rPr>
      <w:rFonts w:cs="Times New Roman"/>
      <w:vertAlign w:val="superscript"/>
    </w:rPr>
  </w:style>
  <w:style w:type="character" w:customStyle="1" w:styleId="10">
    <w:name w:val="Знак сноски1"/>
    <w:basedOn w:val="2"/>
    <w:uiPriority w:val="99"/>
    <w:rsid w:val="006F2F0A"/>
    <w:rPr>
      <w:rFonts w:cs="Times New Roman"/>
      <w:vertAlign w:val="superscript"/>
    </w:rPr>
  </w:style>
  <w:style w:type="character" w:customStyle="1" w:styleId="FontStyle58">
    <w:name w:val="Font Style58"/>
    <w:basedOn w:val="3"/>
    <w:uiPriority w:val="99"/>
    <w:rsid w:val="006F2F0A"/>
    <w:rPr>
      <w:rFonts w:ascii="Times New Roman" w:hAnsi="Times New Roman" w:cs="Times New Roman"/>
      <w:sz w:val="26"/>
    </w:rPr>
  </w:style>
  <w:style w:type="character" w:customStyle="1" w:styleId="a5">
    <w:name w:val="Верхний колонтитул Знак"/>
    <w:basedOn w:val="3"/>
    <w:uiPriority w:val="99"/>
    <w:rsid w:val="006F2F0A"/>
    <w:rPr>
      <w:rFonts w:ascii="Calibri" w:hAnsi="Calibri" w:cs="Calibri"/>
      <w:sz w:val="22"/>
      <w:szCs w:val="22"/>
      <w:lang w:eastAsia="zh-CN"/>
    </w:rPr>
  </w:style>
  <w:style w:type="character" w:customStyle="1" w:styleId="a6">
    <w:name w:val="Нижний колонтитул Знак"/>
    <w:basedOn w:val="3"/>
    <w:uiPriority w:val="99"/>
    <w:rsid w:val="006F2F0A"/>
    <w:rPr>
      <w:rFonts w:ascii="Calibri" w:hAnsi="Calibri" w:cs="Calibri"/>
      <w:sz w:val="22"/>
      <w:szCs w:val="22"/>
      <w:lang w:eastAsia="zh-CN"/>
    </w:rPr>
  </w:style>
  <w:style w:type="character" w:customStyle="1" w:styleId="FontStyle44">
    <w:name w:val="Font Style44"/>
    <w:basedOn w:val="3"/>
    <w:uiPriority w:val="99"/>
    <w:rsid w:val="006F2F0A"/>
    <w:rPr>
      <w:rFonts w:ascii="Times New Roman" w:hAnsi="Times New Roman" w:cs="Times New Roman"/>
      <w:sz w:val="26"/>
    </w:rPr>
  </w:style>
  <w:style w:type="character" w:customStyle="1" w:styleId="a7">
    <w:name w:val="Основной текст с отступом Знак"/>
    <w:basedOn w:val="3"/>
    <w:uiPriority w:val="99"/>
    <w:rsid w:val="006F2F0A"/>
    <w:rPr>
      <w:rFonts w:ascii="Calibri" w:hAnsi="Calibri" w:cs="Calibri"/>
      <w:sz w:val="22"/>
      <w:szCs w:val="22"/>
      <w:lang w:eastAsia="zh-CN"/>
    </w:rPr>
  </w:style>
  <w:style w:type="paragraph" w:customStyle="1" w:styleId="a8">
    <w:name w:val="Заголовок"/>
    <w:basedOn w:val="Normal"/>
    <w:next w:val="BodyText"/>
    <w:uiPriority w:val="99"/>
    <w:rsid w:val="006F2F0A"/>
    <w:pPr>
      <w:keepNext/>
      <w:spacing w:before="240" w:after="120"/>
    </w:pPr>
    <w:rPr>
      <w:rFonts w:ascii="Arial" w:eastAsia="WenQuanYi Micro Hei" w:hAnsi="Arial" w:cs="Lohit Hindi"/>
      <w:sz w:val="28"/>
      <w:szCs w:val="28"/>
    </w:rPr>
  </w:style>
  <w:style w:type="paragraph" w:styleId="BodyText">
    <w:name w:val="Body Text"/>
    <w:basedOn w:val="Normal"/>
    <w:link w:val="BodyTextChar"/>
    <w:uiPriority w:val="99"/>
    <w:rsid w:val="006F2F0A"/>
    <w:pPr>
      <w:spacing w:after="120"/>
    </w:pPr>
  </w:style>
  <w:style w:type="character" w:customStyle="1" w:styleId="BodyTextChar">
    <w:name w:val="Body Text Char"/>
    <w:basedOn w:val="DefaultParagraphFont"/>
    <w:link w:val="BodyText"/>
    <w:uiPriority w:val="99"/>
    <w:semiHidden/>
    <w:rsid w:val="00DC665D"/>
    <w:rPr>
      <w:rFonts w:ascii="Calibri" w:hAnsi="Calibri" w:cs="Calibri"/>
      <w:lang w:eastAsia="zh-CN"/>
    </w:rPr>
  </w:style>
  <w:style w:type="paragraph" w:styleId="List">
    <w:name w:val="List"/>
    <w:basedOn w:val="BodyText"/>
    <w:uiPriority w:val="99"/>
    <w:rsid w:val="006F2F0A"/>
    <w:rPr>
      <w:rFonts w:cs="Lohit Hindi"/>
    </w:rPr>
  </w:style>
  <w:style w:type="paragraph" w:styleId="Caption">
    <w:name w:val="caption"/>
    <w:basedOn w:val="Normal"/>
    <w:uiPriority w:val="99"/>
    <w:qFormat/>
    <w:rsid w:val="006F2F0A"/>
    <w:pPr>
      <w:suppressLineNumbers/>
      <w:spacing w:before="120" w:after="120"/>
    </w:pPr>
    <w:rPr>
      <w:rFonts w:cs="Lohit Hindi"/>
      <w:i/>
      <w:iCs/>
      <w:sz w:val="24"/>
      <w:szCs w:val="24"/>
    </w:rPr>
  </w:style>
  <w:style w:type="paragraph" w:customStyle="1" w:styleId="40">
    <w:name w:val="Указатель4"/>
    <w:basedOn w:val="Normal"/>
    <w:uiPriority w:val="99"/>
    <w:rsid w:val="006F2F0A"/>
    <w:pPr>
      <w:suppressLineNumbers/>
    </w:pPr>
    <w:rPr>
      <w:rFonts w:cs="Lohit Hindi"/>
    </w:rPr>
  </w:style>
  <w:style w:type="paragraph" w:customStyle="1" w:styleId="30">
    <w:name w:val="Название объекта3"/>
    <w:basedOn w:val="Normal"/>
    <w:uiPriority w:val="99"/>
    <w:rsid w:val="006F2F0A"/>
    <w:pPr>
      <w:suppressLineNumbers/>
      <w:spacing w:before="120" w:after="120"/>
    </w:pPr>
    <w:rPr>
      <w:rFonts w:cs="Lohit Hindi"/>
      <w:i/>
      <w:iCs/>
      <w:sz w:val="24"/>
      <w:szCs w:val="24"/>
    </w:rPr>
  </w:style>
  <w:style w:type="paragraph" w:customStyle="1" w:styleId="31">
    <w:name w:val="Указатель3"/>
    <w:basedOn w:val="Normal"/>
    <w:uiPriority w:val="99"/>
    <w:rsid w:val="006F2F0A"/>
    <w:pPr>
      <w:suppressLineNumbers/>
    </w:pPr>
    <w:rPr>
      <w:rFonts w:cs="Lohit Hindi"/>
    </w:rPr>
  </w:style>
  <w:style w:type="paragraph" w:customStyle="1" w:styleId="20">
    <w:name w:val="Название объекта2"/>
    <w:basedOn w:val="Normal"/>
    <w:uiPriority w:val="99"/>
    <w:rsid w:val="006F2F0A"/>
    <w:pPr>
      <w:suppressLineNumbers/>
      <w:spacing w:before="120" w:after="120"/>
    </w:pPr>
    <w:rPr>
      <w:rFonts w:cs="Lohit Hindi"/>
      <w:i/>
      <w:iCs/>
      <w:sz w:val="24"/>
      <w:szCs w:val="24"/>
    </w:rPr>
  </w:style>
  <w:style w:type="paragraph" w:customStyle="1" w:styleId="21">
    <w:name w:val="Указатель2"/>
    <w:basedOn w:val="Normal"/>
    <w:uiPriority w:val="99"/>
    <w:rsid w:val="006F2F0A"/>
    <w:pPr>
      <w:suppressLineNumbers/>
    </w:pPr>
    <w:rPr>
      <w:rFonts w:cs="Lohit Hindi"/>
    </w:rPr>
  </w:style>
  <w:style w:type="paragraph" w:customStyle="1" w:styleId="11">
    <w:name w:val="Название объекта1"/>
    <w:basedOn w:val="Normal"/>
    <w:uiPriority w:val="99"/>
    <w:rsid w:val="006F2F0A"/>
    <w:pPr>
      <w:suppressLineNumbers/>
      <w:spacing w:before="120" w:after="120"/>
    </w:pPr>
    <w:rPr>
      <w:rFonts w:cs="Lohit Hindi"/>
      <w:i/>
      <w:iCs/>
      <w:sz w:val="24"/>
      <w:szCs w:val="24"/>
    </w:rPr>
  </w:style>
  <w:style w:type="paragraph" w:customStyle="1" w:styleId="12">
    <w:name w:val="Указатель1"/>
    <w:basedOn w:val="Normal"/>
    <w:uiPriority w:val="99"/>
    <w:rsid w:val="006F2F0A"/>
    <w:pPr>
      <w:suppressLineNumbers/>
    </w:pPr>
    <w:rPr>
      <w:rFonts w:cs="Lohit Hindi"/>
    </w:rPr>
  </w:style>
  <w:style w:type="paragraph" w:customStyle="1" w:styleId="13">
    <w:name w:val="Обычный1"/>
    <w:uiPriority w:val="99"/>
    <w:rsid w:val="006F2F0A"/>
    <w:pPr>
      <w:suppressAutoHyphens/>
      <w:autoSpaceDE w:val="0"/>
    </w:pPr>
    <w:rPr>
      <w:rFonts w:ascii="HiddenHorzOCl" w:hAnsi="HiddenHorzOCl" w:cs="HiddenHorzOCl"/>
      <w:color w:val="000000"/>
      <w:sz w:val="24"/>
      <w:szCs w:val="24"/>
      <w:lang w:eastAsia="zh-CN"/>
    </w:rPr>
  </w:style>
  <w:style w:type="paragraph" w:customStyle="1" w:styleId="CM38">
    <w:name w:val="CM38"/>
    <w:basedOn w:val="13"/>
    <w:next w:val="13"/>
    <w:uiPriority w:val="99"/>
    <w:rsid w:val="006F2F0A"/>
    <w:rPr>
      <w:rFonts w:cs="Times New Roman"/>
      <w:color w:val="auto"/>
    </w:rPr>
  </w:style>
  <w:style w:type="paragraph" w:customStyle="1" w:styleId="CM17">
    <w:name w:val="CM17"/>
    <w:basedOn w:val="13"/>
    <w:next w:val="13"/>
    <w:uiPriority w:val="99"/>
    <w:rsid w:val="006F2F0A"/>
    <w:pPr>
      <w:spacing w:line="248" w:lineRule="atLeast"/>
    </w:pPr>
    <w:rPr>
      <w:rFonts w:cs="Times New Roman"/>
      <w:color w:val="auto"/>
    </w:rPr>
  </w:style>
  <w:style w:type="paragraph" w:customStyle="1" w:styleId="CM111">
    <w:name w:val="CM11+1"/>
    <w:basedOn w:val="13"/>
    <w:next w:val="13"/>
    <w:uiPriority w:val="99"/>
    <w:rsid w:val="006F2F0A"/>
    <w:pPr>
      <w:spacing w:line="248" w:lineRule="atLeast"/>
    </w:pPr>
    <w:rPr>
      <w:rFonts w:cs="Times New Roman"/>
      <w:color w:val="auto"/>
    </w:rPr>
  </w:style>
  <w:style w:type="paragraph" w:customStyle="1" w:styleId="CM301">
    <w:name w:val="CM30+1"/>
    <w:basedOn w:val="13"/>
    <w:next w:val="13"/>
    <w:uiPriority w:val="99"/>
    <w:rsid w:val="006F2F0A"/>
    <w:rPr>
      <w:rFonts w:cs="Times New Roman"/>
      <w:color w:val="auto"/>
    </w:rPr>
  </w:style>
  <w:style w:type="paragraph" w:styleId="FootnoteText">
    <w:name w:val="footnote text"/>
    <w:basedOn w:val="Normal"/>
    <w:link w:val="FootnoteTextChar"/>
    <w:uiPriority w:val="99"/>
    <w:rsid w:val="006F2F0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C665D"/>
    <w:rPr>
      <w:rFonts w:ascii="Calibri" w:hAnsi="Calibri" w:cs="Calibri"/>
      <w:sz w:val="20"/>
      <w:szCs w:val="20"/>
      <w:lang w:eastAsia="zh-CN"/>
    </w:rPr>
  </w:style>
  <w:style w:type="paragraph" w:styleId="EndnoteText">
    <w:name w:val="endnote text"/>
    <w:basedOn w:val="Normal"/>
    <w:link w:val="EndnoteTextChar"/>
    <w:uiPriority w:val="99"/>
    <w:rsid w:val="006F2F0A"/>
    <w:rPr>
      <w:sz w:val="20"/>
      <w:szCs w:val="20"/>
    </w:rPr>
  </w:style>
  <w:style w:type="character" w:customStyle="1" w:styleId="EndnoteTextChar">
    <w:name w:val="Endnote Text Char"/>
    <w:basedOn w:val="DefaultParagraphFont"/>
    <w:link w:val="EndnoteText"/>
    <w:uiPriority w:val="99"/>
    <w:semiHidden/>
    <w:rsid w:val="00DC665D"/>
    <w:rPr>
      <w:rFonts w:ascii="Calibri" w:hAnsi="Calibri" w:cs="Calibri"/>
      <w:sz w:val="20"/>
      <w:szCs w:val="20"/>
      <w:lang w:eastAsia="zh-CN"/>
    </w:rPr>
  </w:style>
  <w:style w:type="paragraph" w:customStyle="1" w:styleId="a9">
    <w:name w:val="А"/>
    <w:basedOn w:val="Normal"/>
    <w:uiPriority w:val="99"/>
    <w:rsid w:val="006F2F0A"/>
    <w:pPr>
      <w:widowControl w:val="0"/>
      <w:spacing w:after="0" w:line="360" w:lineRule="auto"/>
      <w:ind w:firstLine="720"/>
      <w:jc w:val="both"/>
    </w:pPr>
    <w:rPr>
      <w:rFonts w:ascii="Times New Roman" w:hAnsi="Times New Roman" w:cs="Times New Roman"/>
      <w:kern w:val="1"/>
      <w:sz w:val="28"/>
      <w:szCs w:val="20"/>
    </w:rPr>
  </w:style>
  <w:style w:type="paragraph" w:customStyle="1" w:styleId="aa">
    <w:name w:val="Название таблицы"/>
    <w:basedOn w:val="Normal"/>
    <w:uiPriority w:val="99"/>
    <w:rsid w:val="006F2F0A"/>
    <w:pPr>
      <w:spacing w:before="120" w:after="120" w:line="360" w:lineRule="auto"/>
      <w:ind w:firstLine="708"/>
      <w:jc w:val="both"/>
    </w:pPr>
    <w:rPr>
      <w:rFonts w:ascii="Times New Roman" w:hAnsi="Times New Roman" w:cs="Times New Roman"/>
      <w:kern w:val="1"/>
      <w:sz w:val="28"/>
      <w:szCs w:val="28"/>
    </w:rPr>
  </w:style>
  <w:style w:type="paragraph" w:customStyle="1" w:styleId="ab">
    <w:name w:val="Содержимое таблицы"/>
    <w:basedOn w:val="Normal"/>
    <w:uiPriority w:val="99"/>
    <w:rsid w:val="006F2F0A"/>
    <w:pPr>
      <w:suppressLineNumbers/>
    </w:pPr>
  </w:style>
  <w:style w:type="paragraph" w:customStyle="1" w:styleId="ac">
    <w:name w:val="Заголовок таблицы"/>
    <w:basedOn w:val="ab"/>
    <w:uiPriority w:val="99"/>
    <w:rsid w:val="006F2F0A"/>
    <w:pPr>
      <w:jc w:val="center"/>
    </w:pPr>
    <w:rPr>
      <w:b/>
      <w:bCs/>
    </w:rPr>
  </w:style>
  <w:style w:type="paragraph" w:customStyle="1" w:styleId="Style1">
    <w:name w:val="Style1"/>
    <w:basedOn w:val="Normal"/>
    <w:uiPriority w:val="99"/>
    <w:rsid w:val="006F2F0A"/>
    <w:pPr>
      <w:widowControl w:val="0"/>
      <w:suppressAutoHyphens w:val="0"/>
      <w:autoSpaceDE w:val="0"/>
      <w:spacing w:after="0" w:line="477" w:lineRule="exact"/>
      <w:jc w:val="both"/>
    </w:pPr>
    <w:rPr>
      <w:rFonts w:ascii="Times New Roman" w:hAnsi="Times New Roman" w:cs="Times New Roman"/>
      <w:sz w:val="24"/>
      <w:szCs w:val="24"/>
    </w:rPr>
  </w:style>
  <w:style w:type="paragraph" w:styleId="Header">
    <w:name w:val="header"/>
    <w:basedOn w:val="Normal"/>
    <w:link w:val="HeaderChar"/>
    <w:uiPriority w:val="99"/>
    <w:rsid w:val="006F2F0A"/>
    <w:pPr>
      <w:tabs>
        <w:tab w:val="center" w:pos="4677"/>
        <w:tab w:val="right" w:pos="9355"/>
      </w:tabs>
    </w:pPr>
  </w:style>
  <w:style w:type="character" w:customStyle="1" w:styleId="HeaderChar">
    <w:name w:val="Header Char"/>
    <w:basedOn w:val="DefaultParagraphFont"/>
    <w:link w:val="Header"/>
    <w:uiPriority w:val="99"/>
    <w:semiHidden/>
    <w:rsid w:val="00DC665D"/>
    <w:rPr>
      <w:rFonts w:ascii="Calibri" w:hAnsi="Calibri" w:cs="Calibri"/>
      <w:lang w:eastAsia="zh-CN"/>
    </w:rPr>
  </w:style>
  <w:style w:type="paragraph" w:styleId="Footer">
    <w:name w:val="footer"/>
    <w:basedOn w:val="Normal"/>
    <w:link w:val="FooterChar"/>
    <w:uiPriority w:val="99"/>
    <w:rsid w:val="006F2F0A"/>
    <w:pPr>
      <w:tabs>
        <w:tab w:val="center" w:pos="4677"/>
        <w:tab w:val="right" w:pos="9355"/>
      </w:tabs>
    </w:pPr>
  </w:style>
  <w:style w:type="character" w:customStyle="1" w:styleId="FooterChar">
    <w:name w:val="Footer Char"/>
    <w:basedOn w:val="DefaultParagraphFont"/>
    <w:link w:val="Footer"/>
    <w:uiPriority w:val="99"/>
    <w:semiHidden/>
    <w:rsid w:val="00DC665D"/>
    <w:rPr>
      <w:rFonts w:ascii="Calibri" w:hAnsi="Calibri" w:cs="Calibri"/>
      <w:lang w:eastAsia="zh-CN"/>
    </w:rPr>
  </w:style>
  <w:style w:type="paragraph" w:customStyle="1" w:styleId="WW-Normal">
    <w:name w:val="WW-Normal"/>
    <w:uiPriority w:val="99"/>
    <w:rsid w:val="006F2F0A"/>
    <w:pPr>
      <w:suppressAutoHyphens/>
      <w:autoSpaceDE w:val="0"/>
    </w:pPr>
    <w:rPr>
      <w:rFonts w:ascii="Arial" w:hAnsi="Arial" w:cs="Arial"/>
      <w:color w:val="000000"/>
      <w:sz w:val="24"/>
      <w:szCs w:val="24"/>
      <w:lang w:eastAsia="zh-CN"/>
    </w:rPr>
  </w:style>
  <w:style w:type="paragraph" w:styleId="BodyTextIndent">
    <w:name w:val="Body Text Indent"/>
    <w:basedOn w:val="Normal"/>
    <w:link w:val="BodyTextIndentChar"/>
    <w:uiPriority w:val="99"/>
    <w:rsid w:val="006F2F0A"/>
    <w:pPr>
      <w:spacing w:after="120"/>
      <w:ind w:left="283"/>
    </w:pPr>
  </w:style>
  <w:style w:type="character" w:customStyle="1" w:styleId="BodyTextIndentChar">
    <w:name w:val="Body Text Indent Char"/>
    <w:basedOn w:val="DefaultParagraphFont"/>
    <w:link w:val="BodyTextIndent"/>
    <w:uiPriority w:val="99"/>
    <w:semiHidden/>
    <w:rsid w:val="00DC665D"/>
    <w:rPr>
      <w:rFonts w:ascii="Calibri" w:hAnsi="Calibri" w:cs="Calibri"/>
      <w:lang w:eastAsia="zh-CN"/>
    </w:rPr>
  </w:style>
  <w:style w:type="paragraph" w:customStyle="1" w:styleId="Style23">
    <w:name w:val="Style23"/>
    <w:basedOn w:val="Normal"/>
    <w:uiPriority w:val="99"/>
    <w:rsid w:val="006F2F0A"/>
    <w:pPr>
      <w:widowControl w:val="0"/>
      <w:suppressAutoHyphens w:val="0"/>
      <w:autoSpaceDE w:val="0"/>
      <w:spacing w:after="0" w:line="480" w:lineRule="exact"/>
      <w:ind w:hanging="686"/>
    </w:pPr>
    <w:rPr>
      <w:rFonts w:ascii="Times New Roman" w:hAnsi="Times New Roman" w:cs="Times New Roman"/>
      <w:sz w:val="24"/>
      <w:szCs w:val="24"/>
    </w:rPr>
  </w:style>
  <w:style w:type="table" w:styleId="TableGrid">
    <w:name w:val="Table Grid"/>
    <w:basedOn w:val="TableNormal"/>
    <w:uiPriority w:val="99"/>
    <w:rsid w:val="000C5BD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C03DB0"/>
    <w:rPr>
      <w:rFonts w:cs="Times New Roman"/>
    </w:rPr>
  </w:style>
</w:styles>
</file>

<file path=word/webSettings.xml><?xml version="1.0" encoding="utf-8"?>
<w:webSettings xmlns:r="http://schemas.openxmlformats.org/officeDocument/2006/relationships" xmlns:w="http://schemas.openxmlformats.org/wordprocessingml/2006/main">
  <w:divs>
    <w:div w:id="14089612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716</TotalTime>
  <Pages>15</Pages>
  <Words>3198</Words>
  <Characters>18229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ОТРАЖЕНИЕ ФАКТОВ ХОЗЯЙСТВЕННОЙ ЖИЗНИ В БУХГАЛТЕРСКОМ УЧЕТЕ</dc:title>
  <dc:subject/>
  <dc:creator>Filkin</dc:creator>
  <cp:keywords/>
  <dc:description/>
  <cp:lastModifiedBy>admin</cp:lastModifiedBy>
  <cp:revision>17</cp:revision>
  <cp:lastPrinted>2014-06-19T16:24:00Z</cp:lastPrinted>
  <dcterms:created xsi:type="dcterms:W3CDTF">2014-06-30T17:41:00Z</dcterms:created>
  <dcterms:modified xsi:type="dcterms:W3CDTF">2014-09-14T20:04:00Z</dcterms:modified>
</cp:coreProperties>
</file>