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ook w:val="00A0"/>
      </w:tblPr>
      <w:tblGrid>
        <w:gridCol w:w="4643"/>
        <w:gridCol w:w="4642"/>
      </w:tblGrid>
      <w:tr w:rsidR="004B2880" w:rsidRPr="00AF4B65" w:rsidTr="00355361">
        <w:trPr>
          <w:trHeight w:val="315"/>
          <w:jc w:val="center"/>
        </w:trPr>
        <w:tc>
          <w:tcPr>
            <w:tcW w:w="4643" w:type="dxa"/>
          </w:tcPr>
          <w:p w:rsidR="004B2880" w:rsidRPr="00AF4B65" w:rsidRDefault="004B2880" w:rsidP="00AF4B65">
            <w:pPr>
              <w:spacing w:after="0" w:line="240" w:lineRule="auto"/>
              <w:rPr>
                <w:rFonts w:ascii="Times New Roman" w:hAnsi="Times New Roman"/>
                <w:sz w:val="20"/>
                <w:szCs w:val="20"/>
              </w:rPr>
            </w:pPr>
            <w:r w:rsidRPr="00AF4B65">
              <w:rPr>
                <w:rFonts w:ascii="Times New Roman" w:hAnsi="Times New Roman"/>
                <w:sz w:val="20"/>
                <w:szCs w:val="20"/>
              </w:rPr>
              <w:t>УДК 338.12.017</w:t>
            </w:r>
          </w:p>
          <w:p w:rsidR="004B2880" w:rsidRPr="00AF4B65" w:rsidRDefault="004B2880" w:rsidP="00AF4B65">
            <w:pPr>
              <w:spacing w:after="0" w:line="240" w:lineRule="auto"/>
              <w:ind w:firstLine="708"/>
              <w:rPr>
                <w:rFonts w:ascii="Times New Roman" w:hAnsi="Times New Roman"/>
                <w:sz w:val="20"/>
                <w:szCs w:val="20"/>
              </w:rPr>
            </w:pPr>
          </w:p>
        </w:tc>
        <w:tc>
          <w:tcPr>
            <w:tcW w:w="4642" w:type="dxa"/>
          </w:tcPr>
          <w:p w:rsidR="004B2880" w:rsidRPr="00AF4B65" w:rsidRDefault="004B2880" w:rsidP="00AF4B65">
            <w:pPr>
              <w:spacing w:after="0" w:line="240" w:lineRule="auto"/>
              <w:rPr>
                <w:rFonts w:ascii="Times New Roman" w:hAnsi="Times New Roman"/>
                <w:sz w:val="20"/>
                <w:szCs w:val="20"/>
              </w:rPr>
            </w:pPr>
            <w:r w:rsidRPr="00AF4B65">
              <w:rPr>
                <w:rFonts w:ascii="Times New Roman" w:hAnsi="Times New Roman"/>
                <w:sz w:val="20"/>
                <w:szCs w:val="20"/>
              </w:rPr>
              <w:t>UDC 338.12.017</w:t>
            </w:r>
          </w:p>
        </w:tc>
      </w:tr>
      <w:tr w:rsidR="004B2880" w:rsidRPr="00EF26D0" w:rsidTr="00355361">
        <w:trPr>
          <w:trHeight w:val="693"/>
          <w:jc w:val="center"/>
        </w:trPr>
        <w:tc>
          <w:tcPr>
            <w:tcW w:w="4643" w:type="dxa"/>
          </w:tcPr>
          <w:p w:rsidR="004B2880" w:rsidRPr="00AF4B65" w:rsidRDefault="004B2880" w:rsidP="00AF4B65">
            <w:pPr>
              <w:spacing w:after="0" w:line="240" w:lineRule="auto"/>
              <w:rPr>
                <w:rFonts w:ascii="Times New Roman" w:hAnsi="Times New Roman"/>
                <w:sz w:val="20"/>
                <w:szCs w:val="20"/>
              </w:rPr>
            </w:pPr>
            <w:r w:rsidRPr="00AF4B65">
              <w:rPr>
                <w:rFonts w:ascii="Times New Roman" w:hAnsi="Times New Roman"/>
                <w:b/>
                <w:sz w:val="20"/>
                <w:szCs w:val="20"/>
              </w:rPr>
              <w:t xml:space="preserve">ДОКУМЕНТАЛЬНОЕ ОФОРМЛЕНИЕ КАК ОБЯЗАТЕЛЬНЫЙ ПРИЗНАК РАСХОДОВ В ЦЕЛЯХ ИСЧИСЛЕНИЯ НАЛОГА НА ПРИБЫЛЬ ОРГАНИЗАЦИЙ </w:t>
            </w:r>
            <w:r w:rsidRPr="00AF4B65">
              <w:rPr>
                <w:rFonts w:ascii="Times New Roman" w:hAnsi="Times New Roman"/>
                <w:sz w:val="20"/>
                <w:szCs w:val="20"/>
              </w:rPr>
              <w:tab/>
            </w:r>
          </w:p>
        </w:tc>
        <w:tc>
          <w:tcPr>
            <w:tcW w:w="4642" w:type="dxa"/>
          </w:tcPr>
          <w:p w:rsidR="004B2880" w:rsidRPr="00AF4B65" w:rsidRDefault="004B2880" w:rsidP="00AF4B65">
            <w:pPr>
              <w:spacing w:after="0" w:line="240" w:lineRule="atLeast"/>
              <w:rPr>
                <w:rFonts w:ascii="Times New Roman" w:hAnsi="Times New Roman"/>
                <w:b/>
                <w:color w:val="000000"/>
                <w:sz w:val="20"/>
                <w:szCs w:val="20"/>
                <w:lang w:val="en-US" w:eastAsia="ru-RU"/>
              </w:rPr>
            </w:pPr>
            <w:r w:rsidRPr="00AF4B65">
              <w:rPr>
                <w:rFonts w:ascii="Times New Roman" w:hAnsi="Times New Roman"/>
                <w:b/>
                <w:color w:val="000000"/>
                <w:sz w:val="20"/>
                <w:szCs w:val="20"/>
                <w:lang w:val="en-US" w:eastAsia="ru-RU"/>
              </w:rPr>
              <w:t>DOCUMENTING AS A MANDATORY FEATURE OF COSTS IN ORDER TO CALCULATE THE TAX ON PROFIT OF ORGANIZATIONS</w:t>
            </w:r>
          </w:p>
        </w:tc>
      </w:tr>
      <w:tr w:rsidR="004B2880" w:rsidRPr="00EF26D0" w:rsidTr="00355361">
        <w:trPr>
          <w:trHeight w:val="600"/>
          <w:jc w:val="center"/>
        </w:trPr>
        <w:tc>
          <w:tcPr>
            <w:tcW w:w="4643" w:type="dxa"/>
          </w:tcPr>
          <w:p w:rsidR="004B2880" w:rsidRPr="00AF4B65" w:rsidRDefault="004B2880" w:rsidP="00AF4B65">
            <w:pPr>
              <w:spacing w:after="0" w:line="240" w:lineRule="auto"/>
              <w:rPr>
                <w:rFonts w:ascii="Times New Roman" w:hAnsi="Times New Roman"/>
                <w:sz w:val="20"/>
                <w:szCs w:val="20"/>
                <w:lang w:val="en-US"/>
              </w:rPr>
            </w:pPr>
          </w:p>
          <w:p w:rsidR="004B2880" w:rsidRPr="00AF4B65" w:rsidRDefault="004B2880" w:rsidP="00AF4B65">
            <w:pPr>
              <w:spacing w:after="0" w:line="240" w:lineRule="auto"/>
              <w:rPr>
                <w:rFonts w:ascii="Times New Roman" w:hAnsi="Times New Roman"/>
                <w:sz w:val="20"/>
                <w:szCs w:val="20"/>
              </w:rPr>
            </w:pPr>
            <w:r w:rsidRPr="00AF4B65">
              <w:rPr>
                <w:rFonts w:ascii="Times New Roman" w:hAnsi="Times New Roman"/>
                <w:sz w:val="20"/>
                <w:szCs w:val="20"/>
              </w:rPr>
              <w:t>Першин Сергей Петрович</w:t>
            </w:r>
          </w:p>
          <w:p w:rsidR="004B2880" w:rsidRPr="00AF4B65" w:rsidRDefault="004B2880" w:rsidP="00AF4B65">
            <w:pPr>
              <w:spacing w:after="0" w:line="240" w:lineRule="auto"/>
              <w:rPr>
                <w:rFonts w:ascii="Times New Roman" w:hAnsi="Times New Roman"/>
                <w:sz w:val="20"/>
                <w:szCs w:val="20"/>
              </w:rPr>
            </w:pPr>
            <w:r w:rsidRPr="00AF4B65">
              <w:rPr>
                <w:rFonts w:ascii="Times New Roman" w:hAnsi="Times New Roman"/>
                <w:sz w:val="20"/>
                <w:szCs w:val="20"/>
              </w:rPr>
              <w:t>к.э.н., доцент</w:t>
            </w:r>
          </w:p>
        </w:tc>
        <w:tc>
          <w:tcPr>
            <w:tcW w:w="4642" w:type="dxa"/>
          </w:tcPr>
          <w:p w:rsidR="004B2880" w:rsidRPr="00AF4B65" w:rsidRDefault="004B2880" w:rsidP="00AF4B65">
            <w:pPr>
              <w:spacing w:after="0" w:line="240" w:lineRule="auto"/>
              <w:rPr>
                <w:rFonts w:ascii="Times New Roman" w:hAnsi="Times New Roman"/>
                <w:sz w:val="20"/>
                <w:szCs w:val="20"/>
              </w:rPr>
            </w:pPr>
          </w:p>
          <w:p w:rsidR="004B2880" w:rsidRPr="00AF4B65" w:rsidRDefault="004B2880" w:rsidP="00AF4B65">
            <w:pPr>
              <w:spacing w:after="0" w:line="240" w:lineRule="auto"/>
              <w:rPr>
                <w:rFonts w:ascii="Times New Roman" w:hAnsi="Times New Roman"/>
                <w:sz w:val="20"/>
                <w:szCs w:val="20"/>
                <w:lang w:val="en-US"/>
              </w:rPr>
            </w:pPr>
            <w:r w:rsidRPr="00AF4B65">
              <w:rPr>
                <w:rFonts w:ascii="Times New Roman" w:hAnsi="Times New Roman"/>
                <w:sz w:val="20"/>
                <w:szCs w:val="20"/>
                <w:lang w:val="en-US"/>
              </w:rPr>
              <w:t>Pershin Sergey Petrovich</w:t>
            </w:r>
            <w:r w:rsidRPr="00AF4B65">
              <w:rPr>
                <w:rFonts w:ascii="Times New Roman" w:hAnsi="Times New Roman"/>
                <w:sz w:val="20"/>
                <w:szCs w:val="20"/>
                <w:lang w:val="en-US"/>
              </w:rPr>
              <w:br/>
            </w:r>
            <w:r>
              <w:rPr>
                <w:rFonts w:ascii="Times New Roman" w:hAnsi="Times New Roman"/>
                <w:sz w:val="20"/>
                <w:szCs w:val="20"/>
                <w:lang w:val="en-US"/>
              </w:rPr>
              <w:t>Cand.Econ.Sci.</w:t>
            </w:r>
            <w:r w:rsidRPr="00AF4B65">
              <w:rPr>
                <w:rFonts w:ascii="Times New Roman" w:hAnsi="Times New Roman"/>
                <w:sz w:val="20"/>
                <w:szCs w:val="20"/>
                <w:lang w:val="en-US"/>
              </w:rPr>
              <w:t xml:space="preserve">, associate </w:t>
            </w:r>
            <w:r>
              <w:rPr>
                <w:rFonts w:ascii="Times New Roman" w:hAnsi="Times New Roman"/>
                <w:sz w:val="20"/>
                <w:szCs w:val="20"/>
                <w:lang w:val="en-US"/>
              </w:rPr>
              <w:t>p</w:t>
            </w:r>
            <w:r w:rsidRPr="00AF4B65">
              <w:rPr>
                <w:rFonts w:ascii="Times New Roman" w:hAnsi="Times New Roman"/>
                <w:sz w:val="20"/>
                <w:szCs w:val="20"/>
                <w:lang w:val="en-US"/>
              </w:rPr>
              <w:t>rofessor</w:t>
            </w:r>
          </w:p>
        </w:tc>
      </w:tr>
      <w:tr w:rsidR="004B2880" w:rsidRPr="00EF26D0" w:rsidTr="00355361">
        <w:trPr>
          <w:trHeight w:val="444"/>
          <w:jc w:val="center"/>
        </w:trPr>
        <w:tc>
          <w:tcPr>
            <w:tcW w:w="4643" w:type="dxa"/>
          </w:tcPr>
          <w:p w:rsidR="004B2880" w:rsidRPr="00AF4B65" w:rsidRDefault="004B2880" w:rsidP="00AF4B65">
            <w:pPr>
              <w:spacing w:after="0" w:line="240" w:lineRule="auto"/>
              <w:rPr>
                <w:rFonts w:ascii="Times New Roman" w:hAnsi="Times New Roman"/>
                <w:sz w:val="20"/>
                <w:szCs w:val="20"/>
                <w:lang w:val="en-US"/>
              </w:rPr>
            </w:pPr>
          </w:p>
          <w:p w:rsidR="004B2880" w:rsidRPr="00AF4B65" w:rsidRDefault="004B2880" w:rsidP="00AF4B65">
            <w:pPr>
              <w:spacing w:after="0" w:line="240" w:lineRule="auto"/>
              <w:rPr>
                <w:rFonts w:ascii="Times New Roman" w:hAnsi="Times New Roman"/>
                <w:sz w:val="20"/>
                <w:szCs w:val="20"/>
              </w:rPr>
            </w:pPr>
            <w:r w:rsidRPr="00AF4B65">
              <w:rPr>
                <w:rFonts w:ascii="Times New Roman" w:hAnsi="Times New Roman"/>
                <w:sz w:val="20"/>
                <w:szCs w:val="20"/>
              </w:rPr>
              <w:t>Цеева Рузанн</w:t>
            </w:r>
            <w:r>
              <w:rPr>
                <w:rFonts w:ascii="Times New Roman" w:hAnsi="Times New Roman"/>
                <w:sz w:val="20"/>
                <w:szCs w:val="20"/>
              </w:rPr>
              <w:t>а</w:t>
            </w:r>
            <w:r w:rsidRPr="00AF4B65">
              <w:rPr>
                <w:rFonts w:ascii="Times New Roman" w:hAnsi="Times New Roman"/>
                <w:sz w:val="20"/>
                <w:szCs w:val="20"/>
              </w:rPr>
              <w:t xml:space="preserve"> Эдуардовн</w:t>
            </w:r>
            <w:r>
              <w:rPr>
                <w:rFonts w:ascii="Times New Roman" w:hAnsi="Times New Roman"/>
                <w:sz w:val="20"/>
                <w:szCs w:val="20"/>
              </w:rPr>
              <w:t>а</w:t>
            </w:r>
          </w:p>
          <w:p w:rsidR="004B2880" w:rsidRPr="00AF4B65" w:rsidRDefault="004B2880" w:rsidP="00AF4B65">
            <w:pPr>
              <w:tabs>
                <w:tab w:val="left" w:pos="3285"/>
              </w:tabs>
              <w:spacing w:after="0" w:line="240" w:lineRule="auto"/>
              <w:rPr>
                <w:rFonts w:ascii="Times New Roman" w:hAnsi="Times New Roman"/>
                <w:i/>
                <w:sz w:val="20"/>
                <w:szCs w:val="20"/>
              </w:rPr>
            </w:pPr>
            <w:r w:rsidRPr="00AF4B65">
              <w:rPr>
                <w:rFonts w:ascii="Times New Roman" w:hAnsi="Times New Roman"/>
                <w:sz w:val="20"/>
                <w:szCs w:val="20"/>
              </w:rPr>
              <w:t>студентка экономического факультета</w:t>
            </w:r>
            <w:r w:rsidRPr="00AF4B65">
              <w:rPr>
                <w:rFonts w:ascii="Times New Roman" w:hAnsi="Times New Roman"/>
                <w:sz w:val="20"/>
                <w:szCs w:val="20"/>
              </w:rPr>
              <w:tab/>
            </w:r>
          </w:p>
        </w:tc>
        <w:tc>
          <w:tcPr>
            <w:tcW w:w="4642" w:type="dxa"/>
          </w:tcPr>
          <w:p w:rsidR="004B2880" w:rsidRPr="00AF4B65" w:rsidRDefault="004B2880" w:rsidP="00AF4B65">
            <w:pPr>
              <w:spacing w:after="0" w:line="240" w:lineRule="auto"/>
              <w:rPr>
                <w:rFonts w:ascii="Times New Roman" w:hAnsi="Times New Roman"/>
                <w:sz w:val="20"/>
                <w:szCs w:val="20"/>
              </w:rPr>
            </w:pPr>
          </w:p>
          <w:p w:rsidR="004B2880" w:rsidRPr="00AF4B65" w:rsidRDefault="004B2880" w:rsidP="00AF4B65">
            <w:pPr>
              <w:spacing w:after="0" w:line="240" w:lineRule="atLeast"/>
              <w:rPr>
                <w:rFonts w:ascii="Times New Roman" w:hAnsi="Times New Roman"/>
                <w:color w:val="000000"/>
                <w:sz w:val="20"/>
                <w:szCs w:val="20"/>
                <w:lang w:val="en-US" w:eastAsia="ru-RU"/>
              </w:rPr>
            </w:pPr>
            <w:r>
              <w:rPr>
                <w:rFonts w:ascii="Times New Roman" w:hAnsi="Times New Roman"/>
                <w:color w:val="000000"/>
                <w:sz w:val="20"/>
                <w:szCs w:val="20"/>
                <w:lang w:val="en-US"/>
              </w:rPr>
              <w:t>Ts</w:t>
            </w:r>
            <w:r w:rsidRPr="00AF4B65">
              <w:rPr>
                <w:rFonts w:ascii="Times New Roman" w:hAnsi="Times New Roman"/>
                <w:color w:val="000000"/>
                <w:sz w:val="20"/>
                <w:szCs w:val="20"/>
                <w:lang w:val="en-US"/>
              </w:rPr>
              <w:t>eeva</w:t>
            </w:r>
            <w:r w:rsidRPr="00AF4B65">
              <w:rPr>
                <w:rFonts w:ascii="Arial" w:hAnsi="Arial" w:cs="Arial"/>
                <w:color w:val="000000"/>
                <w:sz w:val="19"/>
                <w:szCs w:val="19"/>
                <w:lang w:val="en-US"/>
              </w:rPr>
              <w:t xml:space="preserve"> </w:t>
            </w:r>
            <w:r w:rsidRPr="00AF4B65">
              <w:rPr>
                <w:rFonts w:ascii="Times New Roman" w:hAnsi="Times New Roman"/>
                <w:color w:val="000000"/>
                <w:sz w:val="20"/>
                <w:szCs w:val="20"/>
                <w:lang w:val="en-US"/>
              </w:rPr>
              <w:t>Ruzanna Eduardovna</w:t>
            </w:r>
            <w:r w:rsidRPr="00AF4B65">
              <w:rPr>
                <w:rFonts w:ascii="Times New Roman" w:hAnsi="Times New Roman"/>
                <w:sz w:val="20"/>
                <w:szCs w:val="20"/>
                <w:lang w:val="en-US"/>
              </w:rPr>
              <w:br/>
            </w:r>
            <w:r w:rsidRPr="00AF4B65">
              <w:rPr>
                <w:rFonts w:ascii="Times New Roman" w:hAnsi="Times New Roman"/>
                <w:color w:val="000000"/>
                <w:sz w:val="20"/>
                <w:szCs w:val="20"/>
                <w:lang w:val="en-US" w:eastAsia="ru-RU"/>
              </w:rPr>
              <w:t xml:space="preserve">student of </w:t>
            </w:r>
            <w:r>
              <w:rPr>
                <w:rFonts w:ascii="Times New Roman" w:hAnsi="Times New Roman"/>
                <w:color w:val="000000"/>
                <w:sz w:val="20"/>
                <w:szCs w:val="20"/>
                <w:lang w:val="en-US" w:eastAsia="ru-RU"/>
              </w:rPr>
              <w:t>the E</w:t>
            </w:r>
            <w:r w:rsidRPr="00AF4B65">
              <w:rPr>
                <w:rFonts w:ascii="Times New Roman" w:hAnsi="Times New Roman"/>
                <w:color w:val="000000"/>
                <w:sz w:val="20"/>
                <w:szCs w:val="20"/>
                <w:lang w:val="en-US" w:eastAsia="ru-RU"/>
              </w:rPr>
              <w:t>conomic faculty</w:t>
            </w:r>
          </w:p>
        </w:tc>
      </w:tr>
      <w:tr w:rsidR="004B2880" w:rsidRPr="00EF26D0" w:rsidTr="00355361">
        <w:trPr>
          <w:trHeight w:val="444"/>
          <w:jc w:val="center"/>
        </w:trPr>
        <w:tc>
          <w:tcPr>
            <w:tcW w:w="4643" w:type="dxa"/>
          </w:tcPr>
          <w:p w:rsidR="004B2880" w:rsidRPr="00AF4B65" w:rsidRDefault="004B2880" w:rsidP="00AF4B65">
            <w:pPr>
              <w:spacing w:after="0" w:line="240" w:lineRule="auto"/>
              <w:rPr>
                <w:rFonts w:ascii="Times New Roman" w:hAnsi="Times New Roman"/>
                <w:i/>
                <w:sz w:val="20"/>
                <w:szCs w:val="20"/>
              </w:rPr>
            </w:pPr>
            <w:r w:rsidRPr="00AF4B65">
              <w:rPr>
                <w:rFonts w:ascii="Times New Roman" w:hAnsi="Times New Roman"/>
                <w:i/>
                <w:sz w:val="20"/>
                <w:szCs w:val="20"/>
              </w:rPr>
              <w:t>Кубанский государственный аграрный университет, Краснодар, Россия</w:t>
            </w:r>
          </w:p>
        </w:tc>
        <w:tc>
          <w:tcPr>
            <w:tcW w:w="4642" w:type="dxa"/>
          </w:tcPr>
          <w:p w:rsidR="004B2880" w:rsidRPr="00AF4B65" w:rsidRDefault="004B2880" w:rsidP="00AF4B65">
            <w:pPr>
              <w:spacing w:after="0" w:line="240" w:lineRule="auto"/>
              <w:rPr>
                <w:rFonts w:ascii="Times New Roman" w:hAnsi="Times New Roman"/>
                <w:i/>
                <w:iCs/>
                <w:sz w:val="20"/>
                <w:szCs w:val="20"/>
                <w:lang w:val="en-US"/>
              </w:rPr>
            </w:pPr>
            <w:r w:rsidRPr="00AF4B65">
              <w:rPr>
                <w:rFonts w:ascii="Times New Roman" w:hAnsi="Times New Roman"/>
                <w:i/>
                <w:iCs/>
                <w:sz w:val="20"/>
                <w:szCs w:val="20"/>
                <w:lang w:val="en-US"/>
              </w:rPr>
              <w:t>Kuban State Agrarian University, Krasnodar, Russia</w:t>
            </w:r>
          </w:p>
        </w:tc>
      </w:tr>
      <w:tr w:rsidR="004B2880" w:rsidRPr="00EF26D0" w:rsidTr="00355361">
        <w:trPr>
          <w:trHeight w:val="1951"/>
          <w:jc w:val="center"/>
        </w:trPr>
        <w:tc>
          <w:tcPr>
            <w:tcW w:w="4643" w:type="dxa"/>
          </w:tcPr>
          <w:p w:rsidR="004B2880" w:rsidRPr="00AF4B65" w:rsidRDefault="004B2880" w:rsidP="00AF4B65">
            <w:pPr>
              <w:spacing w:after="0" w:line="240" w:lineRule="auto"/>
              <w:rPr>
                <w:rFonts w:ascii="Times New Roman" w:hAnsi="Times New Roman"/>
                <w:sz w:val="20"/>
                <w:szCs w:val="20"/>
                <w:lang w:val="en-US"/>
              </w:rPr>
            </w:pPr>
          </w:p>
          <w:p w:rsidR="004B2880" w:rsidRPr="00355361" w:rsidRDefault="004B2880" w:rsidP="00AF4B65">
            <w:pPr>
              <w:spacing w:after="0" w:line="240" w:lineRule="auto"/>
              <w:rPr>
                <w:rFonts w:ascii="Times New Roman" w:hAnsi="Times New Roman"/>
                <w:sz w:val="20"/>
                <w:szCs w:val="20"/>
              </w:rPr>
            </w:pPr>
            <w:r w:rsidRPr="00AF4B65">
              <w:rPr>
                <w:rFonts w:ascii="Times New Roman" w:hAnsi="Times New Roman"/>
                <w:sz w:val="20"/>
                <w:szCs w:val="20"/>
              </w:rPr>
              <w:t>В статье рассмотрены вопросы обоснования расходов налогоплательщика при исчислении налога на прибыль организаций. Авторами исследованы установленные признаки расхода, применение аналогии норм права и закона при рассмотрении вопросов об обосновании налоговой выгоды, обоснованы и предложены приемы обеспечения соблюдения требования должного документального оформл</w:t>
            </w:r>
            <w:r>
              <w:rPr>
                <w:rFonts w:ascii="Times New Roman" w:hAnsi="Times New Roman"/>
                <w:sz w:val="20"/>
                <w:szCs w:val="20"/>
              </w:rPr>
              <w:t>ения фактов хозяйственной жизни</w:t>
            </w:r>
          </w:p>
          <w:p w:rsidR="004B2880" w:rsidRPr="00AF4B65" w:rsidRDefault="004B2880" w:rsidP="00AF4B65">
            <w:pPr>
              <w:spacing w:after="0" w:line="240" w:lineRule="auto"/>
              <w:rPr>
                <w:rFonts w:ascii="Times New Roman" w:hAnsi="Times New Roman"/>
                <w:sz w:val="20"/>
                <w:szCs w:val="20"/>
              </w:rPr>
            </w:pPr>
          </w:p>
        </w:tc>
        <w:tc>
          <w:tcPr>
            <w:tcW w:w="4642" w:type="dxa"/>
          </w:tcPr>
          <w:p w:rsidR="004B2880" w:rsidRPr="00AF4B65" w:rsidRDefault="004B2880" w:rsidP="00AF4B65">
            <w:pPr>
              <w:spacing w:after="0" w:line="240" w:lineRule="auto"/>
              <w:rPr>
                <w:rFonts w:ascii="Times New Roman" w:hAnsi="Times New Roman"/>
                <w:sz w:val="20"/>
                <w:szCs w:val="20"/>
              </w:rPr>
            </w:pPr>
          </w:p>
          <w:p w:rsidR="004B2880" w:rsidRPr="00AF4B65" w:rsidRDefault="004B2880" w:rsidP="00AF4B65">
            <w:pPr>
              <w:spacing w:after="0" w:line="240" w:lineRule="auto"/>
              <w:rPr>
                <w:rFonts w:ascii="Times New Roman" w:hAnsi="Times New Roman"/>
                <w:sz w:val="20"/>
                <w:szCs w:val="20"/>
                <w:lang w:val="en-US"/>
              </w:rPr>
            </w:pPr>
            <w:r w:rsidRPr="00AF4B65">
              <w:rPr>
                <w:rFonts w:ascii="Times New Roman" w:hAnsi="Times New Roman"/>
                <w:color w:val="000000"/>
                <w:sz w:val="20"/>
                <w:szCs w:val="20"/>
                <w:lang w:val="en-US"/>
              </w:rPr>
              <w:t xml:space="preserve">In the article </w:t>
            </w:r>
            <w:r>
              <w:rPr>
                <w:rFonts w:ascii="Times New Roman" w:hAnsi="Times New Roman"/>
                <w:color w:val="000000"/>
                <w:sz w:val="20"/>
                <w:szCs w:val="20"/>
                <w:lang w:val="en-US"/>
              </w:rPr>
              <w:t xml:space="preserve">we have shown </w:t>
            </w:r>
            <w:r w:rsidRPr="00AF4B65">
              <w:rPr>
                <w:rFonts w:ascii="Times New Roman" w:hAnsi="Times New Roman"/>
                <w:color w:val="000000"/>
                <w:sz w:val="20"/>
                <w:szCs w:val="20"/>
                <w:lang w:val="en-US"/>
              </w:rPr>
              <w:t xml:space="preserve">the questions of substantiation of expenses of </w:t>
            </w:r>
            <w:r>
              <w:rPr>
                <w:rFonts w:ascii="Times New Roman" w:hAnsi="Times New Roman"/>
                <w:color w:val="000000"/>
                <w:sz w:val="20"/>
                <w:szCs w:val="20"/>
                <w:lang w:val="en-US"/>
              </w:rPr>
              <w:t>a</w:t>
            </w:r>
            <w:r w:rsidRPr="00AF4B65">
              <w:rPr>
                <w:rFonts w:ascii="Times New Roman" w:hAnsi="Times New Roman"/>
                <w:color w:val="000000"/>
                <w:sz w:val="20"/>
                <w:szCs w:val="20"/>
                <w:lang w:val="en-US"/>
              </w:rPr>
              <w:t xml:space="preserve"> taxpayer for tax on profit of organizations. The authors studied the established characteristics of consumption, the application of analogy of law and of the law when considering the questions about the rationale for the tax benefits, studied and proposed techniques to ensure proper documentation of the facts of economic life</w:t>
            </w:r>
          </w:p>
        </w:tc>
      </w:tr>
      <w:tr w:rsidR="004B2880" w:rsidRPr="00EF26D0" w:rsidTr="00355361">
        <w:trPr>
          <w:trHeight w:val="605"/>
          <w:jc w:val="center"/>
        </w:trPr>
        <w:tc>
          <w:tcPr>
            <w:tcW w:w="4643" w:type="dxa"/>
          </w:tcPr>
          <w:p w:rsidR="004B2880" w:rsidRPr="00AF4B65" w:rsidRDefault="004B2880" w:rsidP="00AF4B65">
            <w:pPr>
              <w:spacing w:after="0" w:line="240" w:lineRule="auto"/>
              <w:rPr>
                <w:rFonts w:ascii="Times New Roman" w:hAnsi="Times New Roman"/>
                <w:sz w:val="20"/>
                <w:szCs w:val="20"/>
              </w:rPr>
            </w:pPr>
            <w:r w:rsidRPr="00AF4B65">
              <w:rPr>
                <w:rFonts w:ascii="Times New Roman" w:hAnsi="Times New Roman"/>
                <w:sz w:val="20"/>
                <w:szCs w:val="20"/>
              </w:rPr>
              <w:t>Ключевые слова: КОНТРОЛЬ, УЧЕТ, НАЛОГ НА ПРИБЫЛЬ ОРГАНИЗАЦИЙ, ЭКОНОМИЧЕСКИЙ СУБЪЕКТ, НАЛОГОВАЯ ВЫГОДА</w:t>
            </w:r>
          </w:p>
        </w:tc>
        <w:tc>
          <w:tcPr>
            <w:tcW w:w="4642" w:type="dxa"/>
          </w:tcPr>
          <w:p w:rsidR="004B2880" w:rsidRPr="00355361" w:rsidRDefault="004B2880" w:rsidP="00AF4B65">
            <w:pPr>
              <w:spacing w:after="0" w:line="240" w:lineRule="auto"/>
              <w:rPr>
                <w:rFonts w:ascii="Times New Roman" w:hAnsi="Times New Roman"/>
                <w:color w:val="000000"/>
                <w:sz w:val="20"/>
                <w:szCs w:val="20"/>
                <w:lang w:val="en-US"/>
              </w:rPr>
            </w:pPr>
            <w:r w:rsidRPr="00AF4B65">
              <w:rPr>
                <w:rFonts w:ascii="Times New Roman" w:hAnsi="Times New Roman"/>
                <w:sz w:val="20"/>
                <w:szCs w:val="20"/>
                <w:lang w:val="en-US"/>
              </w:rPr>
              <w:t xml:space="preserve">Keywords: </w:t>
            </w:r>
            <w:r w:rsidRPr="00AF4B65">
              <w:rPr>
                <w:rFonts w:ascii="Times New Roman" w:hAnsi="Times New Roman"/>
                <w:color w:val="000000"/>
                <w:sz w:val="20"/>
                <w:szCs w:val="20"/>
                <w:lang w:val="en-US"/>
              </w:rPr>
              <w:t xml:space="preserve">CONTROL, ACCOUNTING, TAX </w:t>
            </w:r>
            <w:r>
              <w:rPr>
                <w:rFonts w:ascii="Times New Roman" w:hAnsi="Times New Roman"/>
                <w:color w:val="000000"/>
                <w:sz w:val="20"/>
                <w:szCs w:val="20"/>
                <w:lang w:val="en-US"/>
              </w:rPr>
              <w:t xml:space="preserve">ON PROFIT OF ORGANIZATIONS, </w:t>
            </w:r>
            <w:r w:rsidRPr="00AF4B65">
              <w:rPr>
                <w:rFonts w:ascii="Times New Roman" w:hAnsi="Times New Roman"/>
                <w:color w:val="000000"/>
                <w:sz w:val="20"/>
                <w:szCs w:val="20"/>
                <w:lang w:val="en-US"/>
              </w:rPr>
              <w:t>ECONOMIC ENTITY, TAX BENEFIT</w:t>
            </w:r>
          </w:p>
        </w:tc>
      </w:tr>
    </w:tbl>
    <w:p w:rsidR="004B2880" w:rsidRPr="005251C9" w:rsidRDefault="004B2880" w:rsidP="008F1610">
      <w:pPr>
        <w:autoSpaceDE w:val="0"/>
        <w:autoSpaceDN w:val="0"/>
        <w:adjustRightInd w:val="0"/>
        <w:spacing w:after="0" w:line="360" w:lineRule="auto"/>
        <w:ind w:firstLine="540"/>
        <w:jc w:val="both"/>
        <w:rPr>
          <w:rFonts w:ascii="Times New Roman" w:hAnsi="Times New Roman"/>
          <w:sz w:val="28"/>
          <w:szCs w:val="28"/>
          <w:lang w:val="en-US"/>
        </w:rPr>
      </w:pPr>
    </w:p>
    <w:p w:rsidR="004B2880" w:rsidRDefault="004B2880" w:rsidP="008F1610">
      <w:pPr>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При установлении правовых норм, определяющих порядок исчисления налогов и, в частности, налога на прибыль организаций, законодатель реализует политику в области налогообложения и экономики, в целом исходя из поставленных целей и задач. Притом, что достижение цели и выполнение задач в большинстве своем требуют согласования, а нередко влекут противопоставление интересов участников соответствующих общественных отношений. Важно обеспечить достижение цели с одновременным удовлетворением интересов различных субъектов, что не всегда становится возможным. Указанное обуславливает необходимость возложения дополнительных обязанностей и в допустимой мере ущемление свобод субъектов таких отношений. Следует одновременно обеспечить понимание особенностей и правил реализации мероприятий налоговой и экономической политики в целях недопущения конфликта интересов, формирования негативного отношения к установленному порядку и обязательствам.</w:t>
      </w:r>
    </w:p>
    <w:p w:rsidR="004B2880" w:rsidRDefault="004B2880" w:rsidP="008F1610">
      <w:pPr>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 xml:space="preserve">В ходе исчисления налога на прибыль организаций не утихают дискуссии и продолжаются споры, в том числе и в судебном порядке, по вопросу применения положений статьи 252 Налогового кодекса Российской Федерации (далее по тексту – НК РФ) в части признания расходов как необходимого элемента механизма расчета налога. Налоговые органы занимают позицию четкого, вплоть до соблюдения формальных требований установления величины и подтверждения величины расхода, что, на практике вызывает споры, сводящиеся к доказыванию обоснованности получения налогоплательщиком налоговой выгоды пусть даже при невыполнении ряда требований к правилам документального оформления и достоверности расходов в связи с не проявлением должной осмотрительности. Ситуация заслуживает внимания в части трактовок положений НК РФ как контролирующими органами, в лице, прежде всего, налогового органа, так и судебных органов при рассмотрении существа подобных споров. </w:t>
      </w:r>
    </w:p>
    <w:p w:rsidR="004B2880" w:rsidRPr="00B62D8F" w:rsidRDefault="004B2880" w:rsidP="008F1610">
      <w:pPr>
        <w:autoSpaceDE w:val="0"/>
        <w:autoSpaceDN w:val="0"/>
        <w:adjustRightInd w:val="0"/>
        <w:spacing w:after="0" w:line="360" w:lineRule="auto"/>
        <w:ind w:firstLine="540"/>
        <w:jc w:val="both"/>
        <w:rPr>
          <w:rFonts w:ascii="Times New Roman" w:hAnsi="Times New Roman"/>
          <w:sz w:val="28"/>
          <w:szCs w:val="28"/>
        </w:rPr>
      </w:pPr>
      <w:r w:rsidRPr="00B62D8F">
        <w:rPr>
          <w:rFonts w:ascii="Times New Roman" w:hAnsi="Times New Roman"/>
          <w:sz w:val="28"/>
          <w:szCs w:val="28"/>
        </w:rPr>
        <w:t>Президиум ВАС РФ от 03.07.2012 № 2341/12 по делу № А71-13079/2010-А17 установ</w:t>
      </w:r>
      <w:r>
        <w:rPr>
          <w:rFonts w:ascii="Times New Roman" w:hAnsi="Times New Roman"/>
          <w:sz w:val="28"/>
          <w:szCs w:val="28"/>
        </w:rPr>
        <w:t>ил</w:t>
      </w:r>
      <w:r w:rsidRPr="00B62D8F">
        <w:rPr>
          <w:rFonts w:ascii="Times New Roman" w:hAnsi="Times New Roman"/>
          <w:sz w:val="28"/>
          <w:szCs w:val="28"/>
        </w:rPr>
        <w:t xml:space="preserve"> необходимость выяснения в ходе проведения мероприятий налогового контроля уполномоченными органами реальных обстоятельств осуществления хозяйственных операций в целях обоснования налоговой выгоды по налогу на прибыль организаций. Причем вне зависимости от содержания и квалификации и второго необходимого условия признания расходов в целях исчисления налога на прибыль организаций. Положения указанного постановления приняты во внимание при проведении проверок Федеральной налоговой службой России. Такая позиция вызывает недоумение по следующим причинам</w:t>
      </w:r>
      <w:r>
        <w:rPr>
          <w:rFonts w:ascii="Times New Roman" w:hAnsi="Times New Roman"/>
          <w:sz w:val="28"/>
          <w:szCs w:val="28"/>
        </w:rPr>
        <w:t xml:space="preserve"> </w:t>
      </w:r>
      <w:r w:rsidRPr="005251C9">
        <w:rPr>
          <w:rFonts w:ascii="Times New Roman" w:hAnsi="Times New Roman"/>
          <w:sz w:val="28"/>
          <w:szCs w:val="28"/>
        </w:rPr>
        <w:t>[</w:t>
      </w:r>
      <w:r>
        <w:rPr>
          <w:rFonts w:ascii="Times New Roman" w:hAnsi="Times New Roman"/>
          <w:sz w:val="28"/>
          <w:szCs w:val="28"/>
        </w:rPr>
        <w:t>6</w:t>
      </w:r>
      <w:r w:rsidRPr="005251C9">
        <w:rPr>
          <w:rFonts w:ascii="Times New Roman" w:hAnsi="Times New Roman"/>
          <w:sz w:val="28"/>
          <w:szCs w:val="28"/>
        </w:rPr>
        <w:t>]</w:t>
      </w:r>
      <w:r w:rsidRPr="00B62D8F">
        <w:rPr>
          <w:rFonts w:ascii="Times New Roman" w:hAnsi="Times New Roman"/>
          <w:sz w:val="28"/>
          <w:szCs w:val="28"/>
        </w:rPr>
        <w:t>.</w:t>
      </w:r>
    </w:p>
    <w:p w:rsidR="004B2880" w:rsidRPr="00B62D8F" w:rsidRDefault="004B2880" w:rsidP="008F1610">
      <w:pPr>
        <w:autoSpaceDE w:val="0"/>
        <w:autoSpaceDN w:val="0"/>
        <w:adjustRightInd w:val="0"/>
        <w:spacing w:after="0" w:line="360" w:lineRule="auto"/>
        <w:ind w:firstLine="540"/>
        <w:jc w:val="both"/>
        <w:rPr>
          <w:rFonts w:ascii="Times New Roman" w:hAnsi="Times New Roman"/>
          <w:sz w:val="28"/>
          <w:szCs w:val="28"/>
        </w:rPr>
      </w:pPr>
      <w:hyperlink r:id="rId7" w:history="1">
        <w:r w:rsidRPr="00B62D8F">
          <w:rPr>
            <w:rFonts w:ascii="Times New Roman" w:hAnsi="Times New Roman"/>
            <w:sz w:val="28"/>
            <w:szCs w:val="28"/>
          </w:rPr>
          <w:t>Пунктом 1 статьи 252</w:t>
        </w:r>
      </w:hyperlink>
      <w:r w:rsidRPr="00B62D8F">
        <w:rPr>
          <w:rFonts w:ascii="Times New Roman" w:hAnsi="Times New Roman"/>
          <w:sz w:val="28"/>
          <w:szCs w:val="28"/>
        </w:rPr>
        <w:t xml:space="preserve"> Кодекса установлено, что налогоплательщик уменьшает полученные доходы на сумму произведенных расходов (за исключением расходов, указанных в </w:t>
      </w:r>
      <w:hyperlink r:id="rId8" w:history="1">
        <w:r w:rsidRPr="00B62D8F">
          <w:rPr>
            <w:rFonts w:ascii="Times New Roman" w:hAnsi="Times New Roman"/>
            <w:sz w:val="28"/>
            <w:szCs w:val="28"/>
          </w:rPr>
          <w:t>статье 270</w:t>
        </w:r>
      </w:hyperlink>
      <w:r w:rsidRPr="00B62D8F">
        <w:rPr>
          <w:rFonts w:ascii="Times New Roman" w:hAnsi="Times New Roman"/>
          <w:sz w:val="28"/>
          <w:szCs w:val="28"/>
        </w:rPr>
        <w:t xml:space="preserve"> НК РФ). Расходами признаются обоснованные и документально подтвержденные затраты (а в случаях, предусмотренных </w:t>
      </w:r>
      <w:hyperlink r:id="rId9" w:history="1">
        <w:r w:rsidRPr="00B62D8F">
          <w:rPr>
            <w:rFonts w:ascii="Times New Roman" w:hAnsi="Times New Roman"/>
            <w:sz w:val="28"/>
            <w:szCs w:val="28"/>
          </w:rPr>
          <w:t>статьей 265</w:t>
        </w:r>
      </w:hyperlink>
      <w:r w:rsidRPr="00B62D8F">
        <w:rPr>
          <w:rFonts w:ascii="Times New Roman" w:hAnsi="Times New Roman"/>
          <w:sz w:val="28"/>
          <w:szCs w:val="28"/>
        </w:rPr>
        <w:t xml:space="preserve"> НК РФ, убытки), осуществленные (понесенные) налогоплательщиком. Под обоснованными расходами понимаются экономически оправданные затраты, оценка которых выражена в денежной форме. Под документально подтвержденными расходами понимаются затраты, подтвержденные документами, оформленными в соответствии с законодательством Российской Федерации. Расходами признаются любые затраты при условии, что они произведены для осуществления деятельности, направленной на получение дохода</w:t>
      </w:r>
      <w:r>
        <w:rPr>
          <w:rFonts w:ascii="Times New Roman" w:hAnsi="Times New Roman"/>
          <w:sz w:val="28"/>
          <w:szCs w:val="28"/>
        </w:rPr>
        <w:t xml:space="preserve"> </w:t>
      </w:r>
      <w:r w:rsidRPr="00AF6952">
        <w:rPr>
          <w:rFonts w:ascii="Times New Roman" w:hAnsi="Times New Roman"/>
          <w:sz w:val="28"/>
          <w:szCs w:val="28"/>
        </w:rPr>
        <w:t>[</w:t>
      </w:r>
      <w:r>
        <w:rPr>
          <w:rFonts w:ascii="Times New Roman" w:hAnsi="Times New Roman"/>
          <w:sz w:val="28"/>
          <w:szCs w:val="28"/>
        </w:rPr>
        <w:t>2</w:t>
      </w:r>
      <w:r w:rsidRPr="00AF6952">
        <w:rPr>
          <w:rFonts w:ascii="Times New Roman" w:hAnsi="Times New Roman"/>
          <w:sz w:val="28"/>
          <w:szCs w:val="28"/>
        </w:rPr>
        <w:t>]</w:t>
      </w:r>
      <w:r w:rsidRPr="00B62D8F">
        <w:rPr>
          <w:rFonts w:ascii="Times New Roman" w:hAnsi="Times New Roman"/>
          <w:sz w:val="28"/>
          <w:szCs w:val="28"/>
        </w:rPr>
        <w:t>.</w:t>
      </w:r>
    </w:p>
    <w:p w:rsidR="004B2880" w:rsidRPr="00B62D8F" w:rsidRDefault="004B2880" w:rsidP="008F1610">
      <w:pPr>
        <w:autoSpaceDE w:val="0"/>
        <w:autoSpaceDN w:val="0"/>
        <w:adjustRightInd w:val="0"/>
        <w:spacing w:after="0" w:line="360" w:lineRule="auto"/>
        <w:ind w:firstLine="540"/>
        <w:jc w:val="both"/>
        <w:rPr>
          <w:rFonts w:ascii="Times New Roman" w:hAnsi="Times New Roman"/>
          <w:sz w:val="28"/>
          <w:szCs w:val="28"/>
        </w:rPr>
      </w:pPr>
      <w:r w:rsidRPr="00B62D8F">
        <w:rPr>
          <w:rFonts w:ascii="Times New Roman" w:hAnsi="Times New Roman"/>
          <w:sz w:val="28"/>
          <w:szCs w:val="28"/>
        </w:rPr>
        <w:t xml:space="preserve">Заметим, что законодатель при установлении условий признания расходов для целей исчисления налога установил два признака: </w:t>
      </w:r>
    </w:p>
    <w:p w:rsidR="004B2880" w:rsidRPr="00B62D8F" w:rsidRDefault="004B2880" w:rsidP="008F1610">
      <w:pPr>
        <w:pStyle w:val="ListParagraph"/>
        <w:numPr>
          <w:ilvl w:val="0"/>
          <w:numId w:val="1"/>
        </w:numPr>
        <w:autoSpaceDE w:val="0"/>
        <w:autoSpaceDN w:val="0"/>
        <w:adjustRightInd w:val="0"/>
        <w:spacing w:after="0" w:line="360" w:lineRule="auto"/>
        <w:jc w:val="both"/>
        <w:rPr>
          <w:rFonts w:ascii="Times New Roman" w:hAnsi="Times New Roman"/>
          <w:sz w:val="28"/>
          <w:szCs w:val="28"/>
        </w:rPr>
      </w:pPr>
      <w:r w:rsidRPr="00B62D8F">
        <w:rPr>
          <w:rFonts w:ascii="Times New Roman" w:hAnsi="Times New Roman"/>
          <w:sz w:val="28"/>
          <w:szCs w:val="28"/>
        </w:rPr>
        <w:t>Экономическое обоснование расходов.</w:t>
      </w:r>
    </w:p>
    <w:p w:rsidR="004B2880" w:rsidRPr="00B62D8F" w:rsidRDefault="004B2880" w:rsidP="008F1610">
      <w:pPr>
        <w:pStyle w:val="ListParagraph"/>
        <w:numPr>
          <w:ilvl w:val="0"/>
          <w:numId w:val="1"/>
        </w:numPr>
        <w:autoSpaceDE w:val="0"/>
        <w:autoSpaceDN w:val="0"/>
        <w:adjustRightInd w:val="0"/>
        <w:spacing w:after="0" w:line="360" w:lineRule="auto"/>
        <w:jc w:val="both"/>
        <w:rPr>
          <w:rFonts w:ascii="Times New Roman" w:hAnsi="Times New Roman"/>
          <w:sz w:val="28"/>
          <w:szCs w:val="28"/>
        </w:rPr>
      </w:pPr>
      <w:r w:rsidRPr="00B62D8F">
        <w:rPr>
          <w:rFonts w:ascii="Times New Roman" w:hAnsi="Times New Roman"/>
          <w:sz w:val="28"/>
          <w:szCs w:val="28"/>
        </w:rPr>
        <w:t>Документальное подтверждение затрат.</w:t>
      </w:r>
    </w:p>
    <w:p w:rsidR="004B2880" w:rsidRPr="00B62D8F" w:rsidRDefault="004B2880" w:rsidP="008F1610">
      <w:pPr>
        <w:autoSpaceDE w:val="0"/>
        <w:autoSpaceDN w:val="0"/>
        <w:adjustRightInd w:val="0"/>
        <w:spacing w:after="0" w:line="360" w:lineRule="auto"/>
        <w:ind w:firstLine="540"/>
        <w:jc w:val="both"/>
        <w:rPr>
          <w:rFonts w:ascii="Times New Roman" w:hAnsi="Times New Roman"/>
          <w:sz w:val="28"/>
          <w:szCs w:val="28"/>
        </w:rPr>
      </w:pPr>
      <w:r w:rsidRPr="00B62D8F">
        <w:rPr>
          <w:rFonts w:ascii="Times New Roman" w:hAnsi="Times New Roman"/>
          <w:sz w:val="28"/>
          <w:szCs w:val="28"/>
        </w:rPr>
        <w:t>О самостоятельности этих признаков свидетельствует дальнейший текст рассматриваемой статьи 252 НК РФ. Так, обоснованными расходами понимаются экономически оправданные затраты, оценка которых выражена в денежной форме. Именно в этом положении определена необходимость обоснования экономической сущности, хозяйственной цели и хозяйственной целесообразности (экономической обоснованности) произведенных затрат, совершенных хозяйственных операций, факта совершения хозяйственной операции</w:t>
      </w:r>
      <w:r>
        <w:rPr>
          <w:rFonts w:ascii="Times New Roman" w:hAnsi="Times New Roman"/>
          <w:sz w:val="28"/>
          <w:szCs w:val="28"/>
        </w:rPr>
        <w:t xml:space="preserve"> [2]</w:t>
      </w:r>
      <w:r w:rsidRPr="00B62D8F">
        <w:rPr>
          <w:rFonts w:ascii="Times New Roman" w:hAnsi="Times New Roman"/>
          <w:sz w:val="28"/>
          <w:szCs w:val="28"/>
        </w:rPr>
        <w:t xml:space="preserve">. </w:t>
      </w:r>
    </w:p>
    <w:p w:rsidR="004B2880" w:rsidRPr="00B62D8F" w:rsidRDefault="004B2880" w:rsidP="00AA33AE">
      <w:pPr>
        <w:autoSpaceDE w:val="0"/>
        <w:autoSpaceDN w:val="0"/>
        <w:adjustRightInd w:val="0"/>
        <w:spacing w:after="0" w:line="360" w:lineRule="auto"/>
        <w:ind w:firstLine="540"/>
        <w:jc w:val="both"/>
        <w:rPr>
          <w:rFonts w:ascii="Times New Roman" w:hAnsi="Times New Roman"/>
          <w:sz w:val="28"/>
          <w:szCs w:val="28"/>
        </w:rPr>
      </w:pPr>
      <w:r w:rsidRPr="00B62D8F">
        <w:rPr>
          <w:rFonts w:ascii="Times New Roman" w:hAnsi="Times New Roman"/>
          <w:sz w:val="28"/>
          <w:szCs w:val="28"/>
        </w:rPr>
        <w:t xml:space="preserve">Далее законодатель приводит требования к признаку документального подтверждения затрат, указывая, что документально подтвержденными расходами являются затраты, подтвержденные документами, оформленными в соответствии с законодательством Российской Федерации. Федеральным законом «О бухгалтерском учете» установлено, что все хозяйственные операции, проводимые организацией, должны оформляться оправдательными документами. Эти документы служат первичными учетными документами, на основании которых ведется бухгалтерский учет. Первичные учетные документы принимаются к учету, если они составлены по </w:t>
      </w:r>
      <w:hyperlink r:id="rId10" w:history="1">
        <w:r w:rsidRPr="00B62D8F">
          <w:rPr>
            <w:rFonts w:ascii="Times New Roman" w:hAnsi="Times New Roman"/>
            <w:sz w:val="28"/>
            <w:szCs w:val="28"/>
          </w:rPr>
          <w:t>форме</w:t>
        </w:r>
      </w:hyperlink>
      <w:r w:rsidRPr="00B62D8F">
        <w:rPr>
          <w:rFonts w:ascii="Times New Roman" w:hAnsi="Times New Roman"/>
          <w:sz w:val="28"/>
          <w:szCs w:val="28"/>
        </w:rPr>
        <w:t>, содержащейся в альбомах унифицированных форм первичной учетной документации, а документы, форма которых не предусмотрена в этих альбомах, должны содержать следующие обязательные реквизиты:</w:t>
      </w:r>
    </w:p>
    <w:p w:rsidR="004B2880" w:rsidRPr="00B62D8F" w:rsidRDefault="004B2880" w:rsidP="00AA33AE">
      <w:pPr>
        <w:autoSpaceDE w:val="0"/>
        <w:autoSpaceDN w:val="0"/>
        <w:adjustRightInd w:val="0"/>
        <w:spacing w:after="0" w:line="360" w:lineRule="auto"/>
        <w:ind w:firstLine="540"/>
        <w:jc w:val="both"/>
        <w:rPr>
          <w:rFonts w:ascii="Times New Roman" w:hAnsi="Times New Roman"/>
          <w:sz w:val="28"/>
          <w:szCs w:val="28"/>
        </w:rPr>
      </w:pPr>
      <w:r w:rsidRPr="00B62D8F">
        <w:rPr>
          <w:rFonts w:ascii="Times New Roman" w:hAnsi="Times New Roman"/>
          <w:sz w:val="28"/>
          <w:szCs w:val="28"/>
        </w:rPr>
        <w:t>а) наименование документа;</w:t>
      </w:r>
    </w:p>
    <w:p w:rsidR="004B2880" w:rsidRPr="00B62D8F" w:rsidRDefault="004B2880" w:rsidP="00AA33AE">
      <w:pPr>
        <w:autoSpaceDE w:val="0"/>
        <w:autoSpaceDN w:val="0"/>
        <w:adjustRightInd w:val="0"/>
        <w:spacing w:after="0" w:line="360" w:lineRule="auto"/>
        <w:ind w:firstLine="540"/>
        <w:jc w:val="both"/>
        <w:rPr>
          <w:rFonts w:ascii="Times New Roman" w:hAnsi="Times New Roman"/>
          <w:sz w:val="28"/>
          <w:szCs w:val="28"/>
        </w:rPr>
      </w:pPr>
      <w:r w:rsidRPr="00B62D8F">
        <w:rPr>
          <w:rFonts w:ascii="Times New Roman" w:hAnsi="Times New Roman"/>
          <w:sz w:val="28"/>
          <w:szCs w:val="28"/>
        </w:rPr>
        <w:t>б) дату составления документа;</w:t>
      </w:r>
    </w:p>
    <w:p w:rsidR="004B2880" w:rsidRPr="00B62D8F" w:rsidRDefault="004B2880" w:rsidP="00AA33AE">
      <w:pPr>
        <w:autoSpaceDE w:val="0"/>
        <w:autoSpaceDN w:val="0"/>
        <w:adjustRightInd w:val="0"/>
        <w:spacing w:after="0" w:line="360" w:lineRule="auto"/>
        <w:ind w:firstLine="540"/>
        <w:jc w:val="both"/>
        <w:rPr>
          <w:rFonts w:ascii="Times New Roman" w:hAnsi="Times New Roman"/>
          <w:sz w:val="28"/>
          <w:szCs w:val="28"/>
        </w:rPr>
      </w:pPr>
      <w:r w:rsidRPr="00B62D8F">
        <w:rPr>
          <w:rFonts w:ascii="Times New Roman" w:hAnsi="Times New Roman"/>
          <w:sz w:val="28"/>
          <w:szCs w:val="28"/>
        </w:rPr>
        <w:t>в) наименование организации, от имени которой составлен документ;</w:t>
      </w:r>
    </w:p>
    <w:p w:rsidR="004B2880" w:rsidRPr="00B62D8F" w:rsidRDefault="004B2880" w:rsidP="00AA33AE">
      <w:pPr>
        <w:autoSpaceDE w:val="0"/>
        <w:autoSpaceDN w:val="0"/>
        <w:adjustRightInd w:val="0"/>
        <w:spacing w:after="0" w:line="360" w:lineRule="auto"/>
        <w:ind w:firstLine="540"/>
        <w:jc w:val="both"/>
        <w:rPr>
          <w:rFonts w:ascii="Times New Roman" w:hAnsi="Times New Roman"/>
          <w:sz w:val="28"/>
          <w:szCs w:val="28"/>
        </w:rPr>
      </w:pPr>
      <w:r w:rsidRPr="00B62D8F">
        <w:rPr>
          <w:rFonts w:ascii="Times New Roman" w:hAnsi="Times New Roman"/>
          <w:sz w:val="28"/>
          <w:szCs w:val="28"/>
        </w:rPr>
        <w:t>г) содержание хозяйственной операции;</w:t>
      </w:r>
    </w:p>
    <w:p w:rsidR="004B2880" w:rsidRPr="00B62D8F" w:rsidRDefault="004B2880" w:rsidP="00AA33AE">
      <w:pPr>
        <w:autoSpaceDE w:val="0"/>
        <w:autoSpaceDN w:val="0"/>
        <w:adjustRightInd w:val="0"/>
        <w:spacing w:after="0" w:line="360" w:lineRule="auto"/>
        <w:ind w:firstLine="540"/>
        <w:jc w:val="both"/>
        <w:rPr>
          <w:rFonts w:ascii="Times New Roman" w:hAnsi="Times New Roman"/>
          <w:sz w:val="28"/>
          <w:szCs w:val="28"/>
        </w:rPr>
      </w:pPr>
      <w:r w:rsidRPr="00B62D8F">
        <w:rPr>
          <w:rFonts w:ascii="Times New Roman" w:hAnsi="Times New Roman"/>
          <w:sz w:val="28"/>
          <w:szCs w:val="28"/>
        </w:rPr>
        <w:t>д) измерители хозяйственной операции в натуральном и денежном выражении;</w:t>
      </w:r>
    </w:p>
    <w:p w:rsidR="004B2880" w:rsidRPr="00B62D8F" w:rsidRDefault="004B2880" w:rsidP="00AA33AE">
      <w:pPr>
        <w:autoSpaceDE w:val="0"/>
        <w:autoSpaceDN w:val="0"/>
        <w:adjustRightInd w:val="0"/>
        <w:spacing w:after="0" w:line="360" w:lineRule="auto"/>
        <w:ind w:firstLine="540"/>
        <w:jc w:val="both"/>
        <w:rPr>
          <w:rFonts w:ascii="Times New Roman" w:hAnsi="Times New Roman"/>
          <w:sz w:val="28"/>
          <w:szCs w:val="28"/>
        </w:rPr>
      </w:pPr>
      <w:r w:rsidRPr="00B62D8F">
        <w:rPr>
          <w:rFonts w:ascii="Times New Roman" w:hAnsi="Times New Roman"/>
          <w:sz w:val="28"/>
          <w:szCs w:val="28"/>
        </w:rPr>
        <w:t>е) наименование должностей лиц, ответственных за совершение хозяйственной операции и правильность ее оформления;</w:t>
      </w:r>
    </w:p>
    <w:p w:rsidR="004B2880" w:rsidRPr="00B62D8F" w:rsidRDefault="004B2880" w:rsidP="00AA33AE">
      <w:pPr>
        <w:autoSpaceDE w:val="0"/>
        <w:autoSpaceDN w:val="0"/>
        <w:adjustRightInd w:val="0"/>
        <w:spacing w:after="0" w:line="360" w:lineRule="auto"/>
        <w:ind w:firstLine="540"/>
        <w:jc w:val="both"/>
        <w:rPr>
          <w:rFonts w:ascii="Times New Roman" w:hAnsi="Times New Roman"/>
          <w:sz w:val="28"/>
          <w:szCs w:val="28"/>
        </w:rPr>
      </w:pPr>
      <w:r w:rsidRPr="00B62D8F">
        <w:rPr>
          <w:rFonts w:ascii="Times New Roman" w:hAnsi="Times New Roman"/>
          <w:sz w:val="28"/>
          <w:szCs w:val="28"/>
        </w:rPr>
        <w:t>ж) личные подписи указанных лиц. При этом перечень лиц, имеющих право подписи первичных учетных документов, утверждает руководитель организации по согласованию с главным бухгалтером</w:t>
      </w:r>
      <w:r w:rsidRPr="00122B2B">
        <w:rPr>
          <w:rFonts w:ascii="Times New Roman" w:hAnsi="Times New Roman"/>
          <w:sz w:val="28"/>
          <w:szCs w:val="28"/>
        </w:rPr>
        <w:t xml:space="preserve"> [</w:t>
      </w:r>
      <w:r>
        <w:rPr>
          <w:rFonts w:ascii="Times New Roman" w:hAnsi="Times New Roman"/>
          <w:sz w:val="28"/>
          <w:szCs w:val="28"/>
        </w:rPr>
        <w:t>3</w:t>
      </w:r>
      <w:r w:rsidRPr="00122B2B">
        <w:rPr>
          <w:rFonts w:ascii="Times New Roman" w:hAnsi="Times New Roman"/>
          <w:sz w:val="28"/>
          <w:szCs w:val="28"/>
        </w:rPr>
        <w:t>]</w:t>
      </w:r>
      <w:r w:rsidRPr="00B62D8F">
        <w:rPr>
          <w:rFonts w:ascii="Times New Roman" w:hAnsi="Times New Roman"/>
          <w:sz w:val="28"/>
          <w:szCs w:val="28"/>
        </w:rPr>
        <w:t>.</w:t>
      </w:r>
    </w:p>
    <w:p w:rsidR="004B2880" w:rsidRPr="00B62D8F" w:rsidRDefault="004B2880" w:rsidP="00AA33AE">
      <w:pPr>
        <w:autoSpaceDE w:val="0"/>
        <w:autoSpaceDN w:val="0"/>
        <w:adjustRightInd w:val="0"/>
        <w:spacing w:after="0" w:line="360" w:lineRule="auto"/>
        <w:ind w:firstLine="540"/>
        <w:jc w:val="both"/>
        <w:rPr>
          <w:rFonts w:ascii="Times New Roman" w:hAnsi="Times New Roman"/>
          <w:sz w:val="28"/>
          <w:szCs w:val="28"/>
        </w:rPr>
      </w:pPr>
      <w:r w:rsidRPr="00B62D8F">
        <w:rPr>
          <w:rFonts w:ascii="Times New Roman" w:hAnsi="Times New Roman"/>
          <w:sz w:val="28"/>
          <w:szCs w:val="28"/>
        </w:rPr>
        <w:t xml:space="preserve">Таким образом, признание расходов для целей исчисления налога на прибыль организаций обусловлено двумя самостоятельными признаками, обязанность по соблюдению которых возложена на налогоплательщика, стремящегося получить обоснованную налоговую выгоду при исчислении налога на прибыль организаций. </w:t>
      </w:r>
    </w:p>
    <w:p w:rsidR="004B2880" w:rsidRPr="00B62D8F" w:rsidRDefault="004B2880" w:rsidP="008F1610">
      <w:pPr>
        <w:autoSpaceDE w:val="0"/>
        <w:autoSpaceDN w:val="0"/>
        <w:adjustRightInd w:val="0"/>
        <w:spacing w:after="0" w:line="360" w:lineRule="auto"/>
        <w:ind w:firstLine="540"/>
        <w:jc w:val="both"/>
        <w:rPr>
          <w:rFonts w:ascii="Times New Roman" w:hAnsi="Times New Roman"/>
          <w:sz w:val="28"/>
          <w:szCs w:val="28"/>
        </w:rPr>
      </w:pPr>
      <w:r w:rsidRPr="00B62D8F">
        <w:rPr>
          <w:rFonts w:ascii="Times New Roman" w:hAnsi="Times New Roman"/>
          <w:sz w:val="28"/>
          <w:szCs w:val="28"/>
        </w:rPr>
        <w:t>В исследуемом Постановлении ВАС РФ рассмотрен хозяйственный спор между ОАО «Камский завод железобетонных изделий и конструкций» и Межрайонной инспекци</w:t>
      </w:r>
      <w:r>
        <w:rPr>
          <w:rFonts w:ascii="Times New Roman" w:hAnsi="Times New Roman"/>
          <w:sz w:val="28"/>
          <w:szCs w:val="28"/>
        </w:rPr>
        <w:t>ей</w:t>
      </w:r>
      <w:r w:rsidRPr="00B62D8F">
        <w:rPr>
          <w:rFonts w:ascii="Times New Roman" w:hAnsi="Times New Roman"/>
          <w:sz w:val="28"/>
          <w:szCs w:val="28"/>
        </w:rPr>
        <w:t xml:space="preserve"> Федеральной налоговой службы № 3 по Удмуртской Республике (далее - инспекция) от 27.08.2010 № 11-04/013</w:t>
      </w:r>
      <w:r>
        <w:rPr>
          <w:rFonts w:ascii="Times New Roman" w:hAnsi="Times New Roman"/>
          <w:sz w:val="28"/>
          <w:szCs w:val="28"/>
        </w:rPr>
        <w:t>,</w:t>
      </w:r>
      <w:r w:rsidRPr="00B62D8F">
        <w:rPr>
          <w:rFonts w:ascii="Times New Roman" w:hAnsi="Times New Roman"/>
          <w:sz w:val="28"/>
          <w:szCs w:val="28"/>
        </w:rPr>
        <w:t xml:space="preserve"> в части доначисления 43 294 043 рублей налога на прибыль организаций, 34 890 794 рублей налога на добавленную стоимость, начисления соответствующих сумм пеней и налоговых санкций, а также требования об уплате налога, сбора, пеней, штрафа, произведенные по результатам проведенных мероприятий налогового контроля</w:t>
      </w:r>
      <w:r>
        <w:rPr>
          <w:rFonts w:ascii="Times New Roman" w:hAnsi="Times New Roman"/>
          <w:sz w:val="28"/>
          <w:szCs w:val="28"/>
        </w:rPr>
        <w:t xml:space="preserve"> </w:t>
      </w:r>
      <w:r w:rsidRPr="00122B2B">
        <w:rPr>
          <w:rFonts w:ascii="Times New Roman" w:hAnsi="Times New Roman"/>
          <w:sz w:val="28"/>
          <w:szCs w:val="28"/>
        </w:rPr>
        <w:t>[</w:t>
      </w:r>
      <w:r>
        <w:rPr>
          <w:rFonts w:ascii="Times New Roman" w:hAnsi="Times New Roman"/>
          <w:sz w:val="28"/>
          <w:szCs w:val="28"/>
        </w:rPr>
        <w:t>6</w:t>
      </w:r>
      <w:r w:rsidRPr="00122B2B">
        <w:rPr>
          <w:rFonts w:ascii="Times New Roman" w:hAnsi="Times New Roman"/>
          <w:sz w:val="28"/>
          <w:szCs w:val="28"/>
        </w:rPr>
        <w:t>]</w:t>
      </w:r>
      <w:r w:rsidRPr="00B62D8F">
        <w:rPr>
          <w:rFonts w:ascii="Times New Roman" w:hAnsi="Times New Roman"/>
          <w:sz w:val="28"/>
          <w:szCs w:val="28"/>
        </w:rPr>
        <w:t xml:space="preserve">. </w:t>
      </w:r>
    </w:p>
    <w:p w:rsidR="004B2880" w:rsidRPr="00B62D8F" w:rsidRDefault="004B2880" w:rsidP="008F1610">
      <w:pPr>
        <w:autoSpaceDE w:val="0"/>
        <w:autoSpaceDN w:val="0"/>
        <w:adjustRightInd w:val="0"/>
        <w:spacing w:after="0" w:line="360" w:lineRule="auto"/>
        <w:ind w:firstLine="540"/>
        <w:jc w:val="both"/>
        <w:rPr>
          <w:rFonts w:ascii="Times New Roman" w:hAnsi="Times New Roman"/>
          <w:sz w:val="28"/>
          <w:szCs w:val="28"/>
        </w:rPr>
      </w:pPr>
      <w:r w:rsidRPr="00B62D8F">
        <w:rPr>
          <w:rFonts w:ascii="Times New Roman" w:hAnsi="Times New Roman"/>
          <w:sz w:val="28"/>
          <w:szCs w:val="28"/>
        </w:rPr>
        <w:t>Основанием для доначисления указанной суммы налога на прибыль послужил вывод инспекции о необоснованном включении заводом в состав расходов затрат, произведенных по хозяйственным операциям с обществом с ограниченной ответственностью «УПК-Металл» (далее - общество «УПК-Металл», общество).</w:t>
      </w:r>
    </w:p>
    <w:p w:rsidR="004B2880" w:rsidRPr="00B62D8F" w:rsidRDefault="004B2880" w:rsidP="008F1610">
      <w:pPr>
        <w:autoSpaceDE w:val="0"/>
        <w:autoSpaceDN w:val="0"/>
        <w:adjustRightInd w:val="0"/>
        <w:spacing w:after="0" w:line="360" w:lineRule="auto"/>
        <w:ind w:firstLine="540"/>
        <w:jc w:val="both"/>
        <w:rPr>
          <w:rFonts w:ascii="Times New Roman" w:hAnsi="Times New Roman"/>
          <w:sz w:val="28"/>
          <w:szCs w:val="28"/>
        </w:rPr>
      </w:pPr>
      <w:r w:rsidRPr="00B62D8F">
        <w:rPr>
          <w:rFonts w:ascii="Times New Roman" w:hAnsi="Times New Roman"/>
          <w:sz w:val="28"/>
          <w:szCs w:val="28"/>
        </w:rPr>
        <w:t>Необходимо отметить основное содержание спора. Так, из материалов дела усматривается, что основным видом деятельности завода является производство изделий из бетона, используемых в строительстве. Для осуществления этого вида деятельности между заводом и обществом «УПК-Металл» был заключен договор поставки от 10.10.2005 № 283/05 (далее - договор поставки), в рамках реализации которого в адрес завода в период с января 2006 года по апрель 2007 года производилась поставка металла, цемента, электродов, резины, аккумуляторов и отводов (далее - сырье). В подтверждение поставки сырья завод представил счета-фактуры, товарные и железнодорожные накладные, путевые листы.</w:t>
      </w:r>
    </w:p>
    <w:p w:rsidR="004B2880" w:rsidRPr="00B62D8F" w:rsidRDefault="004B2880" w:rsidP="008F1610">
      <w:pPr>
        <w:autoSpaceDE w:val="0"/>
        <w:autoSpaceDN w:val="0"/>
        <w:adjustRightInd w:val="0"/>
        <w:spacing w:after="0" w:line="360" w:lineRule="auto"/>
        <w:ind w:firstLine="540"/>
        <w:jc w:val="both"/>
        <w:rPr>
          <w:rFonts w:ascii="Times New Roman" w:hAnsi="Times New Roman"/>
          <w:sz w:val="28"/>
          <w:szCs w:val="28"/>
        </w:rPr>
      </w:pPr>
      <w:r w:rsidRPr="00B62D8F">
        <w:rPr>
          <w:rFonts w:ascii="Times New Roman" w:hAnsi="Times New Roman"/>
          <w:sz w:val="28"/>
          <w:szCs w:val="28"/>
        </w:rPr>
        <w:t>Всего за период действия договора поставки заводу было поставлено сырья на сумму 212 862 382 рубля 42 копейки (с учетом налога на добавленную стоимость в размере 32 470 532 рублей 87 копеек).</w:t>
      </w:r>
    </w:p>
    <w:p w:rsidR="004B2880" w:rsidRPr="00B62D8F" w:rsidRDefault="004B2880" w:rsidP="008F1610">
      <w:pPr>
        <w:autoSpaceDE w:val="0"/>
        <w:autoSpaceDN w:val="0"/>
        <w:adjustRightInd w:val="0"/>
        <w:spacing w:after="0" w:line="360" w:lineRule="auto"/>
        <w:ind w:firstLine="540"/>
        <w:jc w:val="both"/>
        <w:rPr>
          <w:rFonts w:ascii="Times New Roman" w:hAnsi="Times New Roman"/>
          <w:sz w:val="28"/>
          <w:szCs w:val="28"/>
        </w:rPr>
      </w:pPr>
      <w:r w:rsidRPr="00B62D8F">
        <w:rPr>
          <w:rFonts w:ascii="Times New Roman" w:hAnsi="Times New Roman"/>
          <w:sz w:val="28"/>
          <w:szCs w:val="28"/>
        </w:rPr>
        <w:t>Оплата сырья и использование его в производстве подтверждаются платежными поручениями, выписками банка, актами приема-передачи векселей, актами взаимозачетов, актами списания сырья в производство, отчетами движения готовой продукции.</w:t>
      </w:r>
    </w:p>
    <w:p w:rsidR="004B2880" w:rsidRPr="00B62D8F" w:rsidRDefault="004B2880" w:rsidP="008F1610">
      <w:pPr>
        <w:autoSpaceDE w:val="0"/>
        <w:autoSpaceDN w:val="0"/>
        <w:adjustRightInd w:val="0"/>
        <w:spacing w:after="0" w:line="360" w:lineRule="auto"/>
        <w:ind w:firstLine="540"/>
        <w:jc w:val="both"/>
        <w:rPr>
          <w:rFonts w:ascii="Times New Roman" w:hAnsi="Times New Roman"/>
          <w:sz w:val="28"/>
          <w:szCs w:val="28"/>
        </w:rPr>
      </w:pPr>
      <w:r w:rsidRPr="00B62D8F">
        <w:rPr>
          <w:rFonts w:ascii="Times New Roman" w:hAnsi="Times New Roman"/>
          <w:sz w:val="28"/>
          <w:szCs w:val="28"/>
        </w:rPr>
        <w:t>Факт совершения заводом реальных хозяйственных операций по приобретению сырья в объемах, которые обеспечивали потребность в нем для производства готовой продукции на 95,9 процента в 2006 году и на 87 процентов в 2007 году, а также длительный характер хозяйственных связей с обществом «УПК-Металл» (общество в спорный период являлось единственным поставщиком указанного сырья заводу) инспекцией под сомнение не ставились. Тем не менее</w:t>
      </w:r>
      <w:r>
        <w:rPr>
          <w:rFonts w:ascii="Times New Roman" w:hAnsi="Times New Roman"/>
          <w:sz w:val="28"/>
          <w:szCs w:val="28"/>
        </w:rPr>
        <w:t>,</w:t>
      </w:r>
      <w:r w:rsidRPr="00B62D8F">
        <w:rPr>
          <w:rFonts w:ascii="Times New Roman" w:hAnsi="Times New Roman"/>
          <w:sz w:val="28"/>
          <w:szCs w:val="28"/>
        </w:rPr>
        <w:t xml:space="preserve"> инспекция признала экономически неоправданными расходы по приобретению сырья у данного поставщика, ссылаясь на недостоверность первичных документов, подтверждающих эти операции.</w:t>
      </w:r>
    </w:p>
    <w:p w:rsidR="004B2880" w:rsidRPr="00B62D8F" w:rsidRDefault="004B2880" w:rsidP="008F1610">
      <w:pPr>
        <w:autoSpaceDE w:val="0"/>
        <w:autoSpaceDN w:val="0"/>
        <w:adjustRightInd w:val="0"/>
        <w:spacing w:after="0" w:line="360" w:lineRule="auto"/>
        <w:ind w:firstLine="540"/>
        <w:jc w:val="both"/>
        <w:rPr>
          <w:rFonts w:ascii="Times New Roman" w:hAnsi="Times New Roman"/>
          <w:sz w:val="28"/>
          <w:szCs w:val="28"/>
        </w:rPr>
      </w:pPr>
      <w:r w:rsidRPr="00B62D8F">
        <w:rPr>
          <w:rFonts w:ascii="Times New Roman" w:hAnsi="Times New Roman"/>
          <w:sz w:val="28"/>
          <w:szCs w:val="28"/>
        </w:rPr>
        <w:t>Соглашаясь с выводами инспекции, суды, рассматривающие спор в первой и последующих инстанциях, исходили из того, что реальность хозяйственной операции, наличие у завода спорного сырья и использование его в производстве сами по себе не являются достаточным основанием для квалификации в качестве обоснованной полученной им налоговой выгоды в виде отнесения в состав расходов произведенных им затрат по оплате приобретенного сырья.</w:t>
      </w:r>
    </w:p>
    <w:p w:rsidR="004B2880" w:rsidRPr="00B62D8F" w:rsidRDefault="004B2880" w:rsidP="008F1610">
      <w:pPr>
        <w:autoSpaceDE w:val="0"/>
        <w:autoSpaceDN w:val="0"/>
        <w:adjustRightInd w:val="0"/>
        <w:spacing w:after="0" w:line="360" w:lineRule="auto"/>
        <w:ind w:firstLine="540"/>
        <w:jc w:val="both"/>
        <w:rPr>
          <w:rFonts w:ascii="Times New Roman" w:hAnsi="Times New Roman"/>
          <w:sz w:val="28"/>
          <w:szCs w:val="28"/>
        </w:rPr>
      </w:pPr>
      <w:r w:rsidRPr="00B62D8F">
        <w:rPr>
          <w:rFonts w:ascii="Times New Roman" w:hAnsi="Times New Roman"/>
          <w:sz w:val="28"/>
          <w:szCs w:val="28"/>
        </w:rPr>
        <w:t>Суды, приняв во внимание регистрацию общества «УПК-Металл» по адресу «массовой регистрации», отсутствие собственных и арендованных основных средств, транспорта и персонала в спорном периоде, отрицание лицами, являвшимися руководителями в рассматриваемый период, наличия хозяйственных отношений с заводом, а также их неосведомленность о деятельности учрежденного общества, пришли к выводу о несоответствии первичных учетных документов завода требованиям действующего законодательства о бухгалтерском учете. Наряду с приведенными обстоятельствами суды поставили заводу в вину не</w:t>
      </w:r>
      <w:r>
        <w:rPr>
          <w:rFonts w:ascii="Times New Roman" w:hAnsi="Times New Roman"/>
          <w:sz w:val="28"/>
          <w:szCs w:val="28"/>
        </w:rPr>
        <w:t xml:space="preserve"> </w:t>
      </w:r>
      <w:r w:rsidRPr="00B62D8F">
        <w:rPr>
          <w:rFonts w:ascii="Times New Roman" w:hAnsi="Times New Roman"/>
          <w:sz w:val="28"/>
          <w:szCs w:val="28"/>
        </w:rPr>
        <w:t>проявление необходимой степени осмотрительности при выборе данного контрагента.</w:t>
      </w:r>
    </w:p>
    <w:p w:rsidR="004B2880" w:rsidRPr="00B62D8F" w:rsidRDefault="004B2880" w:rsidP="00893745">
      <w:pPr>
        <w:autoSpaceDE w:val="0"/>
        <w:autoSpaceDN w:val="0"/>
        <w:adjustRightInd w:val="0"/>
        <w:spacing w:after="0" w:line="360" w:lineRule="auto"/>
        <w:ind w:firstLine="540"/>
        <w:jc w:val="both"/>
        <w:rPr>
          <w:rFonts w:ascii="Times New Roman" w:hAnsi="Times New Roman"/>
          <w:sz w:val="28"/>
          <w:szCs w:val="28"/>
        </w:rPr>
      </w:pPr>
      <w:r w:rsidRPr="00B62D8F">
        <w:rPr>
          <w:rFonts w:ascii="Times New Roman" w:hAnsi="Times New Roman"/>
          <w:sz w:val="28"/>
          <w:szCs w:val="28"/>
        </w:rPr>
        <w:t xml:space="preserve">Следует отметить ключевое значение соблюдения в данном споре признака признания расходов при исчислении налога на прибыль организаций, устанавливающего необходимость подтверждения затрат учетными документами. Как видится, именно этот признак положен в основу вины налогоплательщика. Однако, по мнению Президиума, признавая обоснованным исключение инспекцией из состава расходов всей суммы затрат завода, связанных с </w:t>
      </w:r>
      <w:r>
        <w:rPr>
          <w:rFonts w:ascii="Times New Roman" w:hAnsi="Times New Roman"/>
          <w:sz w:val="28"/>
          <w:szCs w:val="28"/>
        </w:rPr>
        <w:t>приобретением сырья у общества «</w:t>
      </w:r>
      <w:r w:rsidRPr="00B62D8F">
        <w:rPr>
          <w:rFonts w:ascii="Times New Roman" w:hAnsi="Times New Roman"/>
          <w:sz w:val="28"/>
          <w:szCs w:val="28"/>
        </w:rPr>
        <w:t>УПК-Металл</w:t>
      </w:r>
      <w:r>
        <w:rPr>
          <w:rFonts w:ascii="Times New Roman" w:hAnsi="Times New Roman"/>
          <w:sz w:val="28"/>
          <w:szCs w:val="28"/>
        </w:rPr>
        <w:t>»</w:t>
      </w:r>
      <w:r w:rsidRPr="00B62D8F">
        <w:rPr>
          <w:rFonts w:ascii="Times New Roman" w:hAnsi="Times New Roman"/>
          <w:sz w:val="28"/>
          <w:szCs w:val="28"/>
        </w:rPr>
        <w:t xml:space="preserve">, суды не учли, что определение размера налоговых обязательств при наличии сомнений в обоснованности налоговой выгоды должно производиться с учетом реального характера сделки и ее действительного экономического смысла. Такая позиция обусловлена Пленумом Высшего Арбитражного Суда Российской Федерации в </w:t>
      </w:r>
      <w:hyperlink r:id="rId11" w:history="1">
        <w:r w:rsidRPr="00B62D8F">
          <w:rPr>
            <w:rFonts w:ascii="Times New Roman" w:hAnsi="Times New Roman"/>
            <w:sz w:val="28"/>
            <w:szCs w:val="28"/>
          </w:rPr>
          <w:t>пункте 3</w:t>
        </w:r>
      </w:hyperlink>
      <w:r w:rsidRPr="00B62D8F">
        <w:rPr>
          <w:rFonts w:ascii="Times New Roman" w:hAnsi="Times New Roman"/>
          <w:sz w:val="28"/>
          <w:szCs w:val="28"/>
        </w:rPr>
        <w:t xml:space="preserve"> постановления от 12.10.2006 № 53 </w:t>
      </w:r>
      <w:r>
        <w:rPr>
          <w:rFonts w:ascii="Times New Roman" w:hAnsi="Times New Roman"/>
          <w:sz w:val="28"/>
          <w:szCs w:val="28"/>
        </w:rPr>
        <w:t>«</w:t>
      </w:r>
      <w:r w:rsidRPr="00B62D8F">
        <w:rPr>
          <w:rFonts w:ascii="Times New Roman" w:hAnsi="Times New Roman"/>
          <w:sz w:val="28"/>
          <w:szCs w:val="28"/>
        </w:rPr>
        <w:t>Об оценке арбитражными судами обоснованности получения налогоплательщиком налоговой выгоды</w:t>
      </w:r>
      <w:r>
        <w:rPr>
          <w:rFonts w:ascii="Times New Roman" w:hAnsi="Times New Roman"/>
          <w:sz w:val="28"/>
          <w:szCs w:val="28"/>
        </w:rPr>
        <w:t>»</w:t>
      </w:r>
      <w:r w:rsidRPr="00B62D8F">
        <w:rPr>
          <w:rFonts w:ascii="Times New Roman" w:hAnsi="Times New Roman"/>
          <w:sz w:val="28"/>
          <w:szCs w:val="28"/>
        </w:rPr>
        <w:t xml:space="preserve"> (далее - постановление № 53), который постановил, что налоговая выгода может быть признана необоснованной, в частности, в случаях, если для целей налогообложения учтены операции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При этом в </w:t>
      </w:r>
      <w:hyperlink r:id="rId12" w:history="1">
        <w:r w:rsidRPr="00B62D8F">
          <w:rPr>
            <w:rFonts w:ascii="Times New Roman" w:hAnsi="Times New Roman"/>
            <w:sz w:val="28"/>
            <w:szCs w:val="28"/>
          </w:rPr>
          <w:t>пункте 7</w:t>
        </w:r>
      </w:hyperlink>
      <w:r w:rsidRPr="00B62D8F">
        <w:rPr>
          <w:rFonts w:ascii="Times New Roman" w:hAnsi="Times New Roman"/>
          <w:sz w:val="28"/>
          <w:szCs w:val="28"/>
        </w:rPr>
        <w:t xml:space="preserve"> постановления № 53 установлено, что</w:t>
      </w:r>
      <w:r>
        <w:rPr>
          <w:rFonts w:ascii="Times New Roman" w:hAnsi="Times New Roman"/>
          <w:sz w:val="28"/>
          <w:szCs w:val="28"/>
        </w:rPr>
        <w:t>,</w:t>
      </w:r>
      <w:r w:rsidRPr="00B62D8F">
        <w:rPr>
          <w:rFonts w:ascii="Times New Roman" w:hAnsi="Times New Roman"/>
          <w:sz w:val="28"/>
          <w:szCs w:val="28"/>
        </w:rPr>
        <w:t xml:space="preserve"> если суд на основании оценки представленных налоговым органом и налогоплательщиком доказательств придет к выводу о том, что налогоплательщик для целей налогообложения учел операции не в соответствии с их действительным экономическим смыслом, суд определяет объем прав и обязанностей налогоплательщика, исходя из подлинного экономического содержания соответствующей операции.</w:t>
      </w:r>
    </w:p>
    <w:p w:rsidR="004B2880" w:rsidRPr="00B62D8F" w:rsidRDefault="004B2880" w:rsidP="009F4AA1">
      <w:pPr>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Однако</w:t>
      </w:r>
      <w:r w:rsidRPr="00B62D8F">
        <w:rPr>
          <w:rFonts w:ascii="Times New Roman" w:hAnsi="Times New Roman"/>
          <w:sz w:val="28"/>
          <w:szCs w:val="28"/>
        </w:rPr>
        <w:t xml:space="preserve"> следует отметить суть обращение ВАС РФ при рассмотрении спора к вышеуказанному постановлению № 53. По нашему мнению, изначально смещенный акцент к доказыванию признака экономической обоснованности расходов и необоснованное игнорирование ключевого признака должного документального оформления, положенного в основу доказывания вины налогоплательщика, послужил основой избежание должного рассмотрения и удалению внимания доказыванию соблюдения именно этого ключевого признака в споре. В итоге ВАС РФ приходит к заключению, что определение размера налоговых обязательств при наличии сомнений в обоснованности налоговой выгоды должно производиться с учетом реального характера сделки и ее действительного экономического смысла и, следовательно, при принятии инспекцией оспариваемого решения, в котором была установлена недостоверность представленных заводом документов и содержались предположения о наличии в его действиях умысла на получение необоснованной налоговой выгоды</w:t>
      </w:r>
      <w:r>
        <w:rPr>
          <w:rFonts w:ascii="Times New Roman" w:hAnsi="Times New Roman"/>
          <w:sz w:val="28"/>
          <w:szCs w:val="28"/>
        </w:rPr>
        <w:t>,</w:t>
      </w:r>
      <w:r w:rsidRPr="00B62D8F">
        <w:rPr>
          <w:rFonts w:ascii="Times New Roman" w:hAnsi="Times New Roman"/>
          <w:sz w:val="28"/>
          <w:szCs w:val="28"/>
        </w:rPr>
        <w:t xml:space="preserve"> либо не проявлении должной осмотрительности при выборе контрагента, реальный размер предполагаемой налоговой выгоды и понесенных налогоплательщиком затрат при исчислении налога на прибыль подлежит определению исходя из рыночных цен, применяемых по аналогичных сделкам.</w:t>
      </w:r>
    </w:p>
    <w:p w:rsidR="004B2880" w:rsidRPr="00B62D8F" w:rsidRDefault="004B2880" w:rsidP="00A91AC0">
      <w:pPr>
        <w:autoSpaceDE w:val="0"/>
        <w:autoSpaceDN w:val="0"/>
        <w:adjustRightInd w:val="0"/>
        <w:spacing w:after="0" w:line="360" w:lineRule="auto"/>
        <w:ind w:firstLine="540"/>
        <w:jc w:val="both"/>
        <w:rPr>
          <w:rFonts w:ascii="Times New Roman" w:hAnsi="Times New Roman"/>
          <w:sz w:val="28"/>
          <w:szCs w:val="28"/>
        </w:rPr>
      </w:pPr>
      <w:r w:rsidRPr="00B62D8F">
        <w:rPr>
          <w:rFonts w:ascii="Times New Roman" w:hAnsi="Times New Roman"/>
          <w:sz w:val="28"/>
          <w:szCs w:val="28"/>
        </w:rPr>
        <w:t>То есть ВАС РФ ключевой признак необходимости документального подтверждения рассмотрел как недостоверность представленных налогоплательщиком документов, тем самым не позволяющих определить характеристики понесенных налогоплательщиком затрат, то есть соответствие их рыночным ценам, применяемы</w:t>
      </w:r>
      <w:r>
        <w:rPr>
          <w:rFonts w:ascii="Times New Roman" w:hAnsi="Times New Roman"/>
          <w:sz w:val="28"/>
          <w:szCs w:val="28"/>
        </w:rPr>
        <w:t>м</w:t>
      </w:r>
      <w:r w:rsidRPr="00B62D8F">
        <w:rPr>
          <w:rFonts w:ascii="Times New Roman" w:hAnsi="Times New Roman"/>
          <w:sz w:val="28"/>
          <w:szCs w:val="28"/>
        </w:rPr>
        <w:t xml:space="preserve"> по аналогичных сделкам. ВАС РФ увидел содержание признака расходов о необходимости документального подтверждения в свойстве достоверно отразить фактическую цену приобретенного</w:t>
      </w:r>
      <w:r>
        <w:rPr>
          <w:rFonts w:ascii="Times New Roman" w:hAnsi="Times New Roman"/>
          <w:sz w:val="28"/>
          <w:szCs w:val="28"/>
        </w:rPr>
        <w:t xml:space="preserve"> в рассматриваемом случае сырья и</w:t>
      </w:r>
      <w:r w:rsidRPr="00B62D8F">
        <w:rPr>
          <w:rFonts w:ascii="Times New Roman" w:hAnsi="Times New Roman"/>
          <w:sz w:val="28"/>
          <w:szCs w:val="28"/>
        </w:rPr>
        <w:t xml:space="preserve"> указывает налоговому органу на необходимость определения прав и обязанностей налогоплательщика при исчислении налога на прибыль организаций</w:t>
      </w:r>
      <w:r>
        <w:rPr>
          <w:rFonts w:ascii="Times New Roman" w:hAnsi="Times New Roman"/>
          <w:sz w:val="28"/>
          <w:szCs w:val="28"/>
        </w:rPr>
        <w:t>,</w:t>
      </w:r>
      <w:r w:rsidRPr="00B62D8F">
        <w:rPr>
          <w:rFonts w:ascii="Times New Roman" w:hAnsi="Times New Roman"/>
          <w:sz w:val="28"/>
          <w:szCs w:val="28"/>
        </w:rPr>
        <w:t xml:space="preserve"> исходя из реального экономического смысла операций</w:t>
      </w:r>
      <w:r>
        <w:rPr>
          <w:rFonts w:ascii="Times New Roman" w:hAnsi="Times New Roman"/>
          <w:sz w:val="28"/>
          <w:szCs w:val="28"/>
        </w:rPr>
        <w:t>,</w:t>
      </w:r>
      <w:r w:rsidRPr="00B62D8F">
        <w:rPr>
          <w:rFonts w:ascii="Times New Roman" w:hAnsi="Times New Roman"/>
          <w:sz w:val="28"/>
          <w:szCs w:val="28"/>
        </w:rPr>
        <w:t xml:space="preserve"> суммы затрат налогоплательщика</w:t>
      </w:r>
      <w:r>
        <w:rPr>
          <w:rFonts w:ascii="Times New Roman" w:hAnsi="Times New Roman"/>
          <w:sz w:val="28"/>
          <w:szCs w:val="28"/>
        </w:rPr>
        <w:t>,</w:t>
      </w:r>
      <w:r w:rsidRPr="00B62D8F">
        <w:rPr>
          <w:rFonts w:ascii="Times New Roman" w:hAnsi="Times New Roman"/>
          <w:sz w:val="28"/>
          <w:szCs w:val="28"/>
        </w:rPr>
        <w:t xml:space="preserve"> по которым должна определять</w:t>
      </w:r>
      <w:r>
        <w:rPr>
          <w:rFonts w:ascii="Times New Roman" w:hAnsi="Times New Roman"/>
          <w:sz w:val="28"/>
          <w:szCs w:val="28"/>
        </w:rPr>
        <w:t>,</w:t>
      </w:r>
      <w:r w:rsidRPr="00B62D8F">
        <w:rPr>
          <w:rFonts w:ascii="Times New Roman" w:hAnsi="Times New Roman"/>
          <w:sz w:val="28"/>
          <w:szCs w:val="28"/>
        </w:rPr>
        <w:t xml:space="preserve"> исходя из рыночных цен, обосновывая, тем самым в рассматриваемом деле, несоответствие цен, указанных в представленных налогоплательщиком документах рыночным и, как следствие, завышение соответствующих расходов. Не согласить в полной мере с позицией ВАС РФ позволяет видение ситуации в том, что суть спора состоит не в определении непосредственно величины расходов, а в факте их документального подтверждения в соответствии с требованиями законодательства, в данном случае требований к первичному учетному документу, установленные Федеральным законом «О бухгалтерском учете». В рассматриваемом деле налоговый орган не ставит под сомнение реальность понесенных затрат и их величину вне зависимости от категории или вида цены, использованной при их определении для целей исчисления налога на прибыль организаций.</w:t>
      </w:r>
    </w:p>
    <w:p w:rsidR="004B2880" w:rsidRPr="00B62D8F" w:rsidRDefault="004B2880" w:rsidP="00A91AC0">
      <w:pPr>
        <w:autoSpaceDE w:val="0"/>
        <w:autoSpaceDN w:val="0"/>
        <w:adjustRightInd w:val="0"/>
        <w:spacing w:after="0" w:line="360" w:lineRule="auto"/>
        <w:ind w:firstLine="540"/>
        <w:jc w:val="both"/>
        <w:rPr>
          <w:rFonts w:ascii="Times New Roman" w:hAnsi="Times New Roman"/>
          <w:sz w:val="28"/>
          <w:szCs w:val="28"/>
        </w:rPr>
      </w:pPr>
      <w:r w:rsidRPr="00B62D8F">
        <w:rPr>
          <w:rFonts w:ascii="Times New Roman" w:hAnsi="Times New Roman"/>
          <w:sz w:val="28"/>
          <w:szCs w:val="28"/>
        </w:rPr>
        <w:t>Таким образом, необходимый признак расходов, состоящий в необходимости факта документального подтверждения совершенных налогоплательщиком хозяйственных операций, а не факта самих хозяйственных операций, не привлек к себе должного внимания в рассматриваемом постановлении ВАС РФ.  Исходя из чего</w:t>
      </w:r>
      <w:r>
        <w:rPr>
          <w:rFonts w:ascii="Times New Roman" w:hAnsi="Times New Roman"/>
          <w:sz w:val="28"/>
          <w:szCs w:val="28"/>
        </w:rPr>
        <w:t>,</w:t>
      </w:r>
      <w:r w:rsidRPr="00B62D8F">
        <w:rPr>
          <w:rFonts w:ascii="Times New Roman" w:hAnsi="Times New Roman"/>
          <w:sz w:val="28"/>
          <w:szCs w:val="28"/>
        </w:rPr>
        <w:t xml:space="preserve"> следует, что реальность хозяйственной операции, а именно</w:t>
      </w:r>
      <w:r>
        <w:rPr>
          <w:rFonts w:ascii="Times New Roman" w:hAnsi="Times New Roman"/>
          <w:sz w:val="28"/>
          <w:szCs w:val="28"/>
        </w:rPr>
        <w:t xml:space="preserve"> –</w:t>
      </w:r>
      <w:r w:rsidRPr="00B62D8F">
        <w:rPr>
          <w:rFonts w:ascii="Times New Roman" w:hAnsi="Times New Roman"/>
          <w:sz w:val="28"/>
          <w:szCs w:val="28"/>
        </w:rPr>
        <w:t xml:space="preserve"> наличие у налогоплательщика-покупателя спорного сырья и использование его в производстве сами по себе являются достаточным основанием для квалификации в качестве обоснованной полученной им налоговой выгоды</w:t>
      </w:r>
      <w:r>
        <w:rPr>
          <w:rFonts w:ascii="Times New Roman" w:hAnsi="Times New Roman"/>
          <w:sz w:val="28"/>
          <w:szCs w:val="28"/>
        </w:rPr>
        <w:t>,</w:t>
      </w:r>
      <w:r w:rsidRPr="00B62D8F">
        <w:rPr>
          <w:rFonts w:ascii="Times New Roman" w:hAnsi="Times New Roman"/>
          <w:sz w:val="28"/>
          <w:szCs w:val="28"/>
        </w:rPr>
        <w:t xml:space="preserve"> в виде отнесения в состав расходов произведенных им затрат по оплате приобретенного сырья, без необходимости должного документального оформления хозяйственной операции. </w:t>
      </w:r>
    </w:p>
    <w:p w:rsidR="004B2880" w:rsidRPr="00B62D8F" w:rsidRDefault="004B2880" w:rsidP="00094E97">
      <w:pPr>
        <w:autoSpaceDE w:val="0"/>
        <w:autoSpaceDN w:val="0"/>
        <w:adjustRightInd w:val="0"/>
        <w:spacing w:after="0" w:line="360" w:lineRule="auto"/>
        <w:ind w:firstLine="540"/>
        <w:jc w:val="both"/>
        <w:rPr>
          <w:rFonts w:ascii="Times New Roman" w:hAnsi="Times New Roman"/>
          <w:sz w:val="28"/>
          <w:szCs w:val="28"/>
        </w:rPr>
      </w:pPr>
      <w:r w:rsidRPr="00B62D8F">
        <w:rPr>
          <w:rFonts w:ascii="Times New Roman" w:hAnsi="Times New Roman"/>
          <w:sz w:val="28"/>
          <w:szCs w:val="28"/>
        </w:rPr>
        <w:t>В соответствии с рассматриваемым проставлением Президиума ВАС РФ от 03.07.2012 № 2341/12 по делу № А71-13079/2010-А17 ФНС России издает письмо от 24.12.2012 № СА-4-7/22020@ О направлении Постановления Президиума ВАС РФ от 03.07.2012 № 2341/12 указывает, что Президиум ВАС РФ отметил, что при принятии налоговым органом решения, в котором устанавливается недостоверность представленных налогоплательщиком документов и содержатся выводы о наличии в его действиях умысла на получение необоснованной налоговой выгоды</w:t>
      </w:r>
      <w:r>
        <w:rPr>
          <w:rFonts w:ascii="Times New Roman" w:hAnsi="Times New Roman"/>
          <w:sz w:val="28"/>
          <w:szCs w:val="28"/>
        </w:rPr>
        <w:t>,</w:t>
      </w:r>
      <w:r w:rsidRPr="00B62D8F">
        <w:rPr>
          <w:rFonts w:ascii="Times New Roman" w:hAnsi="Times New Roman"/>
          <w:sz w:val="28"/>
          <w:szCs w:val="28"/>
        </w:rPr>
        <w:t xml:space="preserve"> либо не проявлении должной осмотрительности при выборе контрагента, реальный размер предполагаемой налоговой выгоды и понесенных налогоплательщиком затрат при исчислении налога на прибыль организаций</w:t>
      </w:r>
      <w:r>
        <w:rPr>
          <w:rFonts w:ascii="Times New Roman" w:hAnsi="Times New Roman"/>
          <w:sz w:val="28"/>
          <w:szCs w:val="28"/>
        </w:rPr>
        <w:t>,</w:t>
      </w:r>
      <w:r w:rsidRPr="00B62D8F">
        <w:rPr>
          <w:rFonts w:ascii="Times New Roman" w:hAnsi="Times New Roman"/>
          <w:sz w:val="28"/>
          <w:szCs w:val="28"/>
        </w:rPr>
        <w:t xml:space="preserve"> подлежит определению</w:t>
      </w:r>
      <w:r>
        <w:rPr>
          <w:rFonts w:ascii="Times New Roman" w:hAnsi="Times New Roman"/>
          <w:sz w:val="28"/>
          <w:szCs w:val="28"/>
        </w:rPr>
        <w:t>,</w:t>
      </w:r>
      <w:r w:rsidRPr="00B62D8F">
        <w:rPr>
          <w:rFonts w:ascii="Times New Roman" w:hAnsi="Times New Roman"/>
          <w:sz w:val="28"/>
          <w:szCs w:val="28"/>
        </w:rPr>
        <w:t xml:space="preserve"> исходя из рыночных цен, применяемых по аналогичным сделкам. При проведении контрольных мероприятий налоговые органы должны устанавливать операции, которые действительно совершались </w:t>
      </w:r>
      <w:r>
        <w:rPr>
          <w:rFonts w:ascii="Times New Roman" w:hAnsi="Times New Roman"/>
          <w:sz w:val="28"/>
          <w:szCs w:val="28"/>
        </w:rPr>
        <w:t>–</w:t>
      </w:r>
      <w:r w:rsidRPr="00B62D8F">
        <w:rPr>
          <w:rFonts w:ascii="Times New Roman" w:hAnsi="Times New Roman"/>
          <w:sz w:val="28"/>
          <w:szCs w:val="28"/>
        </w:rPr>
        <w:t xml:space="preserve"> определять реальных производителей и поставщиков товаров (работ, услуг), устанавливать реальное движение товара, а также лиц, осуществлявших его транспортировку и т.п., и определять действительный размер понесенных налогоплательщиком расходов на основании результатов указанных мероприятий</w:t>
      </w:r>
      <w:r>
        <w:rPr>
          <w:rFonts w:ascii="Times New Roman" w:hAnsi="Times New Roman"/>
          <w:sz w:val="28"/>
          <w:szCs w:val="28"/>
        </w:rPr>
        <w:t xml:space="preserve"> </w:t>
      </w:r>
      <w:r w:rsidRPr="00122B2B">
        <w:rPr>
          <w:rFonts w:ascii="Times New Roman" w:hAnsi="Times New Roman"/>
          <w:sz w:val="28"/>
          <w:szCs w:val="28"/>
        </w:rPr>
        <w:t>[</w:t>
      </w:r>
      <w:r>
        <w:rPr>
          <w:rFonts w:ascii="Times New Roman" w:hAnsi="Times New Roman"/>
          <w:sz w:val="28"/>
          <w:szCs w:val="28"/>
        </w:rPr>
        <w:t>4</w:t>
      </w:r>
      <w:r w:rsidRPr="00122B2B">
        <w:rPr>
          <w:rFonts w:ascii="Times New Roman" w:hAnsi="Times New Roman"/>
          <w:sz w:val="28"/>
          <w:szCs w:val="28"/>
        </w:rPr>
        <w:t>]</w:t>
      </w:r>
      <w:r w:rsidRPr="00B62D8F">
        <w:rPr>
          <w:rFonts w:ascii="Times New Roman" w:hAnsi="Times New Roman"/>
          <w:sz w:val="28"/>
          <w:szCs w:val="28"/>
        </w:rPr>
        <w:t>.</w:t>
      </w:r>
    </w:p>
    <w:p w:rsidR="004B2880" w:rsidRPr="00B62D8F" w:rsidRDefault="004B2880" w:rsidP="00094E97">
      <w:pPr>
        <w:autoSpaceDE w:val="0"/>
        <w:autoSpaceDN w:val="0"/>
        <w:adjustRightInd w:val="0"/>
        <w:spacing w:after="0" w:line="360" w:lineRule="auto"/>
        <w:ind w:firstLine="540"/>
        <w:jc w:val="both"/>
        <w:rPr>
          <w:rFonts w:ascii="Times New Roman" w:hAnsi="Times New Roman"/>
          <w:sz w:val="28"/>
          <w:szCs w:val="28"/>
        </w:rPr>
      </w:pPr>
      <w:r w:rsidRPr="00B62D8F">
        <w:rPr>
          <w:rFonts w:ascii="Times New Roman" w:hAnsi="Times New Roman"/>
          <w:sz w:val="28"/>
          <w:szCs w:val="28"/>
        </w:rPr>
        <w:t xml:space="preserve">При этом ФНС России справедливо отмечает, что применение </w:t>
      </w:r>
      <w:hyperlink r:id="rId13" w:history="1">
        <w:r w:rsidRPr="00B62D8F">
          <w:rPr>
            <w:rFonts w:ascii="Times New Roman" w:hAnsi="Times New Roman"/>
            <w:sz w:val="28"/>
            <w:szCs w:val="28"/>
          </w:rPr>
          <w:t>постановления</w:t>
        </w:r>
      </w:hyperlink>
      <w:r w:rsidRPr="00B62D8F">
        <w:rPr>
          <w:rFonts w:ascii="Times New Roman" w:hAnsi="Times New Roman"/>
          <w:sz w:val="28"/>
          <w:szCs w:val="28"/>
        </w:rPr>
        <w:t xml:space="preserve"> Президиума ВАС РФ от 03.07.2012 № 2341/12 не распространяется на определение размера налоговых обязательств по налогу на добавленную стоимость, исходя из правовой позиции, изложенной в постановлениях Президиума ВАС РФ от 30.10.2007 </w:t>
      </w:r>
      <w:hyperlink r:id="rId14" w:history="1">
        <w:r w:rsidRPr="00B62D8F">
          <w:rPr>
            <w:rFonts w:ascii="Times New Roman" w:hAnsi="Times New Roman"/>
            <w:sz w:val="28"/>
            <w:szCs w:val="28"/>
          </w:rPr>
          <w:t>№ 8686/07</w:t>
        </w:r>
      </w:hyperlink>
      <w:r w:rsidRPr="00B62D8F">
        <w:rPr>
          <w:rFonts w:ascii="Times New Roman" w:hAnsi="Times New Roman"/>
          <w:sz w:val="28"/>
          <w:szCs w:val="28"/>
        </w:rPr>
        <w:t xml:space="preserve">, от 09.11.2010 </w:t>
      </w:r>
      <w:hyperlink r:id="rId15" w:history="1">
        <w:r w:rsidRPr="00B62D8F">
          <w:rPr>
            <w:rFonts w:ascii="Times New Roman" w:hAnsi="Times New Roman"/>
            <w:sz w:val="28"/>
            <w:szCs w:val="28"/>
          </w:rPr>
          <w:t>№ 6961/10</w:t>
        </w:r>
      </w:hyperlink>
      <w:r w:rsidRPr="00B62D8F">
        <w:rPr>
          <w:rFonts w:ascii="Times New Roman" w:hAnsi="Times New Roman"/>
          <w:sz w:val="28"/>
          <w:szCs w:val="28"/>
        </w:rPr>
        <w:t xml:space="preserve">, от 09.03.2011 </w:t>
      </w:r>
      <w:hyperlink r:id="rId16" w:history="1">
        <w:r w:rsidRPr="00B62D8F">
          <w:rPr>
            <w:rFonts w:ascii="Times New Roman" w:hAnsi="Times New Roman"/>
            <w:sz w:val="28"/>
            <w:szCs w:val="28"/>
          </w:rPr>
          <w:t>№ 14473/10</w:t>
        </w:r>
      </w:hyperlink>
      <w:r w:rsidRPr="00B62D8F">
        <w:rPr>
          <w:rFonts w:ascii="Times New Roman" w:hAnsi="Times New Roman"/>
          <w:sz w:val="28"/>
          <w:szCs w:val="28"/>
        </w:rPr>
        <w:t xml:space="preserve">, а также определении ВАС РФ от 26.04.2012 </w:t>
      </w:r>
      <w:hyperlink r:id="rId17" w:history="1">
        <w:r w:rsidRPr="00B62D8F">
          <w:rPr>
            <w:rFonts w:ascii="Times New Roman" w:hAnsi="Times New Roman"/>
            <w:sz w:val="28"/>
            <w:szCs w:val="28"/>
          </w:rPr>
          <w:t>№ ВАС-2341/12</w:t>
        </w:r>
      </w:hyperlink>
      <w:r w:rsidRPr="00B62D8F">
        <w:rPr>
          <w:rFonts w:ascii="Times New Roman" w:hAnsi="Times New Roman"/>
          <w:sz w:val="28"/>
          <w:szCs w:val="28"/>
        </w:rPr>
        <w:t xml:space="preserve"> по делу № А71-13079/2010-А17</w:t>
      </w:r>
      <w:r>
        <w:rPr>
          <w:rFonts w:ascii="Times New Roman" w:hAnsi="Times New Roman"/>
          <w:sz w:val="28"/>
          <w:szCs w:val="28"/>
        </w:rPr>
        <w:t xml:space="preserve"> </w:t>
      </w:r>
      <w:r w:rsidRPr="00122B2B">
        <w:rPr>
          <w:rFonts w:ascii="Times New Roman" w:hAnsi="Times New Roman"/>
          <w:sz w:val="28"/>
          <w:szCs w:val="28"/>
        </w:rPr>
        <w:t>[</w:t>
      </w:r>
      <w:r>
        <w:rPr>
          <w:rFonts w:ascii="Times New Roman" w:hAnsi="Times New Roman"/>
          <w:sz w:val="28"/>
          <w:szCs w:val="28"/>
        </w:rPr>
        <w:t>4</w:t>
      </w:r>
      <w:r w:rsidRPr="00122B2B">
        <w:rPr>
          <w:rFonts w:ascii="Times New Roman" w:hAnsi="Times New Roman"/>
          <w:sz w:val="28"/>
          <w:szCs w:val="28"/>
        </w:rPr>
        <w:t>]</w:t>
      </w:r>
      <w:r w:rsidRPr="00B62D8F">
        <w:rPr>
          <w:rFonts w:ascii="Times New Roman" w:hAnsi="Times New Roman"/>
          <w:sz w:val="28"/>
          <w:szCs w:val="28"/>
        </w:rPr>
        <w:t>.</w:t>
      </w:r>
    </w:p>
    <w:p w:rsidR="004B2880" w:rsidRPr="00B62D8F" w:rsidRDefault="004B2880" w:rsidP="00094E97">
      <w:pPr>
        <w:autoSpaceDE w:val="0"/>
        <w:autoSpaceDN w:val="0"/>
        <w:adjustRightInd w:val="0"/>
        <w:spacing w:after="0" w:line="360" w:lineRule="auto"/>
        <w:ind w:firstLine="540"/>
        <w:jc w:val="both"/>
        <w:rPr>
          <w:rFonts w:ascii="Times New Roman" w:hAnsi="Times New Roman"/>
          <w:sz w:val="28"/>
          <w:szCs w:val="28"/>
        </w:rPr>
      </w:pPr>
      <w:r w:rsidRPr="00B62D8F">
        <w:rPr>
          <w:rFonts w:ascii="Times New Roman" w:hAnsi="Times New Roman"/>
          <w:sz w:val="28"/>
          <w:szCs w:val="28"/>
        </w:rPr>
        <w:t xml:space="preserve">Так, </w:t>
      </w:r>
      <w:hyperlink r:id="rId18" w:history="1">
        <w:r w:rsidRPr="00B62D8F">
          <w:rPr>
            <w:rFonts w:ascii="Times New Roman" w:hAnsi="Times New Roman"/>
            <w:sz w:val="28"/>
            <w:szCs w:val="28"/>
          </w:rPr>
          <w:t>постановлением</w:t>
        </w:r>
      </w:hyperlink>
      <w:r w:rsidRPr="00B62D8F">
        <w:rPr>
          <w:rFonts w:ascii="Times New Roman" w:hAnsi="Times New Roman"/>
          <w:sz w:val="28"/>
          <w:szCs w:val="28"/>
        </w:rPr>
        <w:t xml:space="preserve"> Президиума ВАС РФ от 09.11.2010 </w:t>
      </w:r>
      <w:hyperlink r:id="rId19" w:history="1">
        <w:r w:rsidRPr="00B62D8F">
          <w:rPr>
            <w:rFonts w:ascii="Times New Roman" w:hAnsi="Times New Roman"/>
            <w:sz w:val="28"/>
            <w:szCs w:val="28"/>
          </w:rPr>
          <w:t>№ 6961/10</w:t>
        </w:r>
      </w:hyperlink>
      <w:r w:rsidRPr="00B62D8F">
        <w:rPr>
          <w:rFonts w:ascii="Times New Roman" w:hAnsi="Times New Roman"/>
          <w:sz w:val="28"/>
          <w:szCs w:val="28"/>
        </w:rPr>
        <w:t>, указано, в частности, что документальное обоснование права на налоговый вычет сумм НДС, уплаченных контрагентам, при приобретении товаров (работ, услуг) лежит на налогоплательщике. При этом исключена возможность использования в целях определения суммы налоговых вычетов расчетного метода. Следовательно, на налогоплательщике лежала обязанность представить документы, обосновывающие заявленный им налоговый вычет.</w:t>
      </w:r>
    </w:p>
    <w:p w:rsidR="004B2880" w:rsidRPr="00B62D8F" w:rsidRDefault="004B2880" w:rsidP="00A91AC0">
      <w:pPr>
        <w:autoSpaceDE w:val="0"/>
        <w:autoSpaceDN w:val="0"/>
        <w:adjustRightInd w:val="0"/>
        <w:spacing w:after="0" w:line="360" w:lineRule="auto"/>
        <w:ind w:firstLine="540"/>
        <w:jc w:val="both"/>
        <w:rPr>
          <w:rFonts w:ascii="Times New Roman" w:hAnsi="Times New Roman"/>
          <w:sz w:val="28"/>
          <w:szCs w:val="28"/>
        </w:rPr>
      </w:pPr>
      <w:r w:rsidRPr="00B62D8F">
        <w:rPr>
          <w:rFonts w:ascii="Times New Roman" w:hAnsi="Times New Roman"/>
          <w:sz w:val="28"/>
          <w:szCs w:val="28"/>
        </w:rPr>
        <w:t>Таким образом, в части порядка исчисления налога на добавленную стоимость, документальное подтверждение составляет основу права налогоплательщика, причем оно обособлено от возможности рассчитать к уплате налог, в том числе с применением расчетного метода, о чем прямо указано в п. 7 ст. 166 НК РФ. Тогда как расчет налога на прибыль организаций не увязан с возможностью произвести расчет без учета расходов. Но, по нашему мнению, если величина расходов не может быть признана вследствие несоблюдения одного из необходимых признаков расхода, то общая величина расхода принимается в той части, в которой она подтверждена соблюдением обоих установленных признаков расхода и на практике может быть равной н</w:t>
      </w:r>
      <w:r>
        <w:rPr>
          <w:rFonts w:ascii="Times New Roman" w:hAnsi="Times New Roman"/>
          <w:sz w:val="28"/>
          <w:szCs w:val="28"/>
        </w:rPr>
        <w:t>у</w:t>
      </w:r>
      <w:r w:rsidRPr="00B62D8F">
        <w:rPr>
          <w:rFonts w:ascii="Times New Roman" w:hAnsi="Times New Roman"/>
          <w:sz w:val="28"/>
          <w:szCs w:val="28"/>
        </w:rPr>
        <w:t>лю. В последнем случае, получается, что налогоплательщик при исчислении налога на прибыль получил доходы, но не получил расходы, а вся сумма дохода составляет прибыль и, соответственно, налоговую базу</w:t>
      </w:r>
      <w:r>
        <w:rPr>
          <w:rFonts w:ascii="Times New Roman" w:hAnsi="Times New Roman"/>
          <w:sz w:val="28"/>
          <w:szCs w:val="28"/>
        </w:rPr>
        <w:t>,</w:t>
      </w:r>
      <w:r w:rsidRPr="00B62D8F">
        <w:rPr>
          <w:rFonts w:ascii="Times New Roman" w:hAnsi="Times New Roman"/>
          <w:sz w:val="28"/>
          <w:szCs w:val="28"/>
        </w:rPr>
        <w:t xml:space="preserve"> с одной стороны</w:t>
      </w:r>
      <w:r>
        <w:rPr>
          <w:rFonts w:ascii="Times New Roman" w:hAnsi="Times New Roman"/>
          <w:sz w:val="28"/>
          <w:szCs w:val="28"/>
        </w:rPr>
        <w:t>,</w:t>
      </w:r>
      <w:r w:rsidRPr="00B62D8F">
        <w:rPr>
          <w:rFonts w:ascii="Times New Roman" w:hAnsi="Times New Roman"/>
          <w:sz w:val="28"/>
          <w:szCs w:val="28"/>
        </w:rPr>
        <w:t xml:space="preserve"> это не экономически справедливо, ведь без понесенных расходов не могли возникнуть доходы, а рентабельность деятельности вообще не поддается расчету и определению. Но, речь идет непосредственно о расчете налога на прибыль организаций, и законодатель, устанавливая обязательные признаки расхода</w:t>
      </w:r>
      <w:r>
        <w:rPr>
          <w:rFonts w:ascii="Times New Roman" w:hAnsi="Times New Roman"/>
          <w:sz w:val="28"/>
          <w:szCs w:val="28"/>
        </w:rPr>
        <w:t>,</w:t>
      </w:r>
      <w:r w:rsidRPr="00B62D8F">
        <w:rPr>
          <w:rFonts w:ascii="Times New Roman" w:hAnsi="Times New Roman"/>
          <w:sz w:val="28"/>
          <w:szCs w:val="28"/>
        </w:rPr>
        <w:t xml:space="preserve"> исходит не только из позиций экономической логики и целесообразности, но и устанавливает правила, соблюдение которых составляют меры обеспечения реализуемой государственной политики в области налогообложения и учета. Следует обособить оценку экономики налогоплательщика от порядков расчета налога и налоговых последствий. Неспроста НК РФ введено понятие налогового учета. Этот момент необходимо учитывать при рассмотрении аналитиком финансовых результатов деятельности хозяйствующего субъекта. Признак должного документального подтверждения это мера воздействия на налогоплательщика по обеспечению порядка бухгалтерского и налогового учета фактов хозяйственной жизни. Ценность такой меры проявляется в обеспечении порядка в экономики, применения современных инструментов делового общения. Последствия неисполнения обязательного признака расхода в виде тяжести бремени налогообложения составляют и должны восприниматься как мера ответственности экономического субъекта за несоблюдение установленного порядка, и рассуждения об экономической целесообразности и справедливости, на наш взгляд, при реализации данной меры не уместны.</w:t>
      </w:r>
    </w:p>
    <w:p w:rsidR="004B2880" w:rsidRPr="00B62D8F" w:rsidRDefault="004B2880" w:rsidP="00A91AC0">
      <w:pPr>
        <w:autoSpaceDE w:val="0"/>
        <w:autoSpaceDN w:val="0"/>
        <w:adjustRightInd w:val="0"/>
        <w:spacing w:after="0" w:line="360" w:lineRule="auto"/>
        <w:ind w:firstLine="540"/>
        <w:jc w:val="both"/>
        <w:rPr>
          <w:rFonts w:ascii="Times New Roman" w:hAnsi="Times New Roman"/>
          <w:sz w:val="28"/>
          <w:szCs w:val="28"/>
        </w:rPr>
      </w:pPr>
      <w:r w:rsidRPr="00B62D8F">
        <w:rPr>
          <w:rFonts w:ascii="Times New Roman" w:hAnsi="Times New Roman"/>
          <w:sz w:val="28"/>
          <w:szCs w:val="28"/>
        </w:rPr>
        <w:t xml:space="preserve">Указанная мера обоснована целью недопущения и борьбой хотя бы с теневым оборотом товаров (продукции, работ, услуг), обеспечения соблюдения учетной дисциплины, обычаев делового оборота, которые, в своей совокупности, составляют значительный эффект развития экономики страны. </w:t>
      </w:r>
    </w:p>
    <w:p w:rsidR="004B2880" w:rsidRDefault="004B2880" w:rsidP="000417C5">
      <w:pPr>
        <w:autoSpaceDE w:val="0"/>
        <w:autoSpaceDN w:val="0"/>
        <w:adjustRightInd w:val="0"/>
        <w:spacing w:after="0" w:line="360" w:lineRule="auto"/>
        <w:ind w:firstLine="540"/>
        <w:jc w:val="both"/>
        <w:rPr>
          <w:rFonts w:ascii="Times New Roman" w:hAnsi="Times New Roman"/>
          <w:sz w:val="28"/>
          <w:szCs w:val="28"/>
        </w:rPr>
      </w:pPr>
      <w:r w:rsidRPr="00B62D8F">
        <w:rPr>
          <w:rFonts w:ascii="Times New Roman" w:hAnsi="Times New Roman"/>
          <w:sz w:val="28"/>
          <w:szCs w:val="28"/>
        </w:rPr>
        <w:t>В этой связи, стереотип презумпции невиновности должен иметь границы разумного. Представим руководителя налогоплательщика – участника рассматриваемого спора. Исходя из содержания указанных нормативных документов</w:t>
      </w:r>
      <w:r>
        <w:rPr>
          <w:rFonts w:ascii="Times New Roman" w:hAnsi="Times New Roman"/>
          <w:sz w:val="28"/>
          <w:szCs w:val="28"/>
        </w:rPr>
        <w:t>,</w:t>
      </w:r>
      <w:r w:rsidRPr="00B62D8F">
        <w:rPr>
          <w:rFonts w:ascii="Times New Roman" w:hAnsi="Times New Roman"/>
          <w:sz w:val="28"/>
          <w:szCs w:val="28"/>
        </w:rPr>
        <w:t xml:space="preserve"> можно предположить, что руководитель подобного предприятия с хозяйственным оборотом в сотни миллионов рублей при заключении договора на поставку сырья</w:t>
      </w:r>
      <w:r>
        <w:rPr>
          <w:rFonts w:ascii="Times New Roman" w:hAnsi="Times New Roman"/>
          <w:sz w:val="28"/>
          <w:szCs w:val="28"/>
        </w:rPr>
        <w:t>,</w:t>
      </w:r>
      <w:r w:rsidRPr="00B62D8F">
        <w:rPr>
          <w:rFonts w:ascii="Times New Roman" w:hAnsi="Times New Roman"/>
          <w:sz w:val="28"/>
          <w:szCs w:val="28"/>
        </w:rPr>
        <w:t xml:space="preserve"> в обеспечение 95 % потребности в нем не убедился в правоспособности представителя поставщика (как видим ответственные лица поставщика указали на неосведомленность о деятельности учрежденного общества), его хозяйственных возможностях (поставщик зарегистрирован по адресу </w:t>
      </w:r>
      <w:r>
        <w:rPr>
          <w:rFonts w:ascii="Times New Roman" w:hAnsi="Times New Roman"/>
          <w:sz w:val="28"/>
          <w:szCs w:val="28"/>
        </w:rPr>
        <w:t>«</w:t>
      </w:r>
      <w:r w:rsidRPr="00B62D8F">
        <w:rPr>
          <w:rFonts w:ascii="Times New Roman" w:hAnsi="Times New Roman"/>
          <w:sz w:val="28"/>
          <w:szCs w:val="28"/>
        </w:rPr>
        <w:t>массовой регистрации</w:t>
      </w:r>
      <w:r>
        <w:rPr>
          <w:rFonts w:ascii="Times New Roman" w:hAnsi="Times New Roman"/>
          <w:sz w:val="28"/>
          <w:szCs w:val="28"/>
        </w:rPr>
        <w:t>»</w:t>
      </w:r>
      <w:r w:rsidRPr="00B62D8F">
        <w:rPr>
          <w:rFonts w:ascii="Times New Roman" w:hAnsi="Times New Roman"/>
          <w:sz w:val="28"/>
          <w:szCs w:val="28"/>
        </w:rPr>
        <w:t>, установлено отсутствие собственных и арендованных основных средств, транспорта и персонала в спорном периоде). Несмотря на указанное</w:t>
      </w:r>
      <w:r>
        <w:rPr>
          <w:rFonts w:ascii="Times New Roman" w:hAnsi="Times New Roman"/>
          <w:sz w:val="28"/>
          <w:szCs w:val="28"/>
        </w:rPr>
        <w:t>,</w:t>
      </w:r>
      <w:r w:rsidRPr="00B62D8F">
        <w:rPr>
          <w:rFonts w:ascii="Times New Roman" w:hAnsi="Times New Roman"/>
          <w:sz w:val="28"/>
          <w:szCs w:val="28"/>
        </w:rPr>
        <w:t xml:space="preserve"> заключил сделку и оплачивал поставки сырья, принимая на себя вытекающие риски остановки деятельности предприятия в случае неисполнения обязательств, но не принимая во внимание возможные налоговые последствия. Трудно себе представить настолько отчаянного или легкомысленного руководителя. К тому же в ходе разбирательства по рассматриваемому делу не уделено должного внимания происхожд</w:t>
      </w:r>
      <w:r>
        <w:rPr>
          <w:rFonts w:ascii="Times New Roman" w:hAnsi="Times New Roman"/>
          <w:sz w:val="28"/>
          <w:szCs w:val="28"/>
        </w:rPr>
        <w:t xml:space="preserve">ению сырья, необходимо отметить, что </w:t>
      </w:r>
      <w:r w:rsidRPr="00B62D8F">
        <w:rPr>
          <w:rFonts w:ascii="Times New Roman" w:hAnsi="Times New Roman"/>
          <w:sz w:val="28"/>
          <w:szCs w:val="28"/>
        </w:rPr>
        <w:t>в этом, то есть в не установлении налоговым органом, заключается основа выводов ВАС РФ.</w:t>
      </w:r>
      <w:r>
        <w:rPr>
          <w:rFonts w:ascii="Times New Roman" w:hAnsi="Times New Roman"/>
          <w:sz w:val="28"/>
          <w:szCs w:val="28"/>
        </w:rPr>
        <w:t xml:space="preserve"> В этой связи следует учесть правовой смысл статьи 173 Гражданского кодекса Российской Федерации, согласно которой с</w:t>
      </w:r>
      <w:r w:rsidRPr="00624CC7">
        <w:rPr>
          <w:rFonts w:ascii="Times New Roman" w:hAnsi="Times New Roman"/>
          <w:sz w:val="28"/>
          <w:szCs w:val="28"/>
        </w:rPr>
        <w:t>делка, совершенная юридическим лицом в противоречии с целями деятельности, определенно ограниченными в его учредительных документах, может быть признана судом недействительной по иску этого юридического лица, его учредителя (участника) или иного лица, в интересах которого установлено ограничение, если доказано, что другая сторона сделки знала или должна была знать о таком ограничении</w:t>
      </w:r>
      <w:r>
        <w:rPr>
          <w:rFonts w:ascii="Times New Roman" w:hAnsi="Times New Roman"/>
          <w:sz w:val="28"/>
          <w:szCs w:val="28"/>
        </w:rPr>
        <w:t xml:space="preserve">. Частью третьей статьи 1 Гражданского кодекса Российской Федерации так же установлено, что при установлении, осуществлении и защите гражданских прав и при исполнении гражданских обязанностей участники гражданских правоотношений должны действовать добросовестно </w:t>
      </w:r>
      <w:r w:rsidRPr="00122B2B">
        <w:rPr>
          <w:rFonts w:ascii="Times New Roman" w:hAnsi="Times New Roman"/>
          <w:sz w:val="28"/>
          <w:szCs w:val="28"/>
        </w:rPr>
        <w:t>[</w:t>
      </w:r>
      <w:r>
        <w:rPr>
          <w:rFonts w:ascii="Times New Roman" w:hAnsi="Times New Roman"/>
          <w:sz w:val="28"/>
          <w:szCs w:val="28"/>
        </w:rPr>
        <w:t>1</w:t>
      </w:r>
      <w:r w:rsidRPr="00122B2B">
        <w:rPr>
          <w:rFonts w:ascii="Times New Roman" w:hAnsi="Times New Roman"/>
          <w:sz w:val="28"/>
          <w:szCs w:val="28"/>
        </w:rPr>
        <w:t>]</w:t>
      </w:r>
      <w:r>
        <w:rPr>
          <w:rFonts w:ascii="Times New Roman" w:hAnsi="Times New Roman"/>
          <w:sz w:val="28"/>
          <w:szCs w:val="28"/>
        </w:rPr>
        <w:t>. Позиционирование лица самим себя перед контролирующими органами как обманутого участника сделки, имеющей принципиальное значение для экономики хозяйствующего субъекта, вовлеченного в нее по неосторожности, не вписывается в общепринятый стандарт деловых отношений.</w:t>
      </w:r>
    </w:p>
    <w:p w:rsidR="004B2880" w:rsidRPr="00624CC7" w:rsidRDefault="004B2880" w:rsidP="00624CC7">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Умаление такого элемента метода учета как документальное оформление в том, должном его содержании, становится препятствием развития экономических отношений и этики цивилизованного делового общения. Не применение достаточного объема средств и приемов к установлению фактических обстоятельств заключения договора и исполнения его условий, в то время когда ответственное лицо могло и должно было их применить, по нашему мнению, призвано стать признаком нарушения принципа осмотрительности. Это, в свою очередь, ведет к невозможности обоснования налоговой выгоды налогоплательщиком.</w:t>
      </w:r>
    </w:p>
    <w:p w:rsidR="004B2880" w:rsidRDefault="004B2880" w:rsidP="00695A8F">
      <w:pPr>
        <w:autoSpaceDE w:val="0"/>
        <w:autoSpaceDN w:val="0"/>
        <w:adjustRightInd w:val="0"/>
        <w:spacing w:after="0" w:line="360" w:lineRule="auto"/>
        <w:ind w:firstLine="540"/>
        <w:jc w:val="both"/>
        <w:rPr>
          <w:rFonts w:ascii="Times New Roman" w:hAnsi="Times New Roman"/>
          <w:sz w:val="28"/>
          <w:szCs w:val="28"/>
        </w:rPr>
      </w:pPr>
      <w:r w:rsidRPr="00B62D8F">
        <w:rPr>
          <w:rFonts w:ascii="Times New Roman" w:hAnsi="Times New Roman"/>
          <w:sz w:val="28"/>
          <w:szCs w:val="28"/>
        </w:rPr>
        <w:t>Чаще всего к таким приемам, то есть вуалирование фактического характера хозяйственной операции, прибегают в целях скрыть истинное происхождение товара и условия его приобретения, без потерь в виде налоговых последствий. Это может быть товар, незаконно введенный на территорию страны и легализованный с участием фиктивной организации. Теневой происхождение его на территории страны зачастую обусловлено стремлением производителя сократить или избежать налогового бремени. Низкая стоимость теневого товара на фоне низкой конкуренции среди его поставщиков становятся весьма привлекательными условиями для руководителя предприятия – покупателя. Здесь и экономия на финансовых ресурсах и обеспечение устойчивых связей в деловой среде. Умаление обязательного, законодательно закрепленного, признака расхода открывает возможности хозяйственникам в участии в теневом обороте, его развитии, без налоговых последствий.</w:t>
      </w:r>
    </w:p>
    <w:p w:rsidR="004B2880" w:rsidRPr="00B62D8F" w:rsidRDefault="004B2880" w:rsidP="00F00D46">
      <w:pPr>
        <w:autoSpaceDE w:val="0"/>
        <w:autoSpaceDN w:val="0"/>
        <w:adjustRightInd w:val="0"/>
        <w:spacing w:after="0" w:line="360" w:lineRule="auto"/>
        <w:ind w:firstLine="540"/>
        <w:jc w:val="both"/>
        <w:rPr>
          <w:rFonts w:ascii="Times New Roman" w:hAnsi="Times New Roman"/>
          <w:sz w:val="28"/>
          <w:szCs w:val="28"/>
        </w:rPr>
      </w:pPr>
      <w:r>
        <w:rPr>
          <w:rFonts w:ascii="Times New Roman" w:hAnsi="Times New Roman"/>
          <w:sz w:val="28"/>
          <w:szCs w:val="28"/>
        </w:rPr>
        <w:t>В связи с указанным, считаем необходимым нормативное закрепление положений, устанавливающих обязанность экономического субъекта по соблюдению условий и факта документального подтверждения расходов как меры обеспечения реализации государственной политики в части применения современных экономических инструментов, развития бухгалтерского и налогового учета, норм и этики делового оборота, в области борьбы с теневым оборотом товаров (работ, услуг), здоровой конкуренции. Исполнение условия документального оформления определяется соблюдением принципов добросовестности действия лиц – участников хозяйственной операции и их осмотрительности. Критерием определения осмотрительности должны являться нормативно закрепленные требования применения доступных инструментов установления достоверности экономических сведений. При рассмотрении обстоятельств совершения хозяйственной операции и доказывании обоснованности налоговой выгоды необходимо установление формы вины участников, факта и степени соблюдения требований принципа осмотрительности.</w:t>
      </w:r>
    </w:p>
    <w:p w:rsidR="004B2880" w:rsidRDefault="004B2880" w:rsidP="003E5A15">
      <w:pPr>
        <w:pStyle w:val="ConsPlusCell"/>
        <w:jc w:val="center"/>
        <w:rPr>
          <w:rFonts w:ascii="Times New Roman" w:hAnsi="Times New Roman" w:cs="Times New Roman"/>
          <w:b/>
          <w:sz w:val="24"/>
          <w:szCs w:val="24"/>
        </w:rPr>
      </w:pPr>
    </w:p>
    <w:p w:rsidR="004B2880" w:rsidRDefault="004B2880" w:rsidP="003E5A15">
      <w:pPr>
        <w:pStyle w:val="ConsPlusCell"/>
        <w:jc w:val="center"/>
        <w:rPr>
          <w:rFonts w:ascii="Times New Roman" w:hAnsi="Times New Roman" w:cs="Times New Roman"/>
          <w:b/>
          <w:sz w:val="24"/>
          <w:szCs w:val="24"/>
          <w:lang w:val="en-US"/>
        </w:rPr>
      </w:pPr>
      <w:r>
        <w:rPr>
          <w:rFonts w:ascii="Times New Roman" w:hAnsi="Times New Roman" w:cs="Times New Roman"/>
          <w:b/>
          <w:sz w:val="24"/>
          <w:szCs w:val="24"/>
        </w:rPr>
        <w:t>Список литературы</w:t>
      </w:r>
    </w:p>
    <w:p w:rsidR="004B2880" w:rsidRPr="00ED7722" w:rsidRDefault="004B2880" w:rsidP="003E5A15">
      <w:pPr>
        <w:pStyle w:val="ConsPlusCell"/>
        <w:jc w:val="center"/>
        <w:rPr>
          <w:rFonts w:ascii="Times New Roman" w:hAnsi="Times New Roman" w:cs="Times New Roman"/>
          <w:b/>
          <w:sz w:val="24"/>
          <w:szCs w:val="24"/>
          <w:lang w:val="en-US"/>
        </w:rPr>
      </w:pPr>
    </w:p>
    <w:p w:rsidR="004B2880" w:rsidRDefault="004B2880" w:rsidP="007046DE">
      <w:pPr>
        <w:pStyle w:val="ConsPlusCell"/>
        <w:numPr>
          <w:ilvl w:val="0"/>
          <w:numId w:val="2"/>
        </w:numPr>
        <w:ind w:left="426"/>
        <w:jc w:val="both"/>
        <w:rPr>
          <w:rFonts w:ascii="Times New Roman" w:hAnsi="Times New Roman" w:cs="Times New Roman"/>
          <w:sz w:val="24"/>
          <w:szCs w:val="24"/>
        </w:rPr>
      </w:pPr>
      <w:r w:rsidRPr="007046DE">
        <w:rPr>
          <w:rFonts w:ascii="Times New Roman" w:hAnsi="Times New Roman" w:cs="Times New Roman"/>
          <w:sz w:val="24"/>
          <w:szCs w:val="24"/>
        </w:rPr>
        <w:t>Гражданский кодекс Российской Федерации (часть первая)</w:t>
      </w:r>
      <w:r>
        <w:rPr>
          <w:rFonts w:ascii="Times New Roman" w:hAnsi="Times New Roman" w:cs="Times New Roman"/>
          <w:sz w:val="24"/>
          <w:szCs w:val="24"/>
        </w:rPr>
        <w:t xml:space="preserve"> от 30.11.1994 №</w:t>
      </w:r>
      <w:r w:rsidRPr="007046DE">
        <w:rPr>
          <w:rFonts w:ascii="Times New Roman" w:hAnsi="Times New Roman" w:cs="Times New Roman"/>
          <w:sz w:val="24"/>
          <w:szCs w:val="24"/>
        </w:rPr>
        <w:t xml:space="preserve"> 51-ФЗ</w:t>
      </w:r>
      <w:r>
        <w:rPr>
          <w:rFonts w:ascii="Times New Roman" w:hAnsi="Times New Roman" w:cs="Times New Roman"/>
          <w:sz w:val="24"/>
          <w:szCs w:val="24"/>
        </w:rPr>
        <w:t xml:space="preserve">. </w:t>
      </w:r>
      <w:r w:rsidRPr="00D6263D">
        <w:rPr>
          <w:rFonts w:ascii="Times New Roman" w:hAnsi="Times New Roman" w:cs="Times New Roman"/>
          <w:sz w:val="24"/>
          <w:szCs w:val="24"/>
        </w:rPr>
        <w:t>- [Электронный ресурс]. – СПС Консультант плюс.</w:t>
      </w:r>
    </w:p>
    <w:p w:rsidR="004B2880" w:rsidRPr="00D6263D" w:rsidRDefault="004B2880" w:rsidP="003E5A15">
      <w:pPr>
        <w:pStyle w:val="ConsPlusCell"/>
        <w:numPr>
          <w:ilvl w:val="0"/>
          <w:numId w:val="2"/>
        </w:numPr>
        <w:ind w:left="426"/>
        <w:jc w:val="both"/>
        <w:rPr>
          <w:rFonts w:ascii="Times New Roman" w:hAnsi="Times New Roman" w:cs="Times New Roman"/>
          <w:sz w:val="24"/>
          <w:szCs w:val="24"/>
        </w:rPr>
      </w:pPr>
      <w:r w:rsidRPr="00D6263D">
        <w:rPr>
          <w:rFonts w:ascii="Times New Roman" w:hAnsi="Times New Roman" w:cs="Times New Roman"/>
          <w:sz w:val="24"/>
          <w:szCs w:val="24"/>
        </w:rPr>
        <w:t>Налоговый кодекс Российской Федерации. Части первая и вторая. – Федеральные законы от 31.07.1998 № 146-ФЗ и от 05.08.2000 № 117-ФЗ. - [Электронный ресурс]. – СПС Консультант плюс.</w:t>
      </w:r>
    </w:p>
    <w:p w:rsidR="004B2880" w:rsidRPr="00D6263D" w:rsidRDefault="004B2880" w:rsidP="003E5A15">
      <w:pPr>
        <w:pStyle w:val="ConsPlusCell"/>
        <w:numPr>
          <w:ilvl w:val="0"/>
          <w:numId w:val="2"/>
        </w:numPr>
        <w:ind w:left="426"/>
        <w:jc w:val="both"/>
        <w:rPr>
          <w:rFonts w:ascii="Times New Roman" w:hAnsi="Times New Roman" w:cs="Times New Roman"/>
          <w:sz w:val="24"/>
          <w:szCs w:val="24"/>
        </w:rPr>
      </w:pPr>
      <w:r w:rsidRPr="00D6263D">
        <w:rPr>
          <w:rFonts w:ascii="Times New Roman" w:hAnsi="Times New Roman" w:cs="Times New Roman"/>
          <w:sz w:val="24"/>
          <w:szCs w:val="24"/>
        </w:rPr>
        <w:t>О бухгалтерском учете. – Федеральный закон от 06.12.2011 № 402-ФЗ. - [Электронный ресурс]. – СПС Консультант плюс.</w:t>
      </w:r>
    </w:p>
    <w:p w:rsidR="004B2880" w:rsidRPr="007046DE" w:rsidRDefault="004B2880" w:rsidP="007046DE">
      <w:pPr>
        <w:pStyle w:val="ConsPlusCell"/>
        <w:numPr>
          <w:ilvl w:val="0"/>
          <w:numId w:val="2"/>
        </w:numPr>
        <w:ind w:left="426"/>
        <w:jc w:val="both"/>
        <w:rPr>
          <w:rFonts w:ascii="Times New Roman" w:hAnsi="Times New Roman" w:cs="Times New Roman"/>
          <w:sz w:val="24"/>
          <w:szCs w:val="24"/>
        </w:rPr>
      </w:pPr>
      <w:r w:rsidRPr="007046DE">
        <w:rPr>
          <w:rFonts w:ascii="Times New Roman" w:hAnsi="Times New Roman" w:cs="Times New Roman"/>
          <w:sz w:val="24"/>
          <w:szCs w:val="24"/>
        </w:rPr>
        <w:t>О направлении Постановления Президиума ВАС РФ от 03.07.2012 N 2341/12</w:t>
      </w:r>
      <w:r>
        <w:rPr>
          <w:rFonts w:ascii="Times New Roman" w:hAnsi="Times New Roman" w:cs="Times New Roman"/>
          <w:sz w:val="24"/>
          <w:szCs w:val="24"/>
        </w:rPr>
        <w:t>. -</w:t>
      </w:r>
      <w:r w:rsidRPr="007046DE">
        <w:rPr>
          <w:rFonts w:ascii="Times New Roman" w:hAnsi="Times New Roman" w:cs="Times New Roman"/>
          <w:sz w:val="24"/>
          <w:szCs w:val="24"/>
        </w:rPr>
        <w:t xml:space="preserve"> Письмо</w:t>
      </w:r>
      <w:r>
        <w:rPr>
          <w:rFonts w:ascii="Times New Roman" w:hAnsi="Times New Roman" w:cs="Times New Roman"/>
          <w:sz w:val="24"/>
          <w:szCs w:val="24"/>
        </w:rPr>
        <w:t xml:space="preserve"> ФНС России от 24.12.2012 №</w:t>
      </w:r>
      <w:r w:rsidRPr="007046DE">
        <w:rPr>
          <w:rFonts w:ascii="Times New Roman" w:hAnsi="Times New Roman" w:cs="Times New Roman"/>
          <w:sz w:val="24"/>
          <w:szCs w:val="24"/>
        </w:rPr>
        <w:t xml:space="preserve"> СА-4-7/22020@</w:t>
      </w:r>
      <w:r>
        <w:rPr>
          <w:rFonts w:ascii="Times New Roman" w:hAnsi="Times New Roman" w:cs="Times New Roman"/>
          <w:sz w:val="24"/>
          <w:szCs w:val="24"/>
        </w:rPr>
        <w:t xml:space="preserve">. </w:t>
      </w:r>
      <w:r w:rsidRPr="00D6263D">
        <w:rPr>
          <w:rFonts w:ascii="Times New Roman" w:hAnsi="Times New Roman" w:cs="Times New Roman"/>
          <w:sz w:val="24"/>
          <w:szCs w:val="24"/>
        </w:rPr>
        <w:t>- [Электронный ресурс]. – СПС Консультант плюс.</w:t>
      </w:r>
    </w:p>
    <w:p w:rsidR="004B2880" w:rsidRDefault="004B2880" w:rsidP="007046DE">
      <w:pPr>
        <w:pStyle w:val="ConsPlusCell"/>
        <w:numPr>
          <w:ilvl w:val="0"/>
          <w:numId w:val="2"/>
        </w:numPr>
        <w:ind w:left="426"/>
        <w:jc w:val="both"/>
        <w:rPr>
          <w:rFonts w:ascii="Times New Roman" w:hAnsi="Times New Roman" w:cs="Times New Roman"/>
          <w:sz w:val="24"/>
          <w:szCs w:val="24"/>
        </w:rPr>
      </w:pPr>
      <w:r w:rsidRPr="00D6263D">
        <w:rPr>
          <w:rFonts w:ascii="Times New Roman" w:hAnsi="Times New Roman" w:cs="Times New Roman"/>
          <w:sz w:val="24"/>
          <w:szCs w:val="24"/>
        </w:rPr>
        <w:t>Першин С.П. Совершенствование контроля финансово-хозяйственной деятельности коммерческих организаций посредством развития учетной системы / С.П. Першин // Политематический</w:t>
      </w:r>
      <w:bookmarkStart w:id="0" w:name="_GoBack"/>
      <w:bookmarkEnd w:id="0"/>
      <w:r w:rsidRPr="00D6263D">
        <w:rPr>
          <w:rFonts w:ascii="Times New Roman" w:hAnsi="Times New Roman" w:cs="Times New Roman"/>
          <w:sz w:val="24"/>
          <w:szCs w:val="24"/>
        </w:rPr>
        <w:t xml:space="preserve"> сетевой электронный научный журнал Кубанского государственного аграрного университета (Научный журнал КубГАУ) [Электронный ресурс]. – Краснодар: КубГАУ, 2007. – №03(027). С. 313 – 333. – Шифр Информрегистра: 0420700012\0058, IDA [article ID]: 0270703028. – Режим доступа: </w:t>
      </w:r>
      <w:hyperlink r:id="rId20" w:history="1">
        <w:r w:rsidRPr="00D6263D">
          <w:rPr>
            <w:rFonts w:ascii="Times New Roman" w:hAnsi="Times New Roman" w:cs="Times New Roman"/>
            <w:sz w:val="24"/>
            <w:szCs w:val="24"/>
          </w:rPr>
          <w:t>http://ej.kubagro.ru/2007/03/pdf/28.pdf</w:t>
        </w:r>
      </w:hyperlink>
      <w:r w:rsidRPr="00D6263D">
        <w:rPr>
          <w:rFonts w:ascii="Times New Roman" w:hAnsi="Times New Roman" w:cs="Times New Roman"/>
          <w:sz w:val="24"/>
          <w:szCs w:val="24"/>
        </w:rPr>
        <w:t>.</w:t>
      </w:r>
    </w:p>
    <w:p w:rsidR="004B2880" w:rsidRDefault="004B2880" w:rsidP="007046DE">
      <w:pPr>
        <w:pStyle w:val="ConsPlusCell"/>
        <w:numPr>
          <w:ilvl w:val="0"/>
          <w:numId w:val="2"/>
        </w:numPr>
        <w:ind w:left="426"/>
        <w:jc w:val="both"/>
        <w:rPr>
          <w:rFonts w:ascii="Times New Roman" w:hAnsi="Times New Roman" w:cs="Times New Roman"/>
          <w:sz w:val="24"/>
          <w:szCs w:val="24"/>
        </w:rPr>
      </w:pPr>
      <w:r w:rsidRPr="007046DE">
        <w:rPr>
          <w:rFonts w:ascii="Times New Roman" w:hAnsi="Times New Roman" w:cs="Times New Roman"/>
          <w:sz w:val="24"/>
          <w:szCs w:val="24"/>
        </w:rPr>
        <w:t>Постановление П</w:t>
      </w:r>
      <w:r>
        <w:rPr>
          <w:rFonts w:ascii="Times New Roman" w:hAnsi="Times New Roman" w:cs="Times New Roman"/>
          <w:sz w:val="24"/>
          <w:szCs w:val="24"/>
        </w:rPr>
        <w:t>резидиума ВАС РФ от 03.07.2012 №</w:t>
      </w:r>
      <w:r w:rsidRPr="007046DE">
        <w:rPr>
          <w:rFonts w:ascii="Times New Roman" w:hAnsi="Times New Roman" w:cs="Times New Roman"/>
          <w:sz w:val="24"/>
          <w:szCs w:val="24"/>
        </w:rPr>
        <w:t xml:space="preserve"> 2341/12 по делу </w:t>
      </w:r>
      <w:r>
        <w:rPr>
          <w:rFonts w:ascii="Times New Roman" w:hAnsi="Times New Roman" w:cs="Times New Roman"/>
          <w:sz w:val="24"/>
          <w:szCs w:val="24"/>
        </w:rPr>
        <w:t>№</w:t>
      </w:r>
      <w:r w:rsidRPr="007046DE">
        <w:rPr>
          <w:rFonts w:ascii="Times New Roman" w:hAnsi="Times New Roman" w:cs="Times New Roman"/>
          <w:sz w:val="24"/>
          <w:szCs w:val="24"/>
        </w:rPr>
        <w:t xml:space="preserve"> А71-13079/2010-А17</w:t>
      </w:r>
      <w:r>
        <w:rPr>
          <w:rFonts w:ascii="Times New Roman" w:hAnsi="Times New Roman" w:cs="Times New Roman"/>
          <w:sz w:val="24"/>
          <w:szCs w:val="24"/>
        </w:rPr>
        <w:t xml:space="preserve">. </w:t>
      </w:r>
      <w:r w:rsidRPr="00D6263D">
        <w:rPr>
          <w:rFonts w:ascii="Times New Roman" w:hAnsi="Times New Roman" w:cs="Times New Roman"/>
          <w:sz w:val="24"/>
          <w:szCs w:val="24"/>
        </w:rPr>
        <w:t>- [Электронный ресурс]. – СПС Консультант плюс.</w:t>
      </w:r>
    </w:p>
    <w:p w:rsidR="004B2880" w:rsidRPr="002B27B7" w:rsidRDefault="004B2880" w:rsidP="003E5A15">
      <w:pPr>
        <w:pStyle w:val="ConsPlusCell"/>
        <w:ind w:left="426"/>
        <w:jc w:val="both"/>
        <w:rPr>
          <w:rFonts w:ascii="Times New Roman" w:hAnsi="Times New Roman" w:cs="Times New Roman"/>
          <w:sz w:val="24"/>
          <w:szCs w:val="24"/>
        </w:rPr>
      </w:pPr>
    </w:p>
    <w:p w:rsidR="004B2880" w:rsidRDefault="004B2880" w:rsidP="003E5A15">
      <w:pPr>
        <w:pStyle w:val="ConsPlusCell"/>
        <w:ind w:left="426"/>
        <w:jc w:val="center"/>
        <w:rPr>
          <w:rFonts w:ascii="Times New Roman" w:hAnsi="Times New Roman" w:cs="Times New Roman"/>
          <w:b/>
          <w:bCs/>
          <w:sz w:val="23"/>
          <w:szCs w:val="23"/>
          <w:lang w:val="en-US"/>
        </w:rPr>
      </w:pPr>
      <w:r w:rsidRPr="002B27B7">
        <w:rPr>
          <w:rFonts w:ascii="Times New Roman" w:hAnsi="Times New Roman" w:cs="Times New Roman"/>
          <w:b/>
          <w:bCs/>
          <w:sz w:val="23"/>
          <w:szCs w:val="23"/>
          <w:lang w:val="en-US"/>
        </w:rPr>
        <w:t>References</w:t>
      </w:r>
    </w:p>
    <w:p w:rsidR="004B2880" w:rsidRPr="00AF6952" w:rsidRDefault="004B2880" w:rsidP="003E5A15">
      <w:pPr>
        <w:pStyle w:val="ConsPlusCell"/>
        <w:ind w:left="426"/>
        <w:jc w:val="center"/>
        <w:rPr>
          <w:rFonts w:ascii="Times New Roman" w:hAnsi="Times New Roman" w:cs="Times New Roman"/>
          <w:b/>
          <w:bCs/>
          <w:sz w:val="23"/>
          <w:szCs w:val="23"/>
          <w:lang w:val="en-US"/>
        </w:rPr>
      </w:pPr>
    </w:p>
    <w:p w:rsidR="004B2880" w:rsidRPr="00ED7722" w:rsidRDefault="004B2880" w:rsidP="00ED7722">
      <w:pPr>
        <w:pStyle w:val="ConsPlusCell"/>
        <w:ind w:left="66"/>
        <w:jc w:val="both"/>
        <w:rPr>
          <w:rFonts w:ascii="Times New Roman" w:hAnsi="Times New Roman" w:cs="Times New Roman"/>
          <w:sz w:val="24"/>
          <w:szCs w:val="24"/>
          <w:lang w:val="en-US"/>
        </w:rPr>
      </w:pPr>
      <w:r w:rsidRPr="00ED7722">
        <w:rPr>
          <w:rFonts w:ascii="Times New Roman" w:hAnsi="Times New Roman" w:cs="Times New Roman"/>
          <w:sz w:val="24"/>
          <w:szCs w:val="24"/>
          <w:lang w:val="en-US"/>
        </w:rPr>
        <w:t>1.</w:t>
      </w:r>
      <w:r w:rsidRPr="00ED7722">
        <w:rPr>
          <w:rFonts w:ascii="Times New Roman" w:hAnsi="Times New Roman" w:cs="Times New Roman"/>
          <w:sz w:val="24"/>
          <w:szCs w:val="24"/>
          <w:lang w:val="en-US"/>
        </w:rPr>
        <w:tab/>
        <w:t>Grazhdanskij kodeks Rossijskoj Federacii (chast' pervaja) ot 30.11.1994 № 51-FZ. - [Jelektronnyj resurs]. – SPS Konsul'tant pljus.</w:t>
      </w:r>
    </w:p>
    <w:p w:rsidR="004B2880" w:rsidRPr="00ED7722" w:rsidRDefault="004B2880" w:rsidP="00ED7722">
      <w:pPr>
        <w:pStyle w:val="ConsPlusCell"/>
        <w:ind w:left="66"/>
        <w:jc w:val="both"/>
        <w:rPr>
          <w:rFonts w:ascii="Times New Roman" w:hAnsi="Times New Roman" w:cs="Times New Roman"/>
          <w:sz w:val="24"/>
          <w:szCs w:val="24"/>
          <w:lang w:val="en-US"/>
        </w:rPr>
      </w:pPr>
      <w:r w:rsidRPr="00ED7722">
        <w:rPr>
          <w:rFonts w:ascii="Times New Roman" w:hAnsi="Times New Roman" w:cs="Times New Roman"/>
          <w:sz w:val="24"/>
          <w:szCs w:val="24"/>
          <w:lang w:val="en-US"/>
        </w:rPr>
        <w:t>2.</w:t>
      </w:r>
      <w:r w:rsidRPr="00ED7722">
        <w:rPr>
          <w:rFonts w:ascii="Times New Roman" w:hAnsi="Times New Roman" w:cs="Times New Roman"/>
          <w:sz w:val="24"/>
          <w:szCs w:val="24"/>
          <w:lang w:val="en-US"/>
        </w:rPr>
        <w:tab/>
        <w:t>Nalogovyj kodeks Rossijskoj Federacii. Chasti pervaja i vtoraja. – Federal'nye zakony ot 31.07.1998 № 146-FZ i ot 05.08.2000 № 117-FZ. - [Jelektronnyj resurs]. – SPS Konsul'tant pljus.</w:t>
      </w:r>
    </w:p>
    <w:p w:rsidR="004B2880" w:rsidRPr="00ED7722" w:rsidRDefault="004B2880" w:rsidP="00ED7722">
      <w:pPr>
        <w:pStyle w:val="ConsPlusCell"/>
        <w:ind w:left="66"/>
        <w:jc w:val="both"/>
        <w:rPr>
          <w:rFonts w:ascii="Times New Roman" w:hAnsi="Times New Roman" w:cs="Times New Roman"/>
          <w:sz w:val="24"/>
          <w:szCs w:val="24"/>
          <w:lang w:val="en-US"/>
        </w:rPr>
      </w:pPr>
      <w:r w:rsidRPr="00ED7722">
        <w:rPr>
          <w:rFonts w:ascii="Times New Roman" w:hAnsi="Times New Roman" w:cs="Times New Roman"/>
          <w:sz w:val="24"/>
          <w:szCs w:val="24"/>
          <w:lang w:val="en-US"/>
        </w:rPr>
        <w:t>3.</w:t>
      </w:r>
      <w:r w:rsidRPr="00ED7722">
        <w:rPr>
          <w:rFonts w:ascii="Times New Roman" w:hAnsi="Times New Roman" w:cs="Times New Roman"/>
          <w:sz w:val="24"/>
          <w:szCs w:val="24"/>
          <w:lang w:val="en-US"/>
        </w:rPr>
        <w:tab/>
        <w:t>O buhgalterskom uchete. – Federal'nyj zakon ot 06.12.2011 № 402-FZ. - [Jelektronnyj resurs]. – SPS Konsul'tant pljus.</w:t>
      </w:r>
    </w:p>
    <w:p w:rsidR="004B2880" w:rsidRPr="00ED7722" w:rsidRDefault="004B2880" w:rsidP="00ED7722">
      <w:pPr>
        <w:pStyle w:val="ConsPlusCell"/>
        <w:ind w:left="66"/>
        <w:jc w:val="both"/>
        <w:rPr>
          <w:rFonts w:ascii="Times New Roman" w:hAnsi="Times New Roman" w:cs="Times New Roman"/>
          <w:sz w:val="24"/>
          <w:szCs w:val="24"/>
          <w:lang w:val="en-US"/>
        </w:rPr>
      </w:pPr>
      <w:r w:rsidRPr="00ED7722">
        <w:rPr>
          <w:rFonts w:ascii="Times New Roman" w:hAnsi="Times New Roman" w:cs="Times New Roman"/>
          <w:sz w:val="24"/>
          <w:szCs w:val="24"/>
          <w:lang w:val="en-US"/>
        </w:rPr>
        <w:t>4.</w:t>
      </w:r>
      <w:r w:rsidRPr="00ED7722">
        <w:rPr>
          <w:rFonts w:ascii="Times New Roman" w:hAnsi="Times New Roman" w:cs="Times New Roman"/>
          <w:sz w:val="24"/>
          <w:szCs w:val="24"/>
          <w:lang w:val="en-US"/>
        </w:rPr>
        <w:tab/>
        <w:t>O napravlenii Postanovlenija Prezidiuma VAS RF ot 03.07.2012 N 2341/12. - Pis'mo FNS Rossii ot 24.12.2012 № SA-4-7/22020@. - [Jelektronnyj resurs]. – SPS Konsul'tant pljus.</w:t>
      </w:r>
    </w:p>
    <w:p w:rsidR="004B2880" w:rsidRPr="00ED7722" w:rsidRDefault="004B2880" w:rsidP="00ED7722">
      <w:pPr>
        <w:pStyle w:val="ConsPlusCell"/>
        <w:ind w:left="66"/>
        <w:jc w:val="both"/>
        <w:rPr>
          <w:rFonts w:ascii="Times New Roman" w:hAnsi="Times New Roman" w:cs="Times New Roman"/>
          <w:sz w:val="24"/>
          <w:szCs w:val="24"/>
          <w:lang w:val="en-US"/>
        </w:rPr>
      </w:pPr>
      <w:r w:rsidRPr="00ED7722">
        <w:rPr>
          <w:rFonts w:ascii="Times New Roman" w:hAnsi="Times New Roman" w:cs="Times New Roman"/>
          <w:sz w:val="24"/>
          <w:szCs w:val="24"/>
          <w:lang w:val="en-US"/>
        </w:rPr>
        <w:t>5.</w:t>
      </w:r>
      <w:r w:rsidRPr="00ED7722">
        <w:rPr>
          <w:rFonts w:ascii="Times New Roman" w:hAnsi="Times New Roman" w:cs="Times New Roman"/>
          <w:sz w:val="24"/>
          <w:szCs w:val="24"/>
          <w:lang w:val="en-US"/>
        </w:rPr>
        <w:tab/>
        <w:t>Pershin S.P. Sovershenstvovanie kontrolja finansovo-hozjajstvennoj dejatel'nosti kommercheskih organizacij posredstvom razvitija uchetnoj sistemy / S.P. Pershin // Politematicheskij setevoj jelektronnyj nauchnyj zhurnal Kubanskogo gosudarstvennogo agrarnogo universiteta (Nauchnyj zhurnal KubGAU) [Jelektronnyj resurs]. – Krasnodar: KubGAU, 2007. – №03(027). S. 313 – 333. – Shifr Informregistra: 0420700012\0058, IDA [article ID]: 0270703028. – Rezhim dostupa: http://ej.kubagro.ru/2007/03/pdf/28.pdf.</w:t>
      </w:r>
    </w:p>
    <w:p w:rsidR="004B2880" w:rsidRPr="00ED7722" w:rsidRDefault="004B2880" w:rsidP="00ED7722">
      <w:pPr>
        <w:pStyle w:val="ConsPlusCell"/>
        <w:ind w:left="66"/>
        <w:jc w:val="both"/>
        <w:rPr>
          <w:rFonts w:ascii="Times New Roman" w:hAnsi="Times New Roman" w:cs="Times New Roman"/>
          <w:sz w:val="24"/>
          <w:szCs w:val="24"/>
          <w:lang w:val="en-US"/>
        </w:rPr>
      </w:pPr>
      <w:r w:rsidRPr="00ED7722">
        <w:rPr>
          <w:rFonts w:ascii="Times New Roman" w:hAnsi="Times New Roman" w:cs="Times New Roman"/>
          <w:sz w:val="24"/>
          <w:szCs w:val="24"/>
          <w:lang w:val="en-US"/>
        </w:rPr>
        <w:t>6.</w:t>
      </w:r>
      <w:r w:rsidRPr="00ED7722">
        <w:rPr>
          <w:rFonts w:ascii="Times New Roman" w:hAnsi="Times New Roman" w:cs="Times New Roman"/>
          <w:sz w:val="24"/>
          <w:szCs w:val="24"/>
          <w:lang w:val="en-US"/>
        </w:rPr>
        <w:tab/>
        <w:t>Postanovlenie Prezidiuma VAS RF ot 03.07.2012 № 2341/12 po delu № A71-13079/2010-A17. - [Jelektronnyj resurs]. – SPS Konsul'tant pljus.</w:t>
      </w:r>
    </w:p>
    <w:p w:rsidR="004B2880" w:rsidRPr="003E5A15" w:rsidRDefault="004B2880" w:rsidP="008F1610">
      <w:pPr>
        <w:spacing w:line="360" w:lineRule="auto"/>
        <w:rPr>
          <w:rFonts w:ascii="Times New Roman" w:hAnsi="Times New Roman"/>
          <w:sz w:val="28"/>
          <w:szCs w:val="28"/>
          <w:lang w:val="en-US"/>
        </w:rPr>
      </w:pPr>
    </w:p>
    <w:sectPr w:rsidR="004B2880" w:rsidRPr="003E5A15" w:rsidSect="00F23FED">
      <w:headerReference w:type="even" r:id="rId21"/>
      <w:headerReference w:type="default" r:id="rId22"/>
      <w:footerReference w:type="default" r:id="rId23"/>
      <w:pgSz w:w="11905" w:h="16838"/>
      <w:pgMar w:top="1418" w:right="1418" w:bottom="1418" w:left="1418"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2880" w:rsidRDefault="004B2880">
      <w:r>
        <w:separator/>
      </w:r>
    </w:p>
  </w:endnote>
  <w:endnote w:type="continuationSeparator" w:id="1">
    <w:p w:rsidR="004B2880" w:rsidRDefault="004B28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880" w:rsidRDefault="004B2880">
    <w:pPr>
      <w:pStyle w:val="Footer"/>
    </w:pPr>
    <w:r w:rsidRPr="008C13F2">
      <w:rPr>
        <w:rFonts w:ascii="Times New Roman" w:hAnsi="Times New Roman"/>
        <w:sz w:val="24"/>
        <w:szCs w:val="24"/>
      </w:rPr>
      <w:t>http://ej.kubagro.ru/201</w:t>
    </w:r>
    <w:r w:rsidRPr="008C13F2">
      <w:rPr>
        <w:rFonts w:ascii="Times New Roman" w:hAnsi="Times New Roman"/>
        <w:sz w:val="24"/>
        <w:szCs w:val="24"/>
        <w:lang w:val="en-US"/>
      </w:rPr>
      <w:t>4</w:t>
    </w:r>
    <w:r w:rsidRPr="008C13F2">
      <w:rPr>
        <w:rFonts w:ascii="Times New Roman" w:hAnsi="Times New Roman"/>
        <w:sz w:val="24"/>
        <w:szCs w:val="24"/>
      </w:rPr>
      <w:t>/</w:t>
    </w:r>
    <w:r w:rsidRPr="008C13F2">
      <w:rPr>
        <w:rFonts w:ascii="Times New Roman" w:hAnsi="Times New Roman"/>
        <w:sz w:val="24"/>
        <w:szCs w:val="24"/>
        <w:lang w:val="en-US"/>
      </w:rPr>
      <w:t>0</w:t>
    </w:r>
    <w:r>
      <w:rPr>
        <w:rFonts w:ascii="Times New Roman" w:hAnsi="Times New Roman"/>
        <w:sz w:val="24"/>
        <w:szCs w:val="24"/>
        <w:lang w:val="en-US"/>
      </w:rPr>
      <w:t>7</w:t>
    </w:r>
    <w:r w:rsidRPr="008C13F2">
      <w:rPr>
        <w:rFonts w:ascii="Times New Roman" w:hAnsi="Times New Roman"/>
        <w:sz w:val="24"/>
        <w:szCs w:val="24"/>
      </w:rPr>
      <w:t>/pdf/</w:t>
    </w:r>
    <w:r>
      <w:rPr>
        <w:rFonts w:ascii="Times New Roman" w:hAnsi="Times New Roman"/>
        <w:sz w:val="24"/>
        <w:szCs w:val="24"/>
      </w:rPr>
      <w:t>5</w:t>
    </w:r>
    <w:r>
      <w:rPr>
        <w:rFonts w:ascii="Times New Roman" w:hAnsi="Times New Roman"/>
        <w:sz w:val="24"/>
        <w:szCs w:val="24"/>
        <w:lang w:val="en-US"/>
      </w:rPr>
      <w:t>5</w:t>
    </w:r>
    <w:r w:rsidRPr="008C13F2">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2880" w:rsidRDefault="004B2880">
      <w:r>
        <w:separator/>
      </w:r>
    </w:p>
  </w:footnote>
  <w:footnote w:type="continuationSeparator" w:id="1">
    <w:p w:rsidR="004B2880" w:rsidRDefault="004B28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880" w:rsidRDefault="004B2880" w:rsidP="00D133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B2880" w:rsidRDefault="004B2880" w:rsidP="00EF26D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880" w:rsidRPr="00EF26D0" w:rsidRDefault="004B2880" w:rsidP="00D13375">
    <w:pPr>
      <w:pStyle w:val="Header"/>
      <w:framePr w:wrap="around" w:vAnchor="text" w:hAnchor="margin" w:xAlign="right" w:y="1"/>
      <w:rPr>
        <w:rStyle w:val="PageNumber"/>
        <w:rFonts w:ascii="Times New Roman" w:hAnsi="Times New Roman"/>
        <w:sz w:val="28"/>
        <w:szCs w:val="28"/>
      </w:rPr>
    </w:pPr>
    <w:r w:rsidRPr="00EF26D0">
      <w:rPr>
        <w:rStyle w:val="PageNumber"/>
        <w:rFonts w:ascii="Times New Roman" w:hAnsi="Times New Roman"/>
        <w:sz w:val="28"/>
        <w:szCs w:val="28"/>
      </w:rPr>
      <w:fldChar w:fldCharType="begin"/>
    </w:r>
    <w:r w:rsidRPr="00EF26D0">
      <w:rPr>
        <w:rStyle w:val="PageNumber"/>
        <w:rFonts w:ascii="Times New Roman" w:hAnsi="Times New Roman"/>
        <w:sz w:val="28"/>
        <w:szCs w:val="28"/>
      </w:rPr>
      <w:instrText xml:space="preserve">PAGE  </w:instrText>
    </w:r>
    <w:r w:rsidRPr="00EF26D0">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EF26D0">
      <w:rPr>
        <w:rStyle w:val="PageNumber"/>
        <w:rFonts w:ascii="Times New Roman" w:hAnsi="Times New Roman"/>
        <w:sz w:val="28"/>
        <w:szCs w:val="28"/>
      </w:rPr>
      <w:fldChar w:fldCharType="end"/>
    </w:r>
  </w:p>
  <w:p w:rsidR="004B2880" w:rsidRDefault="004B2880" w:rsidP="00EF26D0">
    <w:pPr>
      <w:pStyle w:val="Header"/>
      <w:ind w:right="360"/>
    </w:pPr>
    <w:r w:rsidRPr="00FF55FC">
      <w:rPr>
        <w:rFonts w:ascii="Times New Roman" w:hAnsi="Times New Roman"/>
        <w:sz w:val="24"/>
        <w:szCs w:val="24"/>
      </w:rPr>
      <w:t>Научный журнал КубГАУ, №</w:t>
    </w:r>
    <w:r w:rsidRPr="00FF55FC">
      <w:rPr>
        <w:rFonts w:ascii="Times New Roman" w:hAnsi="Times New Roman"/>
        <w:sz w:val="24"/>
        <w:szCs w:val="24"/>
        <w:lang w:val="en-US"/>
      </w:rPr>
      <w:t>10</w:t>
    </w:r>
    <w:r>
      <w:rPr>
        <w:rFonts w:ascii="Times New Roman" w:hAnsi="Times New Roman"/>
        <w:sz w:val="24"/>
        <w:szCs w:val="24"/>
        <w:lang w:val="en-US"/>
      </w:rPr>
      <w:t>1</w:t>
    </w:r>
    <w:r w:rsidRPr="00FF55FC">
      <w:rPr>
        <w:rFonts w:ascii="Times New Roman" w:hAnsi="Times New Roman"/>
        <w:sz w:val="24"/>
        <w:szCs w:val="24"/>
      </w:rPr>
      <w:t>(</w:t>
    </w:r>
    <w:r w:rsidRPr="00FF55FC">
      <w:rPr>
        <w:rFonts w:ascii="Times New Roman" w:hAnsi="Times New Roman"/>
        <w:sz w:val="24"/>
        <w:szCs w:val="24"/>
        <w:lang w:val="en-US"/>
      </w:rPr>
      <w:t>0</w:t>
    </w:r>
    <w:r>
      <w:rPr>
        <w:rFonts w:ascii="Times New Roman" w:hAnsi="Times New Roman"/>
        <w:sz w:val="24"/>
        <w:szCs w:val="24"/>
        <w:lang w:val="en-US"/>
      </w:rPr>
      <w:t>7</w:t>
    </w:r>
    <w:r w:rsidRPr="00FF55FC">
      <w:rPr>
        <w:rFonts w:ascii="Times New Roman" w:hAnsi="Times New Roman"/>
        <w:sz w:val="24"/>
        <w:szCs w:val="24"/>
      </w:rPr>
      <w:t>), 201</w:t>
    </w:r>
    <w:r w:rsidRPr="00FF55FC">
      <w:rPr>
        <w:rFonts w:ascii="Times New Roman" w:hAnsi="Times New Roman"/>
        <w:sz w:val="24"/>
        <w:szCs w:val="24"/>
        <w:lang w:val="en-US"/>
      </w:rPr>
      <w:t>4</w:t>
    </w:r>
    <w:r w:rsidRPr="00FF55FC">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3C7B07"/>
    <w:multiLevelType w:val="hybridMultilevel"/>
    <w:tmpl w:val="96C0E25E"/>
    <w:lvl w:ilvl="0" w:tplc="C70EE19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4B134AEC"/>
    <w:multiLevelType w:val="hybridMultilevel"/>
    <w:tmpl w:val="96C0E25E"/>
    <w:lvl w:ilvl="0" w:tplc="C70EE19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5ADD0DF0"/>
    <w:multiLevelType w:val="hybridMultilevel"/>
    <w:tmpl w:val="D806ECC0"/>
    <w:lvl w:ilvl="0" w:tplc="5608D472">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
    <w:nsid w:val="75CC62D1"/>
    <w:multiLevelType w:val="hybridMultilevel"/>
    <w:tmpl w:val="96C0E25E"/>
    <w:lvl w:ilvl="0" w:tplc="C70EE19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7C120882"/>
    <w:multiLevelType w:val="hybridMultilevel"/>
    <w:tmpl w:val="BABAFE78"/>
    <w:lvl w:ilvl="0" w:tplc="C70EE19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B2531"/>
    <w:rsid w:val="000417C5"/>
    <w:rsid w:val="00094E97"/>
    <w:rsid w:val="000B56F1"/>
    <w:rsid w:val="000C273C"/>
    <w:rsid w:val="000E4755"/>
    <w:rsid w:val="000F33D1"/>
    <w:rsid w:val="00115DAB"/>
    <w:rsid w:val="00122B2B"/>
    <w:rsid w:val="00124013"/>
    <w:rsid w:val="001244B0"/>
    <w:rsid w:val="001911CD"/>
    <w:rsid w:val="001A75AD"/>
    <w:rsid w:val="001C3E98"/>
    <w:rsid w:val="0020246E"/>
    <w:rsid w:val="002778F5"/>
    <w:rsid w:val="00285098"/>
    <w:rsid w:val="002B27B7"/>
    <w:rsid w:val="00333DFC"/>
    <w:rsid w:val="00355361"/>
    <w:rsid w:val="0036186E"/>
    <w:rsid w:val="00367D0F"/>
    <w:rsid w:val="003728CE"/>
    <w:rsid w:val="003729F9"/>
    <w:rsid w:val="00377AFA"/>
    <w:rsid w:val="00380530"/>
    <w:rsid w:val="00385037"/>
    <w:rsid w:val="00394095"/>
    <w:rsid w:val="003A7F27"/>
    <w:rsid w:val="003C0D67"/>
    <w:rsid w:val="003E5A15"/>
    <w:rsid w:val="004128EA"/>
    <w:rsid w:val="004B2880"/>
    <w:rsid w:val="004E4008"/>
    <w:rsid w:val="004E4409"/>
    <w:rsid w:val="005102B6"/>
    <w:rsid w:val="005251C9"/>
    <w:rsid w:val="00537974"/>
    <w:rsid w:val="00550474"/>
    <w:rsid w:val="005875E2"/>
    <w:rsid w:val="005B5213"/>
    <w:rsid w:val="005D0BFE"/>
    <w:rsid w:val="005D1E20"/>
    <w:rsid w:val="005E1254"/>
    <w:rsid w:val="00606651"/>
    <w:rsid w:val="00624CC7"/>
    <w:rsid w:val="00664BD0"/>
    <w:rsid w:val="006756F9"/>
    <w:rsid w:val="00681F64"/>
    <w:rsid w:val="00695A8F"/>
    <w:rsid w:val="007046DE"/>
    <w:rsid w:val="00753B45"/>
    <w:rsid w:val="007F163B"/>
    <w:rsid w:val="00816F20"/>
    <w:rsid w:val="008347D8"/>
    <w:rsid w:val="00880FD5"/>
    <w:rsid w:val="00893745"/>
    <w:rsid w:val="008A66EC"/>
    <w:rsid w:val="008C13F2"/>
    <w:rsid w:val="008E5D6C"/>
    <w:rsid w:val="008F1610"/>
    <w:rsid w:val="00910CC9"/>
    <w:rsid w:val="00916E07"/>
    <w:rsid w:val="00917F5E"/>
    <w:rsid w:val="00943214"/>
    <w:rsid w:val="00962D13"/>
    <w:rsid w:val="009B2531"/>
    <w:rsid w:val="009C7AD9"/>
    <w:rsid w:val="009F4AA1"/>
    <w:rsid w:val="00A4447B"/>
    <w:rsid w:val="00A53308"/>
    <w:rsid w:val="00A76586"/>
    <w:rsid w:val="00A90EB7"/>
    <w:rsid w:val="00A91AC0"/>
    <w:rsid w:val="00AA33AE"/>
    <w:rsid w:val="00AD4298"/>
    <w:rsid w:val="00AE61FD"/>
    <w:rsid w:val="00AF0A3B"/>
    <w:rsid w:val="00AF4B65"/>
    <w:rsid w:val="00AF6952"/>
    <w:rsid w:val="00B0217F"/>
    <w:rsid w:val="00B03BE1"/>
    <w:rsid w:val="00B046BB"/>
    <w:rsid w:val="00B62D8F"/>
    <w:rsid w:val="00B72259"/>
    <w:rsid w:val="00C41F38"/>
    <w:rsid w:val="00CA0E27"/>
    <w:rsid w:val="00CB536A"/>
    <w:rsid w:val="00CB6078"/>
    <w:rsid w:val="00CF1B87"/>
    <w:rsid w:val="00D13375"/>
    <w:rsid w:val="00D27565"/>
    <w:rsid w:val="00D6263D"/>
    <w:rsid w:val="00D93E3D"/>
    <w:rsid w:val="00D95FCC"/>
    <w:rsid w:val="00DA7884"/>
    <w:rsid w:val="00DF65C3"/>
    <w:rsid w:val="00E3511B"/>
    <w:rsid w:val="00E53013"/>
    <w:rsid w:val="00E70321"/>
    <w:rsid w:val="00EB2991"/>
    <w:rsid w:val="00ED7722"/>
    <w:rsid w:val="00EF26D0"/>
    <w:rsid w:val="00F00D46"/>
    <w:rsid w:val="00F0229D"/>
    <w:rsid w:val="00F23FED"/>
    <w:rsid w:val="00F4602C"/>
    <w:rsid w:val="00F638AA"/>
    <w:rsid w:val="00FB2311"/>
    <w:rsid w:val="00FE6709"/>
    <w:rsid w:val="00FF2AE6"/>
    <w:rsid w:val="00FF55F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213"/>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B2531"/>
    <w:pPr>
      <w:ind w:left="720"/>
      <w:contextualSpacing/>
    </w:pPr>
  </w:style>
  <w:style w:type="table" w:styleId="TableGrid">
    <w:name w:val="Table Grid"/>
    <w:basedOn w:val="TableNormal"/>
    <w:uiPriority w:val="99"/>
    <w:rsid w:val="00B62D8F"/>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3E5A15"/>
    <w:pPr>
      <w:widowControl w:val="0"/>
      <w:autoSpaceDE w:val="0"/>
      <w:autoSpaceDN w:val="0"/>
      <w:adjustRightInd w:val="0"/>
    </w:pPr>
    <w:rPr>
      <w:rFonts w:ascii="Arial" w:eastAsia="Times New Roman" w:hAnsi="Arial" w:cs="Arial"/>
      <w:sz w:val="20"/>
      <w:szCs w:val="20"/>
    </w:rPr>
  </w:style>
  <w:style w:type="character" w:styleId="Hyperlink">
    <w:name w:val="Hyperlink"/>
    <w:basedOn w:val="DefaultParagraphFont"/>
    <w:uiPriority w:val="99"/>
    <w:rsid w:val="003E5A15"/>
    <w:rPr>
      <w:rFonts w:cs="Times New Roman"/>
      <w:color w:val="0563C1"/>
      <w:u w:val="single"/>
    </w:rPr>
  </w:style>
  <w:style w:type="paragraph" w:customStyle="1" w:styleId="ConsPlusNormal">
    <w:name w:val="ConsPlusNormal"/>
    <w:uiPriority w:val="99"/>
    <w:rsid w:val="00624CC7"/>
    <w:pPr>
      <w:autoSpaceDE w:val="0"/>
      <w:autoSpaceDN w:val="0"/>
      <w:adjustRightInd w:val="0"/>
    </w:pPr>
    <w:rPr>
      <w:rFonts w:ascii="Arial" w:hAnsi="Arial" w:cs="Arial"/>
      <w:sz w:val="20"/>
      <w:szCs w:val="20"/>
      <w:lang w:eastAsia="en-US"/>
    </w:rPr>
  </w:style>
  <w:style w:type="paragraph" w:styleId="Header">
    <w:name w:val="header"/>
    <w:basedOn w:val="Normal"/>
    <w:link w:val="HeaderChar"/>
    <w:uiPriority w:val="99"/>
    <w:rsid w:val="00EF26D0"/>
    <w:pPr>
      <w:tabs>
        <w:tab w:val="center" w:pos="4677"/>
        <w:tab w:val="right" w:pos="9355"/>
      </w:tabs>
    </w:pPr>
  </w:style>
  <w:style w:type="character" w:customStyle="1" w:styleId="HeaderChar">
    <w:name w:val="Header Char"/>
    <w:basedOn w:val="DefaultParagraphFont"/>
    <w:link w:val="Header"/>
    <w:uiPriority w:val="99"/>
    <w:semiHidden/>
    <w:rsid w:val="000D09B1"/>
    <w:rPr>
      <w:lang w:eastAsia="en-US"/>
    </w:rPr>
  </w:style>
  <w:style w:type="paragraph" w:styleId="Footer">
    <w:name w:val="footer"/>
    <w:basedOn w:val="Normal"/>
    <w:link w:val="FooterChar"/>
    <w:uiPriority w:val="99"/>
    <w:rsid w:val="00EF26D0"/>
    <w:pPr>
      <w:tabs>
        <w:tab w:val="center" w:pos="4677"/>
        <w:tab w:val="right" w:pos="9355"/>
      </w:tabs>
    </w:pPr>
  </w:style>
  <w:style w:type="character" w:customStyle="1" w:styleId="FooterChar">
    <w:name w:val="Footer Char"/>
    <w:basedOn w:val="DefaultParagraphFont"/>
    <w:link w:val="Footer"/>
    <w:uiPriority w:val="99"/>
    <w:semiHidden/>
    <w:rsid w:val="000D09B1"/>
    <w:rPr>
      <w:lang w:eastAsia="en-US"/>
    </w:rPr>
  </w:style>
  <w:style w:type="character" w:styleId="PageNumber">
    <w:name w:val="page number"/>
    <w:basedOn w:val="DefaultParagraphFont"/>
    <w:uiPriority w:val="99"/>
    <w:rsid w:val="00EF26D0"/>
    <w:rPr>
      <w:rFonts w:cs="Times New Roman"/>
    </w:rPr>
  </w:style>
</w:styles>
</file>

<file path=word/webSettings.xml><?xml version="1.0" encoding="utf-8"?>
<w:webSettings xmlns:r="http://schemas.openxmlformats.org/officeDocument/2006/relationships" xmlns:w="http://schemas.openxmlformats.org/wordprocessingml/2006/main">
  <w:divs>
    <w:div w:id="238105312">
      <w:marLeft w:val="0"/>
      <w:marRight w:val="0"/>
      <w:marTop w:val="0"/>
      <w:marBottom w:val="0"/>
      <w:divBdr>
        <w:top w:val="none" w:sz="0" w:space="0" w:color="auto"/>
        <w:left w:val="none" w:sz="0" w:space="0" w:color="auto"/>
        <w:bottom w:val="none" w:sz="0" w:space="0" w:color="auto"/>
        <w:right w:val="none" w:sz="0" w:space="0" w:color="auto"/>
      </w:divBdr>
      <w:divsChild>
        <w:div w:id="238105316">
          <w:marLeft w:val="0"/>
          <w:marRight w:val="0"/>
          <w:marTop w:val="0"/>
          <w:marBottom w:val="0"/>
          <w:divBdr>
            <w:top w:val="none" w:sz="0" w:space="0" w:color="auto"/>
            <w:left w:val="none" w:sz="0" w:space="0" w:color="auto"/>
            <w:bottom w:val="none" w:sz="0" w:space="0" w:color="auto"/>
            <w:right w:val="none" w:sz="0" w:space="0" w:color="auto"/>
          </w:divBdr>
          <w:divsChild>
            <w:div w:id="238105320">
              <w:marLeft w:val="0"/>
              <w:marRight w:val="0"/>
              <w:marTop w:val="0"/>
              <w:marBottom w:val="0"/>
              <w:divBdr>
                <w:top w:val="none" w:sz="0" w:space="0" w:color="auto"/>
                <w:left w:val="none" w:sz="0" w:space="0" w:color="auto"/>
                <w:bottom w:val="none" w:sz="0" w:space="0" w:color="auto"/>
                <w:right w:val="none" w:sz="0" w:space="0" w:color="auto"/>
              </w:divBdr>
              <w:divsChild>
                <w:div w:id="238105313">
                  <w:marLeft w:val="1920"/>
                  <w:marRight w:val="0"/>
                  <w:marTop w:val="0"/>
                  <w:marBottom w:val="0"/>
                  <w:divBdr>
                    <w:top w:val="none" w:sz="0" w:space="0" w:color="auto"/>
                    <w:left w:val="none" w:sz="0" w:space="0" w:color="auto"/>
                    <w:bottom w:val="none" w:sz="0" w:space="0" w:color="auto"/>
                    <w:right w:val="none" w:sz="0" w:space="0" w:color="auto"/>
                  </w:divBdr>
                  <w:divsChild>
                    <w:div w:id="238105319">
                      <w:marLeft w:val="0"/>
                      <w:marRight w:val="0"/>
                      <w:marTop w:val="0"/>
                      <w:marBottom w:val="0"/>
                      <w:divBdr>
                        <w:top w:val="none" w:sz="0" w:space="0" w:color="auto"/>
                        <w:left w:val="none" w:sz="0" w:space="0" w:color="auto"/>
                        <w:bottom w:val="none" w:sz="0" w:space="0" w:color="auto"/>
                        <w:right w:val="none" w:sz="0" w:space="0" w:color="auto"/>
                      </w:divBdr>
                      <w:divsChild>
                        <w:div w:id="238105337">
                          <w:marLeft w:val="0"/>
                          <w:marRight w:val="0"/>
                          <w:marTop w:val="0"/>
                          <w:marBottom w:val="0"/>
                          <w:divBdr>
                            <w:top w:val="none" w:sz="0" w:space="0" w:color="auto"/>
                            <w:left w:val="none" w:sz="0" w:space="0" w:color="auto"/>
                            <w:bottom w:val="none" w:sz="0" w:space="0" w:color="auto"/>
                            <w:right w:val="none" w:sz="0" w:space="0" w:color="auto"/>
                          </w:divBdr>
                          <w:divsChild>
                            <w:div w:id="238105330">
                              <w:marLeft w:val="0"/>
                              <w:marRight w:val="0"/>
                              <w:marTop w:val="0"/>
                              <w:marBottom w:val="0"/>
                              <w:divBdr>
                                <w:top w:val="none" w:sz="0" w:space="0" w:color="auto"/>
                                <w:left w:val="none" w:sz="0" w:space="0" w:color="auto"/>
                                <w:bottom w:val="none" w:sz="0" w:space="0" w:color="auto"/>
                                <w:right w:val="none" w:sz="0" w:space="0" w:color="auto"/>
                              </w:divBdr>
                              <w:divsChild>
                                <w:div w:id="238105321">
                                  <w:marLeft w:val="0"/>
                                  <w:marRight w:val="0"/>
                                  <w:marTop w:val="0"/>
                                  <w:marBottom w:val="0"/>
                                  <w:divBdr>
                                    <w:top w:val="none" w:sz="0" w:space="0" w:color="auto"/>
                                    <w:left w:val="none" w:sz="0" w:space="0" w:color="auto"/>
                                    <w:bottom w:val="none" w:sz="0" w:space="0" w:color="auto"/>
                                    <w:right w:val="none" w:sz="0" w:space="0" w:color="auto"/>
                                  </w:divBdr>
                                  <w:divsChild>
                                    <w:div w:id="238105342">
                                      <w:marLeft w:val="0"/>
                                      <w:marRight w:val="0"/>
                                      <w:marTop w:val="0"/>
                                      <w:marBottom w:val="0"/>
                                      <w:divBdr>
                                        <w:top w:val="none" w:sz="0" w:space="0" w:color="auto"/>
                                        <w:left w:val="none" w:sz="0" w:space="0" w:color="auto"/>
                                        <w:bottom w:val="none" w:sz="0" w:space="0" w:color="auto"/>
                                        <w:right w:val="none" w:sz="0" w:space="0" w:color="auto"/>
                                      </w:divBdr>
                                      <w:divsChild>
                                        <w:div w:id="238105331">
                                          <w:marLeft w:val="0"/>
                                          <w:marRight w:val="0"/>
                                          <w:marTop w:val="0"/>
                                          <w:marBottom w:val="0"/>
                                          <w:divBdr>
                                            <w:top w:val="none" w:sz="0" w:space="0" w:color="auto"/>
                                            <w:left w:val="none" w:sz="0" w:space="0" w:color="auto"/>
                                            <w:bottom w:val="none" w:sz="0" w:space="0" w:color="auto"/>
                                            <w:right w:val="none" w:sz="0" w:space="0" w:color="auto"/>
                                          </w:divBdr>
                                          <w:divsChild>
                                            <w:div w:id="238105318">
                                              <w:marLeft w:val="0"/>
                                              <w:marRight w:val="0"/>
                                              <w:marTop w:val="0"/>
                                              <w:marBottom w:val="0"/>
                                              <w:divBdr>
                                                <w:top w:val="none" w:sz="0" w:space="0" w:color="auto"/>
                                                <w:left w:val="none" w:sz="0" w:space="0" w:color="auto"/>
                                                <w:bottom w:val="none" w:sz="0" w:space="0" w:color="auto"/>
                                                <w:right w:val="none" w:sz="0" w:space="0" w:color="auto"/>
                                              </w:divBdr>
                                              <w:divsChild>
                                                <w:div w:id="238105323">
                                                  <w:marLeft w:val="0"/>
                                                  <w:marRight w:val="0"/>
                                                  <w:marTop w:val="0"/>
                                                  <w:marBottom w:val="0"/>
                                                  <w:divBdr>
                                                    <w:top w:val="none" w:sz="0" w:space="0" w:color="auto"/>
                                                    <w:left w:val="none" w:sz="0" w:space="0" w:color="auto"/>
                                                    <w:bottom w:val="none" w:sz="0" w:space="0" w:color="auto"/>
                                                    <w:right w:val="none" w:sz="0" w:space="0" w:color="auto"/>
                                                  </w:divBdr>
                                                  <w:divsChild>
                                                    <w:div w:id="238105338">
                                                      <w:marLeft w:val="0"/>
                                                      <w:marRight w:val="0"/>
                                                      <w:marTop w:val="0"/>
                                                      <w:marBottom w:val="0"/>
                                                      <w:divBdr>
                                                        <w:top w:val="none" w:sz="0" w:space="0" w:color="auto"/>
                                                        <w:left w:val="none" w:sz="0" w:space="0" w:color="auto"/>
                                                        <w:bottom w:val="none" w:sz="0" w:space="0" w:color="auto"/>
                                                        <w:right w:val="none" w:sz="0" w:space="0" w:color="auto"/>
                                                      </w:divBdr>
                                                      <w:divsChild>
                                                        <w:div w:id="238105335">
                                                          <w:marLeft w:val="0"/>
                                                          <w:marRight w:val="0"/>
                                                          <w:marTop w:val="0"/>
                                                          <w:marBottom w:val="0"/>
                                                          <w:divBdr>
                                                            <w:top w:val="none" w:sz="0" w:space="0" w:color="auto"/>
                                                            <w:left w:val="none" w:sz="0" w:space="0" w:color="auto"/>
                                                            <w:bottom w:val="none" w:sz="0" w:space="0" w:color="auto"/>
                                                            <w:right w:val="none" w:sz="0" w:space="0" w:color="auto"/>
                                                          </w:divBdr>
                                                          <w:divsChild>
                                                            <w:div w:id="238105311">
                                                              <w:marLeft w:val="0"/>
                                                              <w:marRight w:val="0"/>
                                                              <w:marTop w:val="0"/>
                                                              <w:marBottom w:val="0"/>
                                                              <w:divBdr>
                                                                <w:top w:val="none" w:sz="0" w:space="0" w:color="auto"/>
                                                                <w:left w:val="none" w:sz="0" w:space="0" w:color="auto"/>
                                                                <w:bottom w:val="none" w:sz="0" w:space="0" w:color="auto"/>
                                                                <w:right w:val="none" w:sz="0" w:space="0" w:color="auto"/>
                                                              </w:divBdr>
                                                              <w:divsChild>
                                                                <w:div w:id="2381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38105329">
      <w:marLeft w:val="0"/>
      <w:marRight w:val="0"/>
      <w:marTop w:val="0"/>
      <w:marBottom w:val="0"/>
      <w:divBdr>
        <w:top w:val="none" w:sz="0" w:space="0" w:color="auto"/>
        <w:left w:val="none" w:sz="0" w:space="0" w:color="auto"/>
        <w:bottom w:val="none" w:sz="0" w:space="0" w:color="auto"/>
        <w:right w:val="none" w:sz="0" w:space="0" w:color="auto"/>
      </w:divBdr>
      <w:divsChild>
        <w:div w:id="238105324">
          <w:marLeft w:val="0"/>
          <w:marRight w:val="0"/>
          <w:marTop w:val="0"/>
          <w:marBottom w:val="0"/>
          <w:divBdr>
            <w:top w:val="none" w:sz="0" w:space="0" w:color="auto"/>
            <w:left w:val="none" w:sz="0" w:space="0" w:color="auto"/>
            <w:bottom w:val="none" w:sz="0" w:space="0" w:color="auto"/>
            <w:right w:val="none" w:sz="0" w:space="0" w:color="auto"/>
          </w:divBdr>
          <w:divsChild>
            <w:div w:id="238105325">
              <w:marLeft w:val="0"/>
              <w:marRight w:val="0"/>
              <w:marTop w:val="0"/>
              <w:marBottom w:val="0"/>
              <w:divBdr>
                <w:top w:val="none" w:sz="0" w:space="0" w:color="auto"/>
                <w:left w:val="none" w:sz="0" w:space="0" w:color="auto"/>
                <w:bottom w:val="none" w:sz="0" w:space="0" w:color="auto"/>
                <w:right w:val="none" w:sz="0" w:space="0" w:color="auto"/>
              </w:divBdr>
              <w:divsChild>
                <w:div w:id="238105326">
                  <w:marLeft w:val="1920"/>
                  <w:marRight w:val="0"/>
                  <w:marTop w:val="0"/>
                  <w:marBottom w:val="0"/>
                  <w:divBdr>
                    <w:top w:val="none" w:sz="0" w:space="0" w:color="auto"/>
                    <w:left w:val="none" w:sz="0" w:space="0" w:color="auto"/>
                    <w:bottom w:val="none" w:sz="0" w:space="0" w:color="auto"/>
                    <w:right w:val="none" w:sz="0" w:space="0" w:color="auto"/>
                  </w:divBdr>
                  <w:divsChild>
                    <w:div w:id="238105317">
                      <w:marLeft w:val="0"/>
                      <w:marRight w:val="0"/>
                      <w:marTop w:val="0"/>
                      <w:marBottom w:val="0"/>
                      <w:divBdr>
                        <w:top w:val="none" w:sz="0" w:space="0" w:color="auto"/>
                        <w:left w:val="none" w:sz="0" w:space="0" w:color="auto"/>
                        <w:bottom w:val="none" w:sz="0" w:space="0" w:color="auto"/>
                        <w:right w:val="none" w:sz="0" w:space="0" w:color="auto"/>
                      </w:divBdr>
                      <w:divsChild>
                        <w:div w:id="238105328">
                          <w:marLeft w:val="0"/>
                          <w:marRight w:val="0"/>
                          <w:marTop w:val="0"/>
                          <w:marBottom w:val="0"/>
                          <w:divBdr>
                            <w:top w:val="none" w:sz="0" w:space="0" w:color="auto"/>
                            <w:left w:val="none" w:sz="0" w:space="0" w:color="auto"/>
                            <w:bottom w:val="none" w:sz="0" w:space="0" w:color="auto"/>
                            <w:right w:val="none" w:sz="0" w:space="0" w:color="auto"/>
                          </w:divBdr>
                          <w:divsChild>
                            <w:div w:id="238105333">
                              <w:marLeft w:val="0"/>
                              <w:marRight w:val="0"/>
                              <w:marTop w:val="0"/>
                              <w:marBottom w:val="0"/>
                              <w:divBdr>
                                <w:top w:val="none" w:sz="0" w:space="0" w:color="auto"/>
                                <w:left w:val="none" w:sz="0" w:space="0" w:color="auto"/>
                                <w:bottom w:val="none" w:sz="0" w:space="0" w:color="auto"/>
                                <w:right w:val="none" w:sz="0" w:space="0" w:color="auto"/>
                              </w:divBdr>
                              <w:divsChild>
                                <w:div w:id="238105332">
                                  <w:marLeft w:val="0"/>
                                  <w:marRight w:val="0"/>
                                  <w:marTop w:val="0"/>
                                  <w:marBottom w:val="0"/>
                                  <w:divBdr>
                                    <w:top w:val="none" w:sz="0" w:space="0" w:color="auto"/>
                                    <w:left w:val="none" w:sz="0" w:space="0" w:color="auto"/>
                                    <w:bottom w:val="none" w:sz="0" w:space="0" w:color="auto"/>
                                    <w:right w:val="none" w:sz="0" w:space="0" w:color="auto"/>
                                  </w:divBdr>
                                  <w:divsChild>
                                    <w:div w:id="238105315">
                                      <w:marLeft w:val="0"/>
                                      <w:marRight w:val="0"/>
                                      <w:marTop w:val="0"/>
                                      <w:marBottom w:val="0"/>
                                      <w:divBdr>
                                        <w:top w:val="none" w:sz="0" w:space="0" w:color="auto"/>
                                        <w:left w:val="none" w:sz="0" w:space="0" w:color="auto"/>
                                        <w:bottom w:val="none" w:sz="0" w:space="0" w:color="auto"/>
                                        <w:right w:val="none" w:sz="0" w:space="0" w:color="auto"/>
                                      </w:divBdr>
                                      <w:divsChild>
                                        <w:div w:id="238105314">
                                          <w:marLeft w:val="0"/>
                                          <w:marRight w:val="0"/>
                                          <w:marTop w:val="0"/>
                                          <w:marBottom w:val="0"/>
                                          <w:divBdr>
                                            <w:top w:val="none" w:sz="0" w:space="0" w:color="auto"/>
                                            <w:left w:val="none" w:sz="0" w:space="0" w:color="auto"/>
                                            <w:bottom w:val="none" w:sz="0" w:space="0" w:color="auto"/>
                                            <w:right w:val="none" w:sz="0" w:space="0" w:color="auto"/>
                                          </w:divBdr>
                                          <w:divsChild>
                                            <w:div w:id="238105339">
                                              <w:marLeft w:val="0"/>
                                              <w:marRight w:val="0"/>
                                              <w:marTop w:val="0"/>
                                              <w:marBottom w:val="0"/>
                                              <w:divBdr>
                                                <w:top w:val="none" w:sz="0" w:space="0" w:color="auto"/>
                                                <w:left w:val="none" w:sz="0" w:space="0" w:color="auto"/>
                                                <w:bottom w:val="none" w:sz="0" w:space="0" w:color="auto"/>
                                                <w:right w:val="none" w:sz="0" w:space="0" w:color="auto"/>
                                              </w:divBdr>
                                              <w:divsChild>
                                                <w:div w:id="238105336">
                                                  <w:marLeft w:val="0"/>
                                                  <w:marRight w:val="0"/>
                                                  <w:marTop w:val="0"/>
                                                  <w:marBottom w:val="0"/>
                                                  <w:divBdr>
                                                    <w:top w:val="none" w:sz="0" w:space="0" w:color="auto"/>
                                                    <w:left w:val="none" w:sz="0" w:space="0" w:color="auto"/>
                                                    <w:bottom w:val="none" w:sz="0" w:space="0" w:color="auto"/>
                                                    <w:right w:val="none" w:sz="0" w:space="0" w:color="auto"/>
                                                  </w:divBdr>
                                                  <w:divsChild>
                                                    <w:div w:id="238105327">
                                                      <w:marLeft w:val="0"/>
                                                      <w:marRight w:val="0"/>
                                                      <w:marTop w:val="0"/>
                                                      <w:marBottom w:val="0"/>
                                                      <w:divBdr>
                                                        <w:top w:val="none" w:sz="0" w:space="0" w:color="auto"/>
                                                        <w:left w:val="none" w:sz="0" w:space="0" w:color="auto"/>
                                                        <w:bottom w:val="none" w:sz="0" w:space="0" w:color="auto"/>
                                                        <w:right w:val="none" w:sz="0" w:space="0" w:color="auto"/>
                                                      </w:divBdr>
                                                      <w:divsChild>
                                                        <w:div w:id="238105322">
                                                          <w:marLeft w:val="0"/>
                                                          <w:marRight w:val="0"/>
                                                          <w:marTop w:val="0"/>
                                                          <w:marBottom w:val="0"/>
                                                          <w:divBdr>
                                                            <w:top w:val="none" w:sz="0" w:space="0" w:color="auto"/>
                                                            <w:left w:val="none" w:sz="0" w:space="0" w:color="auto"/>
                                                            <w:bottom w:val="none" w:sz="0" w:space="0" w:color="auto"/>
                                                            <w:right w:val="none" w:sz="0" w:space="0" w:color="auto"/>
                                                          </w:divBdr>
                                                          <w:divsChild>
                                                            <w:div w:id="238105334">
                                                              <w:marLeft w:val="0"/>
                                                              <w:marRight w:val="0"/>
                                                              <w:marTop w:val="0"/>
                                                              <w:marBottom w:val="0"/>
                                                              <w:divBdr>
                                                                <w:top w:val="none" w:sz="0" w:space="0" w:color="auto"/>
                                                                <w:left w:val="none" w:sz="0" w:space="0" w:color="auto"/>
                                                                <w:bottom w:val="none" w:sz="0" w:space="0" w:color="auto"/>
                                                                <w:right w:val="none" w:sz="0" w:space="0" w:color="auto"/>
                                                              </w:divBdr>
                                                              <w:divsChild>
                                                                <w:div w:id="23810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E402393278CA4D07EAD2502CF7AD0C5947B3C3687978E363269DA208C2C778D43554C6ECA367D60y2IEG" TargetMode="External"/><Relationship Id="rId13" Type="http://schemas.openxmlformats.org/officeDocument/2006/relationships/hyperlink" Target="consultantplus://offline/ref=24F3B9C1620908C074720A20E2ABDB19E7A3DEE0B0C8068BDBB77D8992J1k4H" TargetMode="External"/><Relationship Id="rId18" Type="http://schemas.openxmlformats.org/officeDocument/2006/relationships/hyperlink" Target="consultantplus://offline/ref=24F3B9C1620908C074720A20E2ABDB19E7A3DEE0B0C8068BDBB77D8992J1k4H"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consultantplus://offline/ref=3E402393278CA4D07EAD2502CF7AD0C5947B3C3687978E363269DA208C2C778D43554C6ECA357763y2I2G" TargetMode="External"/><Relationship Id="rId12" Type="http://schemas.openxmlformats.org/officeDocument/2006/relationships/hyperlink" Target="consultantplus://offline/ref=73A6DB0BF9A4BFD2B31B30FDACCDFC19EF46ACA0451F9D10BB5EDC6A6AB82D651F03FA1F9F0443l8aCG" TargetMode="External"/><Relationship Id="rId17" Type="http://schemas.openxmlformats.org/officeDocument/2006/relationships/hyperlink" Target="consultantplus://offline/ref=24F3B9C1620908C074720A20E2ABDB19E7ADDEE6BBCE068BDBB77D8992J1k4H"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24F3B9C1620908C074720A20E2ABDB19E4A3D5E5BCCE068BDBB77D8992J1k4H" TargetMode="External"/><Relationship Id="rId20" Type="http://schemas.openxmlformats.org/officeDocument/2006/relationships/hyperlink" Target="http://ej.kubagro.ru/2007/03/pdf/28.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00CA0419CDB9212EEF8EFC07DBF659FF8A0D39A233AD79984241C75653F3B899EEB1063E370EC8c9Z0G"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24F3B9C1620908C074720A20E2ABDB19E4ACD4E0B9CC068BDBB77D8992J1k4H" TargetMode="External"/><Relationship Id="rId23" Type="http://schemas.openxmlformats.org/officeDocument/2006/relationships/footer" Target="footer1.xml"/><Relationship Id="rId10" Type="http://schemas.openxmlformats.org/officeDocument/2006/relationships/hyperlink" Target="consultantplus://offline/ref=FA5EB1AA385FCAE1FED133CB29B9EA4A864171626BBDE358F01D3DADU83DG" TargetMode="External"/><Relationship Id="rId19" Type="http://schemas.openxmlformats.org/officeDocument/2006/relationships/hyperlink" Target="consultantplus://offline/ref=24F3B9C1620908C074720A20E2ABDB19E4ACD4E0B9CC068BDBB77D8992J1k4H" TargetMode="External"/><Relationship Id="rId4" Type="http://schemas.openxmlformats.org/officeDocument/2006/relationships/webSettings" Target="webSettings.xml"/><Relationship Id="rId9" Type="http://schemas.openxmlformats.org/officeDocument/2006/relationships/hyperlink" Target="consultantplus://offline/ref=3E402393278CA4D07EAD2502CF7AD0C5947B3C3687978E363269DA208C2C778D43554C6ECA367C6Ey2I2G" TargetMode="External"/><Relationship Id="rId14" Type="http://schemas.openxmlformats.org/officeDocument/2006/relationships/hyperlink" Target="consultantplus://offline/ref=24F3B9C1620908C074720A20E2ABDB19E1AED9E3BFC75B81D3EE718BJ9k5H"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516</TotalTime>
  <Pages>15</Pages>
  <Words>4441</Words>
  <Characters>25319</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TMD User</dc:creator>
  <cp:keywords/>
  <dc:description/>
  <cp:lastModifiedBy>admin</cp:lastModifiedBy>
  <cp:revision>95</cp:revision>
  <dcterms:created xsi:type="dcterms:W3CDTF">2014-06-20T06:04:00Z</dcterms:created>
  <dcterms:modified xsi:type="dcterms:W3CDTF">2014-09-09T07:03:00Z</dcterms:modified>
</cp:coreProperties>
</file>