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F71FCB" w:rsidRPr="002B0EF2" w:rsidTr="00B60159">
        <w:trPr>
          <w:tblCellSpacing w:w="15" w:type="dxa"/>
        </w:trPr>
        <w:tc>
          <w:tcPr>
            <w:tcW w:w="2475" w:type="pct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sz w:val="20"/>
                <w:szCs w:val="20"/>
              </w:rPr>
              <w:t>УДК 631.452:631:582</w:t>
            </w:r>
          </w:p>
        </w:tc>
        <w:tc>
          <w:tcPr>
            <w:tcW w:w="2475" w:type="pct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sz w:val="20"/>
                <w:szCs w:val="20"/>
              </w:rPr>
              <w:t>UDC 631.452:631:582</w:t>
            </w:r>
          </w:p>
        </w:tc>
      </w:tr>
      <w:tr w:rsidR="00F71FCB" w:rsidRPr="002B0EF2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b/>
                <w:bCs/>
                <w:sz w:val="20"/>
                <w:szCs w:val="20"/>
              </w:rPr>
              <w:t>ВЫСОТА РАСТЕНИЙ И НАКОПЛЕНИЕ БИОМАССЫ ЛЮЦЕРНОВЫМ АГРОЦЕНОЗОМ ПРИ ВНЕСЕНИИ УДОБРЕНИЙ</w:t>
            </w: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PLANT HEIGHT AND ACCUMULATION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OF </w:t>
            </w:r>
            <w:r w:rsidRPr="002817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ALFAALFA BIOMASS AGROTCENORE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WHEN </w:t>
            </w:r>
            <w:r w:rsidRPr="002817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FERTILIZING</w:t>
            </w: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sz w:val="20"/>
                <w:szCs w:val="20"/>
              </w:rPr>
              <w:t>Дроздова</w:t>
            </w:r>
            <w:r w:rsidRPr="00B601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1785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иктория Викторовна</w:t>
            </w:r>
          </w:p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к.б.н, доцент кафедры агрохимии</w:t>
            </w: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F71FCB" w:rsidRPr="009B023E" w:rsidRDefault="00F71FCB" w:rsidP="0009755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Шеуджен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60159">
              <w:rPr>
                <w:rFonts w:ascii="Times New Roman" w:hAnsi="Times New Roman"/>
                <w:sz w:val="20"/>
                <w:szCs w:val="20"/>
                <w:lang w:val="en-US"/>
              </w:rPr>
              <w:t>Асхад Хазретович</w:t>
            </w:r>
          </w:p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д.б.н., чл.-корр. РАСХН, профессор</w:t>
            </w: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Хуако </w:t>
            </w:r>
            <w:r w:rsidRPr="00B60159">
              <w:rPr>
                <w:rFonts w:ascii="Times New Roman" w:hAnsi="Times New Roman"/>
                <w:sz w:val="20"/>
                <w:szCs w:val="20"/>
              </w:rPr>
              <w:t>Амеран Юнусович</w:t>
            </w: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60159">
              <w:rPr>
                <w:rFonts w:ascii="Times New Roman" w:hAnsi="Times New Roman"/>
                <w:iCs/>
                <w:sz w:val="20"/>
                <w:szCs w:val="20"/>
              </w:rPr>
              <w:t>бакалавр</w:t>
            </w:r>
            <w:r w:rsidRPr="00B6015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факультет агрохимия и почвоведение </w:t>
            </w:r>
          </w:p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0" w:type="auto"/>
            <w:shd w:val="clear" w:color="auto" w:fill="FFFFFF"/>
          </w:tcPr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Drozdova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Viktoria Viktorovna</w:t>
            </w:r>
          </w:p>
          <w:p w:rsidR="00F71FCB" w:rsidRPr="00FA030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Cand.Biol.Sci., 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assistant professor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>Agro chemistry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</w:t>
            </w: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Sheud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zhe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Askhad Khazretovich</w:t>
            </w: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Sci.Biol.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Corr.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Member of Academy of Agricultural Sciences</w:t>
            </w:r>
          </w:p>
          <w:p w:rsidR="00F71FCB" w:rsidRPr="00FA030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71FCB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Huako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Ameran Yunusovich</w:t>
            </w:r>
          </w:p>
          <w:p w:rsidR="00F71FCB" w:rsidRPr="00FA030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bachelor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>Agro chemistry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A0309">
              <w:rPr>
                <w:rFonts w:ascii="Times New Roman" w:hAnsi="Times New Roman"/>
                <w:sz w:val="20"/>
                <w:szCs w:val="20"/>
                <w:lang w:val="en-US"/>
              </w:rPr>
              <w:t>and soil science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 </w:t>
            </w:r>
          </w:p>
          <w:p w:rsidR="00F71FCB" w:rsidRPr="00FA030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F71FCB" w:rsidRPr="00097555" w:rsidTr="00C52248">
        <w:trPr>
          <w:gridAfter w:val="1"/>
          <w:wAfter w:w="2475" w:type="pct"/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FA030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sz w:val="20"/>
                <w:szCs w:val="20"/>
              </w:rPr>
              <w:t>Представлены результаты исследования по изучению влияния минеральных удобрений на высоту растений и накопление биомассы растениями люцерны</w:t>
            </w: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presents the 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result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studies of the influence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fertilizers 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lant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height and accumulation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biomass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alfalfa  </w:t>
            </w: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71FCB" w:rsidRPr="00097555" w:rsidTr="00C52248">
        <w:trPr>
          <w:tblCellSpacing w:w="15" w:type="dxa"/>
        </w:trPr>
        <w:tc>
          <w:tcPr>
            <w:tcW w:w="0" w:type="auto"/>
            <w:shd w:val="clear" w:color="auto" w:fill="FFFFFF"/>
          </w:tcPr>
          <w:p w:rsidR="00F71FCB" w:rsidRPr="00B60159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785">
              <w:rPr>
                <w:rFonts w:ascii="Times New Roman" w:hAnsi="Times New Roman"/>
                <w:sz w:val="20"/>
                <w:szCs w:val="20"/>
              </w:rPr>
              <w:t>Ключевые слова:  ЛЮЦ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281785">
              <w:rPr>
                <w:rFonts w:ascii="Times New Roman" w:hAnsi="Times New Roman"/>
                <w:sz w:val="20"/>
                <w:szCs w:val="20"/>
              </w:rPr>
              <w:t>РНА, ЧЕРНОЗЕМ ВЫЩЕЛОЧЕННЫЙ, МИНЕРАЛЬНЫЕ УДОБРЕНИЯ, ВЫСО</w:t>
            </w:r>
            <w:r>
              <w:rPr>
                <w:rFonts w:ascii="Times New Roman" w:hAnsi="Times New Roman"/>
                <w:sz w:val="20"/>
                <w:szCs w:val="20"/>
              </w:rPr>
              <w:t>ТА РАСТЕНИЙ, БИОМАССА</w:t>
            </w:r>
          </w:p>
        </w:tc>
        <w:tc>
          <w:tcPr>
            <w:tcW w:w="0" w:type="auto"/>
            <w:shd w:val="clear" w:color="auto" w:fill="FFFFFF"/>
          </w:tcPr>
          <w:p w:rsidR="00F71FCB" w:rsidRPr="00281785" w:rsidRDefault="00F71FCB" w:rsidP="000975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SEMANTIC MEDICAGO,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BLACK 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LEACHED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SOIL</w:t>
            </w:r>
            <w:r w:rsidRPr="00281785">
              <w:rPr>
                <w:rFonts w:ascii="Times New Roman" w:hAnsi="Times New Roman"/>
                <w:sz w:val="20"/>
                <w:szCs w:val="20"/>
                <w:lang w:val="en-US"/>
              </w:rPr>
              <w:t>, FER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TILIZERS, PLANT HEIGHT, BIOMASS</w:t>
            </w:r>
          </w:p>
        </w:tc>
      </w:tr>
    </w:tbl>
    <w:p w:rsidR="00F71FCB" w:rsidRDefault="00F71FCB" w:rsidP="006B24A4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71FCB" w:rsidRPr="00281785" w:rsidRDefault="00F71FCB" w:rsidP="006B24A4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1785">
        <w:rPr>
          <w:rFonts w:ascii="Times New Roman" w:hAnsi="Times New Roman"/>
          <w:b/>
          <w:sz w:val="28"/>
          <w:szCs w:val="28"/>
        </w:rPr>
        <w:t>Введение</w:t>
      </w:r>
    </w:p>
    <w:p w:rsidR="00F71FCB" w:rsidRPr="00281785" w:rsidRDefault="00F71FCB" w:rsidP="006B24A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b/>
          <w:color w:val="000000"/>
          <w:sz w:val="28"/>
          <w:szCs w:val="28"/>
        </w:rPr>
        <w:t>Распространение</w:t>
      </w:r>
      <w:r w:rsidRPr="00281785">
        <w:rPr>
          <w:rFonts w:ascii="Times New Roman" w:hAnsi="Times New Roman"/>
          <w:color w:val="000000"/>
          <w:sz w:val="28"/>
          <w:szCs w:val="28"/>
        </w:rPr>
        <w:t>. Родина люцерны - Иран, предгорья и горы Средней Азии и Кавказа. Она возделывается во всех земледельческих зонах земного шара. В северном полушарии ее посевы заходит за Полярный круг (Скандинавские страны - 69°с.ш.), в южном - широко культивируется в Океании (Новая Зеландия - 45°ю.ш.) и Южной Америке (Аргентина и Чили - 55°ю.ш.}. В Российской Федерации люцерну возделывают в Центрально-Черноземном, Поволжском, Северо-Кавказском регионах. Здесь при орошении она дает по 10-12 т/га сена. Многие хозяйства Ставропольского, Краснодарского краев, Ростовской, Волгоградской областей получают сена по 12-20 т/га. Высокая зимостойкость и долголетие люцерны делают ее перспективной для Центрального района Нечерноземной зоны.</w:t>
      </w:r>
    </w:p>
    <w:p w:rsidR="00F71FCB" w:rsidRPr="00281785" w:rsidRDefault="00F71FCB" w:rsidP="006B24A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Требования к почве и особенности минерального питания растений. </w:t>
      </w:r>
      <w:r w:rsidRPr="00281785">
        <w:rPr>
          <w:rFonts w:ascii="Times New Roman" w:hAnsi="Times New Roman"/>
          <w:color w:val="000000"/>
          <w:sz w:val="28"/>
          <w:szCs w:val="28"/>
        </w:rPr>
        <w:t>Лучше всего люцерна растет на хорошо воздухо- и водопроницаемых черноземах, каштановых и бурых почвах, на сероземах, темно-серых лесостепных суглинках, на супесях с плодородной подпочвой. Она плохо удается при высоком уровне стояния грунтовых вод, а также на заболоченных и дерново-подзолистых с неглубоким пахотным горизонтом, каменистых и хрящеватых почвах. Основной ее ареал - нейтральные и щелочные почвы как бескарбонатные, так и карбонатные, причем содержание СаСОз может достигать больших значений (до 15-20 %) без заметного негативного воздействия на растения. Следует считать оптимумом люцерны рН 7,0-8,6 (табл. 5; Вальков В.Ф. и др., 2007).При рН 5 клубеньки на корнях люцерны почти не развиваются, а в единичных клубеньках бактерии практически не фиксируют азот из воздуха. Положительная особенность люцерны - ее солевыносливость, способность рассаливать почвы, предупреждая вторичное засоление, что важно при возделывании ее в орошаемых севооборотах.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Корни люцерны активно участвуют в создании почвенного плодородия. Они вовлекают в почвообразовательный процесс большую массу органического вещества после своего отмирания и особенно азота, синтезированного клубеньковыми бактериями. Почти все учебники по растениеводству приводят классическое сравнение Д.Н. Прянишникова: люцерна после трех лет оставляет на 1 га такое же количество органического вещества и азота, какое содержится примерно в 60 т навоза. Корны люцерны способствуют улучшению физического состояния почвы. Хорошо развиваясь в уплотненных слоях и горизонтах, люцерна рыхлит их, делает более благоприятными для последующих культур. Важная экологическая особенность люцерны - слабая чувствительность к уплотнению почв. Поэтому для люцерны вполне пригодны все слитые почвы и почвы со слитыми горизонтами. Люцерна прекрасно удается на тяжелых по гранулометрическому составу глинистых почвах, даже заплывающих и бесструктурных. Эти почвы улучшаются после люцерны. Эта культура для формирования 1 т сена потребляет: N - 39 кг, Р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281785">
        <w:rPr>
          <w:rFonts w:ascii="Times New Roman" w:hAnsi="Times New Roman"/>
          <w:color w:val="000000"/>
          <w:sz w:val="28"/>
          <w:szCs w:val="28"/>
        </w:rPr>
        <w:t>0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5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 - 10, К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0 - 24, СаО - 15, </w:t>
      </w:r>
      <w:r w:rsidRPr="00281785">
        <w:rPr>
          <w:rFonts w:ascii="Times New Roman" w:hAnsi="Times New Roman"/>
          <w:color w:val="000000"/>
          <w:sz w:val="28"/>
          <w:szCs w:val="28"/>
          <w:lang w:val="en-US"/>
        </w:rPr>
        <w:t>Mg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 - 8 кг. Особенно чувствительна люцерна к уровню фосфорного питанияв период первых 20-25 дней после прорастания семян и до появления 6-7-го листа. При этом известно, что в первый период жизни она плохо усваивает труднорастворимые в воде формы фосфатов. В более поздних фазах развития люцерны усвояющая способность ее коневой системы повышается.</w:t>
      </w:r>
    </w:p>
    <w:p w:rsidR="00F71FCB" w:rsidRPr="00281785" w:rsidRDefault="00F71FCB" w:rsidP="006B24A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b/>
          <w:color w:val="000000"/>
          <w:sz w:val="28"/>
          <w:szCs w:val="28"/>
        </w:rPr>
        <w:t>Место в севообороте</w:t>
      </w:r>
      <w:r w:rsidRPr="00281785">
        <w:rPr>
          <w:rFonts w:ascii="Times New Roman" w:hAnsi="Times New Roman"/>
          <w:color w:val="000000"/>
          <w:sz w:val="28"/>
          <w:szCs w:val="28"/>
        </w:rPr>
        <w:t>. В полевых севооборотах степных районов люцерну чаще подсевают под покров яровых зерновых, реже под просо, суданскую траву или междурядья кукурузы. В хлопкосеющих районах ее высевают в растущий хлопчатник или возделывают с суданской травой, сорго или кукурузой. Люцерна дает высокие урожаи лишь на чистых от сорняков плодородных и хорошо обеспеченных влагой по</w:t>
      </w:r>
      <w:r w:rsidRPr="00281785">
        <w:rPr>
          <w:rFonts w:ascii="Times New Roman" w:hAnsi="Times New Roman"/>
          <w:color w:val="000000"/>
          <w:sz w:val="28"/>
          <w:szCs w:val="28"/>
        </w:rPr>
        <w:softHyphen/>
        <w:t>лях. В степных неорошаемых районах хорошими предшественниками для нее являются зерновые, идущие по черному пару, кукуруза, лен масличный, бахчевые. Сахарная свекла - плохой предшественник люцерны, так как она сильно иссушает почву. В орошаемом земледелии люцерну можно размещать практически по любому предшественнику. Высевают ее и без покрова. В севообороте люцерну выращивают в течение 2-3 лет. Нередко ее возделывают на выводных полях, где она дает высокие урожаи в течение 7-10 лет.</w:t>
      </w:r>
    </w:p>
    <w:p w:rsidR="00F71FCB" w:rsidRPr="00281785" w:rsidRDefault="00F71FCB" w:rsidP="006B24A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b/>
          <w:bCs/>
          <w:color w:val="000000"/>
          <w:sz w:val="28"/>
          <w:szCs w:val="28"/>
        </w:rPr>
        <w:t xml:space="preserve">Удобрение. </w:t>
      </w:r>
      <w:r w:rsidRPr="00281785">
        <w:rPr>
          <w:rFonts w:ascii="Times New Roman" w:hAnsi="Times New Roman"/>
          <w:color w:val="000000"/>
          <w:sz w:val="28"/>
          <w:szCs w:val="28"/>
        </w:rPr>
        <w:t>Система удобрения люцерны определяется биологическими особенностями культуры, величиной планируемых урожаев, почвенно-климатическими условиями и обеспеченностью люцерны, агрономическим фоном возделывания. Главная особенность люцерны - циклический характер ее роста и развития, то есть в течение всего вегетационного периода у нее отрастают и развиваются побеги, и это происходит в течение 2-3 лет.</w:t>
      </w:r>
    </w:p>
    <w:p w:rsidR="00F71FCB" w:rsidRPr="00281785" w:rsidRDefault="00F71FCB" w:rsidP="006B24A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color w:val="000000"/>
          <w:sz w:val="28"/>
          <w:szCs w:val="28"/>
        </w:rPr>
        <w:t>Люцерна хорошо отзывается на органические удоб</w:t>
      </w:r>
      <w:r w:rsidRPr="00281785">
        <w:rPr>
          <w:rFonts w:ascii="Times New Roman" w:hAnsi="Times New Roman"/>
          <w:color w:val="000000"/>
          <w:sz w:val="28"/>
          <w:szCs w:val="28"/>
        </w:rPr>
        <w:softHyphen/>
        <w:t>рения, внесенные под покровную культуру. Норма навоза -15-20 т/га в степных районах и в увлажненных - 25-40 т/га. На сильно засоленных почвах хорошее положительное действие оказывают гипс и органические удобрения. В ранний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период развития растения люцерны высоко отзываются на фосфорные удобрения.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При выращивании люцерны на неорошаемых землях в случае ее посева под покров других культур, кроме удобрений, предусматриваемых для покровной культуры, надо дополнительно вносить фосфорные удобрения из расчета Р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30-45</w:t>
      </w:r>
      <w:r w:rsidRPr="00281785">
        <w:rPr>
          <w:rFonts w:ascii="Times New Roman" w:hAnsi="Times New Roman"/>
          <w:color w:val="000000"/>
          <w:sz w:val="28"/>
          <w:szCs w:val="28"/>
        </w:rPr>
        <w:t>-</w:t>
      </w:r>
      <w:r w:rsidRPr="00781B6D">
        <w:rPr>
          <w:rFonts w:ascii="Times New Roman" w:hAnsi="Times New Roman"/>
          <w:color w:val="000000"/>
          <w:sz w:val="28"/>
          <w:szCs w:val="28"/>
        </w:rPr>
        <w:t>.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 При беспокровном посеве люцерны количество вносимого до посева фосфорного удобрения целесообразно увеличить до Р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60-90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. В случае выращивания люцерны на поливных землях целесообразно дозу увеличить до </w:t>
      </w:r>
      <w:r w:rsidRPr="00281785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90-120</w:t>
      </w:r>
      <w:r w:rsidRPr="00281785">
        <w:rPr>
          <w:rFonts w:ascii="Times New Roman" w:hAnsi="Times New Roman"/>
          <w:color w:val="000000"/>
          <w:sz w:val="28"/>
          <w:szCs w:val="28"/>
        </w:rPr>
        <w:t>-</w:t>
      </w:r>
      <w:r w:rsidRPr="00781B6D">
        <w:rPr>
          <w:rFonts w:ascii="Times New Roman" w:hAnsi="Times New Roman"/>
          <w:color w:val="000000"/>
          <w:sz w:val="28"/>
          <w:szCs w:val="28"/>
        </w:rPr>
        <w:t>.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 Рекомендуется внести вместе с семенами гранулированный суперфосфат из расчета </w:t>
      </w:r>
      <w:r w:rsidRPr="00281785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15-20.</w:t>
      </w:r>
      <w:r w:rsidRPr="00781B6D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При выращивании люцерны и травосмесей с ней на неорошаемых землях необходимо вносить до посева трав и покровной культуры дополнительно вносить К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30-45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.При посеве люцерны без покрова норму увеличивают до </w:t>
      </w:r>
      <w:r w:rsidRPr="00281785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50-60</w:t>
      </w:r>
      <w:r w:rsidRPr="00281785">
        <w:rPr>
          <w:rFonts w:ascii="Times New Roman" w:hAnsi="Times New Roman"/>
          <w:color w:val="000000"/>
          <w:sz w:val="28"/>
          <w:szCs w:val="28"/>
        </w:rPr>
        <w:t>. На поливных землях под люцерну необходимо вносить К</w:t>
      </w:r>
      <w:r w:rsidRPr="00281785">
        <w:rPr>
          <w:rFonts w:ascii="Times New Roman" w:hAnsi="Times New Roman"/>
          <w:color w:val="000000"/>
          <w:sz w:val="28"/>
          <w:szCs w:val="28"/>
          <w:vertAlign w:val="subscript"/>
        </w:rPr>
        <w:t>60-90</w:t>
      </w:r>
      <w:r w:rsidRPr="00281785">
        <w:rPr>
          <w:rFonts w:ascii="Times New Roman" w:hAnsi="Times New Roman"/>
          <w:color w:val="000000"/>
          <w:sz w:val="28"/>
          <w:szCs w:val="28"/>
        </w:rPr>
        <w:t>.Не следует вносить калийные удобрения под люцерну на солонцеватых почвах. При хорошем развитии клубеньковых бактерий люцерна не нуждается в минеральном азотном удобрении. На дерново-подзолистых и серых лесных, почвах с повышенной кислотностью, бедных органическим веществом и не удобренных навозом в самом начале развития, люцерна нуждается в доступных ей минеральных азотных соединениях. Внесение перед посевом люцерны и травосмесей с ней необходимого количества минерального азотного удобрения (30-60 кг/га) дает положительные результаты. Однако под действием азота даже при его совместном внесении с фосфором отмечается вытеснение люцерны из травостоя. Поэтому для повышения урожайности бобово-злаковых травосмесей азот применяют со 2-3 го года пользования.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Если под покровную культуру и люцерну не вносили удобрений и люцерна после уборки покровного растения плохо растет вследствие бедности почвы питательными веществами в легкодоступных формах, необходима осенняя подкормка ее. Осенью люцерну целесообразно подкармливать фосфорными и калийными удобрениями по 30-45 кг/га каждого элемента при возделывании без орошения и по 60-90 кг при выращивании в условиях орошения. Осенью второго и последующих лет жизни посевы под</w:t>
      </w:r>
      <w:r>
        <w:rPr>
          <w:rFonts w:ascii="Times New Roman" w:hAnsi="Times New Roman"/>
          <w:color w:val="000000"/>
          <w:sz w:val="28"/>
          <w:szCs w:val="28"/>
        </w:rPr>
        <w:t>кармливают из расчета фосфорны</w:t>
      </w:r>
      <w:r w:rsidRPr="00281785">
        <w:rPr>
          <w:rFonts w:ascii="Times New Roman" w:hAnsi="Times New Roman"/>
          <w:color w:val="000000"/>
          <w:sz w:val="28"/>
          <w:szCs w:val="28"/>
        </w:rPr>
        <w:t>х и калийных удобрений по 30-45 кг/га. Одновременно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81785">
        <w:rPr>
          <w:rFonts w:ascii="Times New Roman" w:hAnsi="Times New Roman"/>
          <w:color w:val="000000"/>
          <w:sz w:val="28"/>
          <w:szCs w:val="28"/>
        </w:rPr>
        <w:t xml:space="preserve"> посевы люцерны подкармливают после каждого укоса.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Для хорошего развития клубеньковых бактерий на корнях люцерны перед посевом необходимо проводить нитрогенизацию семян. Особенно она необходима на новых участках.</w:t>
      </w:r>
      <w:r w:rsidRPr="00781B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785">
        <w:rPr>
          <w:rFonts w:ascii="Times New Roman" w:hAnsi="Times New Roman"/>
          <w:color w:val="000000"/>
          <w:sz w:val="28"/>
          <w:szCs w:val="28"/>
        </w:rPr>
        <w:t>Люцерна сильно реагирует на недостаток молибдена и бора. Недостаток молибдена вызывает нарушение азотного и белкового обмена в растениях и замедляет фиксацию азота клубеньковыми бактериями. При низком содержании молибдена в почве можно предотвратить снижение урожая люцерны внесением в почву 1-4 кг/га молибдата аммония. Хороший эффект дает также предпосевное опудривание семян молибдатом аммония. Необоснованного внесения этого элемента надо избегать, так как слишком высокое его содержание в корме может привести к заболеванию животных.Бор способствует формированию цветков и семян люцерны и поэтому имеет особое значение для семеноводства. Недостаток его в почве можно устранить внесением 1-2 кг/га борного удобрения в пересчете на д.в.. На выщелоченных черноземах Кубани борные, кобальтовые, марганцевые, медные, молибденовые и цинковые микроудобрения вносятся пе</w:t>
      </w:r>
      <w:r w:rsidRPr="00281785">
        <w:rPr>
          <w:rFonts w:ascii="Times New Roman" w:hAnsi="Times New Roman"/>
          <w:color w:val="000000"/>
          <w:sz w:val="28"/>
          <w:szCs w:val="28"/>
        </w:rPr>
        <w:softHyphen/>
        <w:t>ред посевом люцерны из расчета 3 кг/га в пересчете на д.в.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 xml:space="preserve">Рост и развитие растений являются интегральными показателями эффективности физиолого-биохимических процессов в живом организме. Они тесно связаны с минеральным питанием, фотосинтезом, </w:t>
      </w:r>
      <w:r>
        <w:rPr>
          <w:rFonts w:ascii="Times New Roman" w:hAnsi="Times New Roman"/>
          <w:sz w:val="28"/>
          <w:szCs w:val="28"/>
        </w:rPr>
        <w:t xml:space="preserve">водообменном </w:t>
      </w:r>
      <w:r w:rsidRPr="0028178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</w:t>
      </w:r>
      <w:r w:rsidRPr="00281785">
        <w:rPr>
          <w:rFonts w:ascii="Times New Roman" w:hAnsi="Times New Roman"/>
          <w:sz w:val="28"/>
          <w:szCs w:val="28"/>
        </w:rPr>
        <w:t xml:space="preserve"> в конечном счете, определяют структуру, величину и качество урожая. Интенсивность ростовых процессов определяется генотипом сорта, но степень его реализации в значительной мере зависит от почвенно - климатических условий и технологии возделывания культуры. Поэтому все агрономические исследования имеют конечную цель - познание сложных механизмов и законов роста и развития растений с тем, чтобы на основе этих знаний уметь создавать наиболее благоприятные условия для формирования урожая [1].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О происходящих в растении процессах роста может свидетельствовать ряд признаков, к которым относятся</w:t>
      </w:r>
      <w:r>
        <w:rPr>
          <w:rFonts w:ascii="Times New Roman" w:hAnsi="Times New Roman"/>
          <w:sz w:val="28"/>
          <w:szCs w:val="28"/>
        </w:rPr>
        <w:t>,</w:t>
      </w:r>
      <w:r w:rsidRPr="00281785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81785">
        <w:rPr>
          <w:rFonts w:ascii="Times New Roman" w:hAnsi="Times New Roman"/>
          <w:sz w:val="28"/>
          <w:szCs w:val="28"/>
        </w:rPr>
        <w:t>высота и биомасса растения.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Цель исследований - определить влияние минеральных удобрений на рост растений и формирование биомассы люцерновым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785">
        <w:rPr>
          <w:rFonts w:ascii="Times New Roman" w:hAnsi="Times New Roman"/>
          <w:sz w:val="28"/>
          <w:szCs w:val="28"/>
        </w:rPr>
        <w:t>агроценозом.</w:t>
      </w:r>
    </w:p>
    <w:p w:rsidR="00F71FCB" w:rsidRPr="00281785" w:rsidRDefault="00F71FCB" w:rsidP="006B24A4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b/>
          <w:sz w:val="28"/>
          <w:szCs w:val="28"/>
        </w:rPr>
        <w:t>Методика исследований.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Исследования проводили на стационарном полевом опыте кафедры агрохимии Кубанского ГАУ, заложенном в 1981году на территории учхоза "Кубань". Объект исследования - сорт люцерны Славянская местная второго года жизни. Почва стационара - чернозем выщелоченный слабогумуссный сверхмощный легкоглинистый на лессовидных тяжелых суглинках. Агрохимическая характеристика почвы и погодные условия в годы проведения исследований приведены в ряде опубликованных работ [2-4].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 xml:space="preserve">Опыт включает 16 вариантов и представляет собой выборку 1/4 часть полного факториального эксперимента 4×4×4, образованного тремя факторами: азотом, фосфором и калием с использованием четырех доз: 0;1;2;3. За единичную дозу принято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</w:rPr>
        <w:t>. Посевная площадь делянок  162 м</w:t>
      </w:r>
      <w:r w:rsidRPr="00281785">
        <w:rPr>
          <w:rFonts w:ascii="Times New Roman" w:hAnsi="Times New Roman"/>
          <w:sz w:val="28"/>
          <w:szCs w:val="28"/>
          <w:vertAlign w:val="superscript"/>
        </w:rPr>
        <w:t>2</w:t>
      </w:r>
      <w:r w:rsidRPr="00281785">
        <w:rPr>
          <w:rFonts w:ascii="Times New Roman" w:hAnsi="Times New Roman"/>
          <w:sz w:val="28"/>
          <w:szCs w:val="28"/>
        </w:rPr>
        <w:t>, учетная - 63м</w:t>
      </w:r>
      <w:r w:rsidRPr="00281785">
        <w:rPr>
          <w:rFonts w:ascii="Times New Roman" w:hAnsi="Times New Roman"/>
          <w:sz w:val="28"/>
          <w:szCs w:val="28"/>
          <w:vertAlign w:val="superscript"/>
        </w:rPr>
        <w:t>2</w:t>
      </w:r>
      <w:r w:rsidRPr="00281785">
        <w:rPr>
          <w:rFonts w:ascii="Times New Roman" w:hAnsi="Times New Roman"/>
          <w:sz w:val="28"/>
          <w:szCs w:val="28"/>
        </w:rPr>
        <w:t>; размещение вариантов - рендомезированное. Минеральные удобрения вносили в форме аммонийной селитры, двойного суперфосфата и хлористого калия под ранневесеннее боронование. Агротехника в опыте общепринятая для данной зоны. Размер, конфигурация и размещение делянок позволили механизировать все процессы по уходу за посевами и уборке урожая. Растительные образцы отбирали поделяночно с каждого варианта и каждой повторности. Линейные размеры растений определяли путем измерений; сухую массу - высушиванием в термостате при температуре 105°</w:t>
      </w:r>
      <w:r w:rsidRPr="00281785">
        <w:rPr>
          <w:rFonts w:ascii="Times New Roman" w:hAnsi="Times New Roman"/>
          <w:sz w:val="28"/>
          <w:szCs w:val="28"/>
          <w:lang w:val="en-US"/>
        </w:rPr>
        <w:t>C</w:t>
      </w:r>
      <w:r w:rsidRPr="00281785">
        <w:rPr>
          <w:rFonts w:ascii="Times New Roman" w:hAnsi="Times New Roman"/>
          <w:sz w:val="28"/>
          <w:szCs w:val="28"/>
        </w:rPr>
        <w:t xml:space="preserve"> в течение 6 ч [5].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1785">
        <w:rPr>
          <w:rFonts w:ascii="Times New Roman" w:hAnsi="Times New Roman"/>
          <w:b/>
          <w:sz w:val="28"/>
          <w:szCs w:val="28"/>
        </w:rPr>
        <w:t>Результаты исследований.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Высота растений является одним из показателей, характеризующих состояние посевов люцерны. Оптимизация условий минерального питания растений, как правило, способствует лучшему их росту и развитию, а в конечном итоге и большей продуктивности посевов. В наших исследованиях удобрения благоприятствовали линейному росту растений люцерны (таблица 1).</w:t>
      </w: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781B6D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81B6D">
        <w:rPr>
          <w:rFonts w:ascii="Times New Roman" w:hAnsi="Times New Roman"/>
          <w:sz w:val="28"/>
          <w:szCs w:val="28"/>
        </w:rPr>
        <w:t>Таблица 1 - Рост растений люцерны при внесении минеральных удобрений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0"/>
        <w:gridCol w:w="807"/>
        <w:gridCol w:w="807"/>
        <w:gridCol w:w="807"/>
        <w:gridCol w:w="807"/>
        <w:gridCol w:w="807"/>
        <w:gridCol w:w="807"/>
        <w:gridCol w:w="807"/>
        <w:gridCol w:w="807"/>
        <w:gridCol w:w="975"/>
        <w:gridCol w:w="975"/>
      </w:tblGrid>
      <w:tr w:rsidR="00F71FCB" w:rsidRPr="00781B6D" w:rsidTr="00281785">
        <w:trPr>
          <w:jc w:val="center"/>
        </w:trPr>
        <w:tc>
          <w:tcPr>
            <w:tcW w:w="911" w:type="dxa"/>
            <w:vMerge w:val="restart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Вари-</w:t>
            </w:r>
          </w:p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ант</w:t>
            </w:r>
          </w:p>
        </w:tc>
        <w:tc>
          <w:tcPr>
            <w:tcW w:w="8660" w:type="dxa"/>
            <w:gridSpan w:val="10"/>
          </w:tcPr>
          <w:p w:rsidR="00F71FCB" w:rsidRPr="00781B6D" w:rsidRDefault="00F71FCB" w:rsidP="006B24A4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Высота растений, см.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  <w:vMerge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2003 г.</w:t>
            </w:r>
          </w:p>
        </w:tc>
        <w:tc>
          <w:tcPr>
            <w:tcW w:w="1731" w:type="dxa"/>
            <w:gridSpan w:val="2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2004 г.</w:t>
            </w:r>
          </w:p>
        </w:tc>
        <w:tc>
          <w:tcPr>
            <w:tcW w:w="1732" w:type="dxa"/>
            <w:gridSpan w:val="2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2005 г.</w:t>
            </w:r>
          </w:p>
        </w:tc>
        <w:tc>
          <w:tcPr>
            <w:tcW w:w="1732" w:type="dxa"/>
            <w:gridSpan w:val="2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1735" w:type="dxa"/>
            <w:gridSpan w:val="2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Среднесуточный</w:t>
            </w:r>
          </w:p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прирост, см.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  <w:vMerge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 xml:space="preserve">1-й укос 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1-й укос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1-й укос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1-й укос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1-й укос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2-й укос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1,01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020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0,9,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002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49,9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56,4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0,88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1,17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022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1,21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1,09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1,10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1,08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1,08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0,69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1,09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1,08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  <w:tr w:rsidR="00F71FCB" w:rsidRPr="00781B6D" w:rsidTr="00281785">
        <w:trPr>
          <w:jc w:val="center"/>
        </w:trPr>
        <w:tc>
          <w:tcPr>
            <w:tcW w:w="911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865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866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867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868" w:type="dxa"/>
          </w:tcPr>
          <w:p w:rsidR="00F71FCB" w:rsidRPr="00781B6D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6D">
              <w:rPr>
                <w:rFonts w:ascii="Times New Roman" w:hAnsi="Times New Roman"/>
                <w:sz w:val="24"/>
                <w:szCs w:val="24"/>
              </w:rPr>
              <w:t>1,10</w:t>
            </w:r>
          </w:p>
        </w:tc>
      </w:tr>
    </w:tbl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На момент скашивания первого укоса, растения люцерны контрольного варианта имели высоту 52,8-64,0 см, второго укоса - 47,6-55,5 см. Среднесуточный прирост растений в высоту по средним за 3 года данным составил соответственно 1,01 и 0,86 см.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Внесение удобрений во все годы исследований положительно повлияло на высоту растений люцерны. Так, при внесении одинарных доз минеральных удобрений (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</w:rPr>
        <w:t>) растения первого укоса превышали контроль по высоте на 8,84%, второго - на 13,88%. Еще более значительным было действие на этот показатель двойных доз (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</w:rPr>
        <w:t>). Высота растений на этом варианте превышала контроль в момент первого укоса на 19,73%, второго - на 26,81%. Внесение тройных доз удобрений (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</w:rPr>
        <w:t xml:space="preserve">) не способствовало дальнейшему увеличению высоты растений как первого, так и второго укосов. На вариантах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10</w:t>
      </w:r>
      <w:r w:rsidRPr="00281785">
        <w:rPr>
          <w:rFonts w:ascii="Times New Roman" w:hAnsi="Times New Roman"/>
          <w:sz w:val="28"/>
          <w:szCs w:val="28"/>
        </w:rPr>
        <w:t xml:space="preserve">,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</w:rPr>
        <w:t xml:space="preserve">,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30</w:t>
      </w:r>
      <w:r w:rsidRPr="00281785">
        <w:rPr>
          <w:rFonts w:ascii="Times New Roman" w:hAnsi="Times New Roman"/>
          <w:sz w:val="28"/>
          <w:szCs w:val="28"/>
        </w:rPr>
        <w:t>, среднесуточный прирост растений в высоту в первом укосе превышал контроль на 0,09, 0,19 и 0,21 см, во втором - на 0,12, 0,23 и 0,24 см. При раздельном внесении минеральных удобрений на посевах люцерны наибольшее влияние на среднесуточный прирост и высоту растений в целом оказали азотные, наименьшее калийные. Действие фосфорных удобрений на эти показатели было более заметным, чем калийные, но значительно слабее азотных.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 xml:space="preserve">Наиболее объективные сведения о состоянии люцернового агроценоза </w:t>
      </w:r>
      <w:r>
        <w:rPr>
          <w:rFonts w:ascii="Times New Roman" w:hAnsi="Times New Roman"/>
          <w:sz w:val="28"/>
          <w:szCs w:val="28"/>
        </w:rPr>
        <w:t xml:space="preserve">предоставляет </w:t>
      </w:r>
      <w:r w:rsidRPr="00281785">
        <w:rPr>
          <w:rFonts w:ascii="Times New Roman" w:hAnsi="Times New Roman"/>
          <w:sz w:val="28"/>
          <w:szCs w:val="28"/>
        </w:rPr>
        <w:t>количество зеленой массы к моменту укоса и содержание в ней сухого вещества.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За годы исследований зеленая масса люцерны в первом укосе контрольного варианта колебалась от 106,4 до 176,3 ц/га и в среднем составляла 141,3 ц/га; второго укоса - от 84,5 до 145,1 ц/га соответственно (таблица 2).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>Таблица 2 - Накопление зеленой массы люцерновым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785">
        <w:rPr>
          <w:rFonts w:ascii="Times New Roman" w:hAnsi="Times New Roman"/>
          <w:sz w:val="28"/>
          <w:szCs w:val="28"/>
        </w:rPr>
        <w:t>агроценозом при внесении минеральных удобрений.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4"/>
        <w:gridCol w:w="794"/>
        <w:gridCol w:w="793"/>
        <w:gridCol w:w="793"/>
        <w:gridCol w:w="793"/>
        <w:gridCol w:w="793"/>
        <w:gridCol w:w="793"/>
        <w:gridCol w:w="793"/>
        <w:gridCol w:w="793"/>
        <w:gridCol w:w="1043"/>
        <w:gridCol w:w="1044"/>
      </w:tblGrid>
      <w:tr w:rsidR="00F71FCB" w:rsidRPr="002B0EF2" w:rsidTr="00281785">
        <w:trPr>
          <w:jc w:val="center"/>
        </w:trPr>
        <w:tc>
          <w:tcPr>
            <w:tcW w:w="911" w:type="dxa"/>
            <w:vMerge w:val="restart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Вари-</w:t>
            </w:r>
          </w:p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ант</w:t>
            </w:r>
          </w:p>
        </w:tc>
        <w:tc>
          <w:tcPr>
            <w:tcW w:w="8660" w:type="dxa"/>
            <w:gridSpan w:val="10"/>
          </w:tcPr>
          <w:p w:rsidR="00F71FCB" w:rsidRPr="002B0EF2" w:rsidRDefault="00F71FCB" w:rsidP="006B24A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Зеленая масса, ц/га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  <w:vMerge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2003 г.</w:t>
            </w:r>
          </w:p>
        </w:tc>
        <w:tc>
          <w:tcPr>
            <w:tcW w:w="1731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2004 г.</w:t>
            </w:r>
          </w:p>
        </w:tc>
        <w:tc>
          <w:tcPr>
            <w:tcW w:w="1732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 xml:space="preserve">2005 г. </w:t>
            </w:r>
          </w:p>
        </w:tc>
        <w:tc>
          <w:tcPr>
            <w:tcW w:w="1732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735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Среднесуточный</w:t>
            </w:r>
          </w:p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прирост, ц/га.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  <w:vMerge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 xml:space="preserve">1-й укос 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106,4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84,5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141,2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127,9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176,3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145,1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141,3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119,2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2,44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1,95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126,7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92,7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147,3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129,4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205,6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175,2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159,8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132,4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2,76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2,17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112,1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151,0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123,0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181,3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159,7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148,1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126,3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2,55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2,07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91,8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143,0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127,1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179,4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157,7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125,5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2,47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2,06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127,0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107,0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146,4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129,4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192,4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187,4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155,3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141,3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2,68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2,32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119,0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95,3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179,3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149,8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196,6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167,5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165,0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137,5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2,70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2,25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022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104,0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78,0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164,0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130,0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195,5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171,5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154,5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126,5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2,66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2,07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114,1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182,3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167,3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232,1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206,5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162,6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3,23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2,66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126,0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109,0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143,0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113,0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191,0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160,1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153,3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127,4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2,64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2,09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108,4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144,0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106,5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188,4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171,1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156,8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128,7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2,70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2,11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105,9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145,2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137,9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183,2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158,9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146,1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134,2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2,52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2,20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89,1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156,7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137,2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209,2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201,8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149,1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2,78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2,30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108,0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83,2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153,1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139,8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193,0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186,9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151,4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136,6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2,61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2,24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191,0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132,3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151,5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137,4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180,6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151,3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174,4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140,3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3,01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2,30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76,8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57,1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176,3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146,6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193,3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183,6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148,8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129,1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2,56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2,12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116,0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87,1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179,5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140,5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229,8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227,2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175,1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151,6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3,02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2,48</w:t>
            </w:r>
          </w:p>
        </w:tc>
      </w:tr>
    </w:tbl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Максимальную зеленую массу посевы люцерны формировали к первому укосу. Разница между первым и вторым укосами составляет в среднем за три года на контроле 22,1 ц/га. Среднесуточный прирост зеленой массы люцерны к первому укосу составляет 2,44 ц/га, второму - 1,95 ц/га.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 xml:space="preserve">Удобрения существенно влияли на накопление зеленой массы посевами люцерны. В зависимости от вида, сочетания, и дозы их внесения, зеленая масса в среднем за три года в первом укосе возросла на 2,2-46,2 ц/га, максимальное ее увеличение отмечено на варианте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</w:rPr>
        <w:t>. Среднесуточный прирост зеленой массы на этом варианте к первому укосу превысил контроль на 0,79 ц/га, ко второму - на 0,71 ц/га.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Минеральные удобрения оказали положительное влияние на накопление сухого вещества люцерновым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785">
        <w:rPr>
          <w:rFonts w:ascii="Times New Roman" w:hAnsi="Times New Roman"/>
          <w:sz w:val="28"/>
          <w:szCs w:val="28"/>
        </w:rPr>
        <w:t>агроценозом. Степень их действия на этот показатель в значительной степени зависел от вида, сочетания и дозы (таблица 3).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>Таблица 3 - Накопление сухого вещества люцерновым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785">
        <w:rPr>
          <w:rFonts w:ascii="Times New Roman" w:hAnsi="Times New Roman"/>
          <w:sz w:val="28"/>
          <w:szCs w:val="28"/>
        </w:rPr>
        <w:t>агроценозом при внесении минеральных удобрений.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1"/>
        <w:gridCol w:w="767"/>
        <w:gridCol w:w="767"/>
        <w:gridCol w:w="767"/>
        <w:gridCol w:w="767"/>
        <w:gridCol w:w="767"/>
        <w:gridCol w:w="767"/>
        <w:gridCol w:w="767"/>
        <w:gridCol w:w="767"/>
        <w:gridCol w:w="1119"/>
        <w:gridCol w:w="1120"/>
      </w:tblGrid>
      <w:tr w:rsidR="00F71FCB" w:rsidRPr="002B0EF2" w:rsidTr="00281785">
        <w:trPr>
          <w:jc w:val="center"/>
        </w:trPr>
        <w:tc>
          <w:tcPr>
            <w:tcW w:w="911" w:type="dxa"/>
            <w:vMerge w:val="restart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Вари-</w:t>
            </w:r>
          </w:p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ант</w:t>
            </w:r>
          </w:p>
        </w:tc>
        <w:tc>
          <w:tcPr>
            <w:tcW w:w="8660" w:type="dxa"/>
            <w:gridSpan w:val="10"/>
          </w:tcPr>
          <w:p w:rsidR="00F71FCB" w:rsidRPr="002B0EF2" w:rsidRDefault="00F71FCB" w:rsidP="006B24A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Сухая масса, ц/га</w:t>
            </w:r>
          </w:p>
        </w:tc>
      </w:tr>
      <w:tr w:rsidR="00F71FCB" w:rsidRPr="002B0EF2" w:rsidTr="00281785">
        <w:trPr>
          <w:trHeight w:val="431"/>
          <w:jc w:val="center"/>
        </w:trPr>
        <w:tc>
          <w:tcPr>
            <w:tcW w:w="911" w:type="dxa"/>
            <w:vMerge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2003 г.</w:t>
            </w:r>
          </w:p>
        </w:tc>
        <w:tc>
          <w:tcPr>
            <w:tcW w:w="1731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2004 г.</w:t>
            </w:r>
          </w:p>
        </w:tc>
        <w:tc>
          <w:tcPr>
            <w:tcW w:w="1732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2005 г.</w:t>
            </w:r>
          </w:p>
        </w:tc>
        <w:tc>
          <w:tcPr>
            <w:tcW w:w="1732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735" w:type="dxa"/>
            <w:gridSpan w:val="2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Среднесуточный</w:t>
            </w:r>
          </w:p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прирост сухого вещества, ц/га.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  <w:vMerge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 xml:space="preserve">1-й укос 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1-й укос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2-й укос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25,5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30,3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28,0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34,2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020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26,0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0,68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25,8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30,1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31,1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0,66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0,51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28,5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32,5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47,2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0,74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0,56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41,9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36,5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47,6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35,4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022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26,1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32,4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0,53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45,5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38,6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44,1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55,2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48,3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0,83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26,0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32,6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0,53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25,9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45,6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32,1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30,7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26,7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33,1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46,7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44,3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34,7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0,69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0,57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331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41,0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35,6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32,6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50,2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49,6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42,6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39,3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0,73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35,4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41,2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30,2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37,3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0,61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28,0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40,4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31,9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0,70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F71FCB" w:rsidRPr="002B0EF2" w:rsidTr="00281785">
        <w:trPr>
          <w:jc w:val="center"/>
        </w:trPr>
        <w:tc>
          <w:tcPr>
            <w:tcW w:w="911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333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38,6</w:t>
            </w:r>
          </w:p>
        </w:tc>
        <w:tc>
          <w:tcPr>
            <w:tcW w:w="865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43,4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33,3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50,6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43,6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46,3</w:t>
            </w:r>
          </w:p>
        </w:tc>
        <w:tc>
          <w:tcPr>
            <w:tcW w:w="866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38,5</w:t>
            </w:r>
          </w:p>
        </w:tc>
        <w:tc>
          <w:tcPr>
            <w:tcW w:w="867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868" w:type="dxa"/>
          </w:tcPr>
          <w:p w:rsidR="00F71FCB" w:rsidRPr="002B0EF2" w:rsidRDefault="00F71FCB" w:rsidP="006B24A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0EF2">
              <w:rPr>
                <w:rFonts w:ascii="Times New Roman" w:hAnsi="Times New Roman"/>
                <w:sz w:val="28"/>
                <w:szCs w:val="28"/>
              </w:rPr>
              <w:t>0,63</w:t>
            </w:r>
          </w:p>
        </w:tc>
      </w:tr>
    </w:tbl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>Виды удобрений по действию на накопление сухого вещества люцерновым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1785">
        <w:rPr>
          <w:rFonts w:ascii="Times New Roman" w:hAnsi="Times New Roman"/>
          <w:sz w:val="28"/>
          <w:szCs w:val="28"/>
        </w:rPr>
        <w:t xml:space="preserve">агроценозом располагаются в следующий возрастающий ряд: калийные&lt;фосфорные&lt; азотные. Такой характер их действия проявляется как во время первого, так и второго укосов. Минеральные удобрения оказали наибольшее влияние при совместном их применении. Максимальный в опыте прирост сухого вещества отмечен при внесении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</w:rPr>
        <w:t>. Среднесуточный прирост сухого вещества на этом варианте во время первого укоса зеленой массы превышал контроль на 0,18 ц/га, в момент второго укоса - на 0,21ц/га.</w:t>
      </w:r>
    </w:p>
    <w:p w:rsidR="00F71FCB" w:rsidRPr="0028178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81785">
        <w:rPr>
          <w:rFonts w:ascii="Times New Roman" w:hAnsi="Times New Roman"/>
          <w:sz w:val="28"/>
          <w:szCs w:val="28"/>
        </w:rPr>
        <w:tab/>
        <w:t xml:space="preserve">Таким образом, в условиях Западного Предкавказья на черноземе выщелоченном минеральные удобрения, вносимые на посевах люцерны второго года жизни под ранневесеннее боронование из расчета </w:t>
      </w:r>
      <w:r w:rsidRPr="00281785">
        <w:rPr>
          <w:rFonts w:ascii="Times New Roman" w:hAnsi="Times New Roman"/>
          <w:sz w:val="28"/>
          <w:szCs w:val="28"/>
          <w:lang w:val="en-US"/>
        </w:rPr>
        <w:t>N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P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  <w:lang w:val="en-US"/>
        </w:rPr>
        <w:t>K</w:t>
      </w:r>
      <w:r w:rsidRPr="00281785">
        <w:rPr>
          <w:rFonts w:ascii="Times New Roman" w:hAnsi="Times New Roman"/>
          <w:sz w:val="28"/>
          <w:szCs w:val="28"/>
          <w:vertAlign w:val="subscript"/>
        </w:rPr>
        <w:t>20</w:t>
      </w:r>
      <w:r w:rsidRPr="00281785">
        <w:rPr>
          <w:rFonts w:ascii="Times New Roman" w:hAnsi="Times New Roman"/>
          <w:sz w:val="28"/>
          <w:szCs w:val="28"/>
        </w:rPr>
        <w:t xml:space="preserve"> существенно увеличивают прирост растений в высоту, способствуют более интенсивному накоплению биомассы люцерновым агроценозом.</w:t>
      </w:r>
    </w:p>
    <w:p w:rsidR="00F71FCB" w:rsidRPr="0009755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Pr="00097555" w:rsidRDefault="00F71FCB" w:rsidP="006B24A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71FCB" w:rsidRDefault="00F71FCB" w:rsidP="00C52248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52248">
        <w:rPr>
          <w:rFonts w:ascii="Times New Roman" w:hAnsi="Times New Roman"/>
          <w:b/>
          <w:sz w:val="24"/>
          <w:szCs w:val="24"/>
        </w:rPr>
        <w:t>Литература</w:t>
      </w:r>
    </w:p>
    <w:p w:rsidR="00F71FCB" w:rsidRPr="00C52248" w:rsidRDefault="00F71FCB" w:rsidP="00C52248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71FCB" w:rsidRPr="00C52248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1. Шеуджен А.Х. Агрохимические основы применения удобрений/ </w:t>
      </w:r>
    </w:p>
    <w:p w:rsidR="00F71FCB" w:rsidRPr="00C52248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А.Х. Шеуджен, Т.Н. Бондарева, С.В. Кизинек - Майкоп: </w:t>
      </w:r>
      <w:r w:rsidRPr="00C52248">
        <w:rPr>
          <w:rFonts w:ascii="Times New Roman" w:hAnsi="Times New Roman"/>
          <w:sz w:val="24"/>
          <w:szCs w:val="24"/>
        </w:rPr>
        <w:tab/>
      </w:r>
      <w:r w:rsidRPr="00C52248">
        <w:rPr>
          <w:rFonts w:ascii="Times New Roman" w:hAnsi="Times New Roman"/>
          <w:sz w:val="24"/>
          <w:szCs w:val="24"/>
        </w:rPr>
        <w:tab/>
        <w:t>"Полиграф-Юг", 2003.-572с.</w:t>
      </w:r>
    </w:p>
    <w:p w:rsidR="00F71FCB" w:rsidRPr="00C52248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2. Шеуджен А.Х. Система удобрения/ А.Х. Шеуджен, Н.Н. Нещадим, </w:t>
      </w:r>
      <w:r w:rsidRPr="00C52248">
        <w:rPr>
          <w:rFonts w:ascii="Times New Roman" w:hAnsi="Times New Roman"/>
          <w:sz w:val="24"/>
          <w:szCs w:val="24"/>
        </w:rPr>
        <w:tab/>
        <w:t>Л.М. Онищенко. - Краснодар: КубГАУ, 2009. - 206с.</w:t>
      </w:r>
    </w:p>
    <w:p w:rsidR="00F71FCB" w:rsidRPr="00C52248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3. Дроздова В.В. Влияние минеральных удобрений на урожайность и </w:t>
      </w:r>
      <w:r w:rsidRPr="00C52248">
        <w:rPr>
          <w:rFonts w:ascii="Times New Roman" w:hAnsi="Times New Roman"/>
          <w:sz w:val="24"/>
          <w:szCs w:val="24"/>
        </w:rPr>
        <w:tab/>
        <w:t xml:space="preserve">качество зеленой массы люцерны/ В.В. Дроздова, А.Х. Шеуджен, </w:t>
      </w:r>
      <w:r w:rsidRPr="00C52248">
        <w:rPr>
          <w:rFonts w:ascii="Times New Roman" w:hAnsi="Times New Roman"/>
          <w:sz w:val="24"/>
          <w:szCs w:val="24"/>
        </w:rPr>
        <w:tab/>
        <w:t>Н.Н. Нещадим, А.Н. Лиманский. - Плодородие. 2013. №6 (75). С. 15-18.</w:t>
      </w:r>
    </w:p>
    <w:p w:rsidR="00F71FCB" w:rsidRPr="00C52248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4. Дроздова В.В. Агроэкологическая эффективность применения </w:t>
      </w:r>
      <w:r w:rsidRPr="00C52248">
        <w:rPr>
          <w:rFonts w:ascii="Times New Roman" w:hAnsi="Times New Roman"/>
          <w:sz w:val="24"/>
          <w:szCs w:val="24"/>
        </w:rPr>
        <w:tab/>
        <w:t xml:space="preserve">минеральных удобрений при выращивании люцерны на черноземе </w:t>
      </w:r>
      <w:r w:rsidRPr="00C52248">
        <w:rPr>
          <w:rFonts w:ascii="Times New Roman" w:hAnsi="Times New Roman"/>
          <w:sz w:val="24"/>
          <w:szCs w:val="24"/>
        </w:rPr>
        <w:tab/>
        <w:t xml:space="preserve">выщелоченном Западного Предкавказья/ В.В. Дроздова, </w:t>
      </w:r>
      <w:r w:rsidRPr="00C52248">
        <w:rPr>
          <w:rFonts w:ascii="Times New Roman" w:hAnsi="Times New Roman"/>
          <w:sz w:val="24"/>
          <w:szCs w:val="24"/>
        </w:rPr>
        <w:tab/>
      </w:r>
      <w:r w:rsidRPr="00C52248">
        <w:rPr>
          <w:rFonts w:ascii="Times New Roman" w:hAnsi="Times New Roman"/>
          <w:sz w:val="24"/>
          <w:szCs w:val="24"/>
        </w:rPr>
        <w:tab/>
      </w:r>
      <w:r w:rsidRPr="00C52248">
        <w:rPr>
          <w:rFonts w:ascii="Times New Roman" w:hAnsi="Times New Roman"/>
          <w:sz w:val="24"/>
          <w:szCs w:val="24"/>
        </w:rPr>
        <w:tab/>
        <w:t>А.Х. Шеуджен, Н.Н. Нещадим. Труды КубГАУ. 2013. №4 (43). С. 47-51</w:t>
      </w:r>
    </w:p>
    <w:p w:rsidR="00F71FCB" w:rsidRPr="00097555" w:rsidRDefault="00F71FCB" w:rsidP="00781B6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2248">
        <w:rPr>
          <w:rFonts w:ascii="Times New Roman" w:hAnsi="Times New Roman"/>
          <w:sz w:val="24"/>
          <w:szCs w:val="24"/>
        </w:rPr>
        <w:tab/>
        <w:t xml:space="preserve">5. Куракаев В.Т. Агрохимия/ В.Т. Куркаев, А.Х. Шеуджен. - Майкоп: </w:t>
      </w:r>
      <w:r w:rsidRPr="00C52248">
        <w:rPr>
          <w:rFonts w:ascii="Times New Roman" w:hAnsi="Times New Roman"/>
          <w:sz w:val="24"/>
          <w:szCs w:val="24"/>
        </w:rPr>
        <w:tab/>
        <w:t>ГУРИПП "Адыгея", 2000. С. 552.</w:t>
      </w:r>
    </w:p>
    <w:p w:rsidR="00F71FCB" w:rsidRPr="00097555" w:rsidRDefault="00F71FCB" w:rsidP="00C52248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71FCB" w:rsidRPr="00781B6D" w:rsidRDefault="00F71FCB" w:rsidP="00C52248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71FCB" w:rsidRPr="00781B6D" w:rsidRDefault="00F71FCB" w:rsidP="00C52248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71FCB" w:rsidRPr="00781B6D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1B6D">
        <w:rPr>
          <w:rFonts w:ascii="Times New Roman" w:hAnsi="Times New Roman"/>
          <w:sz w:val="24"/>
          <w:szCs w:val="24"/>
        </w:rPr>
        <w:tab/>
      </w:r>
      <w:r w:rsidRPr="00781B6D">
        <w:rPr>
          <w:rFonts w:ascii="Times New Roman" w:hAnsi="Times New Roman"/>
          <w:sz w:val="24"/>
          <w:szCs w:val="24"/>
          <w:lang w:val="en-US"/>
        </w:rPr>
        <w:t xml:space="preserve">1. Sheudzhen A.H. Agrohimicheskie osnovy primenenija udobrenij/ </w:t>
      </w:r>
    </w:p>
    <w:p w:rsidR="00F71FCB" w:rsidRPr="00781B6D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A.H. Sheudzhen, T.N. Bondareva, S.V. Kizinek - Majkop: </w:t>
      </w:r>
      <w:r w:rsidRPr="00781B6D">
        <w:rPr>
          <w:rFonts w:ascii="Times New Roman" w:hAnsi="Times New Roman"/>
          <w:sz w:val="24"/>
          <w:szCs w:val="24"/>
          <w:lang w:val="en-US"/>
        </w:rPr>
        <w:tab/>
      </w:r>
      <w:r w:rsidRPr="00781B6D">
        <w:rPr>
          <w:rFonts w:ascii="Times New Roman" w:hAnsi="Times New Roman"/>
          <w:sz w:val="24"/>
          <w:szCs w:val="24"/>
          <w:lang w:val="en-US"/>
        </w:rPr>
        <w:tab/>
        <w:t>"Poligraf-Jug", 2003.-572s.</w:t>
      </w:r>
    </w:p>
    <w:p w:rsidR="00F71FCB" w:rsidRPr="00781B6D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2. Sheudzhen A.H. Sistema udobrenija/ A.H. Sheudzhen, N.N. Neshhadim, </w:t>
      </w:r>
      <w:r w:rsidRPr="00781B6D">
        <w:rPr>
          <w:rFonts w:ascii="Times New Roman" w:hAnsi="Times New Roman"/>
          <w:sz w:val="24"/>
          <w:szCs w:val="24"/>
          <w:lang w:val="en-US"/>
        </w:rPr>
        <w:tab/>
        <w:t>L.M. Onishhenko. - Krasnodar: KubGAU, 2009. - 206s.</w:t>
      </w:r>
    </w:p>
    <w:p w:rsidR="00F71FCB" w:rsidRPr="00781B6D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3. Drozdova V.V. Vlijanie mineral'nyh udobrenij na urozhajnost' i </w:t>
      </w: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kachestvo zelenoj massy ljucerny/ V.V. Drozdova, A.H. Sheudzhen, </w:t>
      </w:r>
      <w:r w:rsidRPr="00781B6D">
        <w:rPr>
          <w:rFonts w:ascii="Times New Roman" w:hAnsi="Times New Roman"/>
          <w:sz w:val="24"/>
          <w:szCs w:val="24"/>
          <w:lang w:val="en-US"/>
        </w:rPr>
        <w:tab/>
        <w:t>N.N. Neshhadim, A.N. Limanskij. - Plodorodie. 2013. №6 (75). S. 15-18.</w:t>
      </w:r>
    </w:p>
    <w:p w:rsidR="00F71FCB" w:rsidRPr="00781B6D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4. Drozdova V.V. Agrojekologicheskaja jeffektivnost' primenenija </w:t>
      </w: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mineral'nyh udobrenij pri vyrashhivanii ljucerny na chernozeme </w:t>
      </w: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vyshhelochennom Zapadnogo Predkavkaz'ja/ V.V. Drozdova, </w:t>
      </w:r>
      <w:r w:rsidRPr="00781B6D">
        <w:rPr>
          <w:rFonts w:ascii="Times New Roman" w:hAnsi="Times New Roman"/>
          <w:sz w:val="24"/>
          <w:szCs w:val="24"/>
          <w:lang w:val="en-US"/>
        </w:rPr>
        <w:tab/>
      </w:r>
      <w:r w:rsidRPr="00781B6D">
        <w:rPr>
          <w:rFonts w:ascii="Times New Roman" w:hAnsi="Times New Roman"/>
          <w:sz w:val="24"/>
          <w:szCs w:val="24"/>
          <w:lang w:val="en-US"/>
        </w:rPr>
        <w:tab/>
      </w:r>
      <w:r w:rsidRPr="00781B6D">
        <w:rPr>
          <w:rFonts w:ascii="Times New Roman" w:hAnsi="Times New Roman"/>
          <w:sz w:val="24"/>
          <w:szCs w:val="24"/>
          <w:lang w:val="en-US"/>
        </w:rPr>
        <w:tab/>
        <w:t xml:space="preserve">A.H. Sheudzhen, N.N. Neshhadim. </w:t>
      </w:r>
      <w:r w:rsidRPr="00781B6D">
        <w:rPr>
          <w:rFonts w:ascii="Times New Roman" w:hAnsi="Times New Roman"/>
          <w:sz w:val="24"/>
          <w:szCs w:val="24"/>
        </w:rPr>
        <w:t>Trudy KubGAU. 2013. №4 (43). S. 47-51</w:t>
      </w:r>
    </w:p>
    <w:p w:rsidR="00F71FCB" w:rsidRDefault="00F71FCB" w:rsidP="00781B6D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781B6D">
        <w:rPr>
          <w:rFonts w:ascii="Times New Roman" w:hAnsi="Times New Roman"/>
          <w:sz w:val="24"/>
          <w:szCs w:val="24"/>
        </w:rPr>
        <w:tab/>
        <w:t xml:space="preserve">5. Kurakaev V.T. Agrohimija/ V.T. Kurkaev, A.H. Sheudzhen. - Majkop: </w:t>
      </w:r>
      <w:r w:rsidRPr="00781B6D">
        <w:rPr>
          <w:rFonts w:ascii="Times New Roman" w:hAnsi="Times New Roman"/>
          <w:sz w:val="24"/>
          <w:szCs w:val="24"/>
        </w:rPr>
        <w:tab/>
        <w:t>GURIPP "Adygeja", 2000. S. 552.</w:t>
      </w:r>
      <w:r w:rsidRPr="00097555">
        <w:rPr>
          <w:rFonts w:ascii="Times New Roman" w:hAnsi="Times New Roman"/>
          <w:sz w:val="24"/>
          <w:szCs w:val="24"/>
        </w:rPr>
        <w:tab/>
      </w:r>
    </w:p>
    <w:p w:rsidR="00F71FCB" w:rsidRPr="00C52248" w:rsidRDefault="00F71FCB" w:rsidP="00C52248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F71FCB" w:rsidRPr="00C52248" w:rsidSect="00C52248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FCB" w:rsidRDefault="00F71FCB">
      <w:r>
        <w:separator/>
      </w:r>
    </w:p>
  </w:endnote>
  <w:endnote w:type="continuationSeparator" w:id="1">
    <w:p w:rsidR="00F71FCB" w:rsidRDefault="00F71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FCB" w:rsidRPr="00495D2D" w:rsidRDefault="00F71FCB">
    <w:pPr>
      <w:pStyle w:val="Footer"/>
      <w:rPr>
        <w:rFonts w:ascii="Times New Roman" w:hAnsi="Times New Roman"/>
        <w:sz w:val="24"/>
        <w:szCs w:val="24"/>
      </w:rPr>
    </w:pPr>
    <w:r w:rsidRPr="00495D2D">
      <w:rPr>
        <w:rFonts w:ascii="Times New Roman" w:hAnsi="Times New Roman"/>
        <w:sz w:val="24"/>
        <w:szCs w:val="24"/>
      </w:rPr>
      <w:t>http://ej.kubagro.ru/201</w:t>
    </w:r>
    <w:r w:rsidRPr="00495D2D">
      <w:rPr>
        <w:rFonts w:ascii="Times New Roman" w:hAnsi="Times New Roman"/>
        <w:sz w:val="24"/>
        <w:szCs w:val="24"/>
        <w:lang w:val="en-US"/>
      </w:rPr>
      <w:t>4</w:t>
    </w:r>
    <w:r w:rsidRPr="00495D2D">
      <w:rPr>
        <w:rFonts w:ascii="Times New Roman" w:hAnsi="Times New Roman"/>
        <w:sz w:val="24"/>
        <w:szCs w:val="24"/>
      </w:rPr>
      <w:t>/</w:t>
    </w:r>
    <w:r w:rsidRPr="00495D2D">
      <w:rPr>
        <w:rFonts w:ascii="Times New Roman" w:hAnsi="Times New Roman"/>
        <w:sz w:val="24"/>
        <w:szCs w:val="24"/>
        <w:lang w:val="en-US"/>
      </w:rPr>
      <w:t>05</w:t>
    </w:r>
    <w:r w:rsidRPr="00495D2D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01</w:t>
    </w:r>
    <w:r w:rsidRPr="00495D2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FCB" w:rsidRDefault="00F71FCB">
      <w:r>
        <w:separator/>
      </w:r>
    </w:p>
  </w:footnote>
  <w:footnote w:type="continuationSeparator" w:id="1">
    <w:p w:rsidR="00F71FCB" w:rsidRDefault="00F71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FCB" w:rsidRDefault="00F71FCB" w:rsidP="00495D2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1FCB" w:rsidRDefault="00F71FCB" w:rsidP="0009755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FCB" w:rsidRPr="00097555" w:rsidRDefault="00F71FCB" w:rsidP="00495D2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97555">
      <w:rPr>
        <w:rStyle w:val="PageNumber"/>
        <w:rFonts w:ascii="Times New Roman" w:hAnsi="Times New Roman"/>
        <w:sz w:val="28"/>
        <w:szCs w:val="28"/>
      </w:rPr>
      <w:fldChar w:fldCharType="begin"/>
    </w:r>
    <w:r w:rsidRPr="0009755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9755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097555">
      <w:rPr>
        <w:rStyle w:val="PageNumber"/>
        <w:rFonts w:ascii="Times New Roman" w:hAnsi="Times New Roman"/>
        <w:sz w:val="28"/>
        <w:szCs w:val="28"/>
      </w:rPr>
      <w:fldChar w:fldCharType="end"/>
    </w:r>
  </w:p>
  <w:p w:rsidR="00F71FCB" w:rsidRDefault="00F71FCB" w:rsidP="00097555">
    <w:pPr>
      <w:pStyle w:val="Header"/>
      <w:ind w:right="360"/>
    </w:pPr>
    <w:r w:rsidRPr="005328B5"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9</w:t>
    </w:r>
    <w:r w:rsidRPr="005328B5">
      <w:rPr>
        <w:rFonts w:ascii="Times New Roman" w:hAnsi="Times New Roman"/>
        <w:sz w:val="24"/>
        <w:szCs w:val="24"/>
      </w:rPr>
      <w:t>(</w:t>
    </w:r>
    <w:r w:rsidRPr="005328B5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5</w:t>
    </w:r>
    <w:r w:rsidRPr="005328B5">
      <w:rPr>
        <w:rFonts w:ascii="Times New Roman" w:hAnsi="Times New Roman"/>
        <w:sz w:val="24"/>
        <w:szCs w:val="24"/>
      </w:rPr>
      <w:t>), 201</w:t>
    </w:r>
    <w:r w:rsidRPr="005328B5">
      <w:rPr>
        <w:rFonts w:ascii="Times New Roman" w:hAnsi="Times New Roman"/>
        <w:sz w:val="24"/>
        <w:szCs w:val="24"/>
        <w:lang w:val="en-US"/>
      </w:rPr>
      <w:t>4</w:t>
    </w:r>
    <w:r w:rsidRPr="005328B5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736"/>
    <w:rsid w:val="00071736"/>
    <w:rsid w:val="00097555"/>
    <w:rsid w:val="00281785"/>
    <w:rsid w:val="002B0EF2"/>
    <w:rsid w:val="00495D2D"/>
    <w:rsid w:val="005328B5"/>
    <w:rsid w:val="00634653"/>
    <w:rsid w:val="006B24A4"/>
    <w:rsid w:val="00781B6D"/>
    <w:rsid w:val="00926099"/>
    <w:rsid w:val="009B023E"/>
    <w:rsid w:val="00B60159"/>
    <w:rsid w:val="00B81732"/>
    <w:rsid w:val="00C52248"/>
    <w:rsid w:val="00E91186"/>
    <w:rsid w:val="00EC763D"/>
    <w:rsid w:val="00F71FCB"/>
    <w:rsid w:val="00FA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36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755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6DD8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0975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6DD8"/>
    <w:rPr>
      <w:rFonts w:eastAsia="Times New Roman"/>
    </w:rPr>
  </w:style>
  <w:style w:type="character" w:styleId="PageNumber">
    <w:name w:val="page number"/>
    <w:basedOn w:val="DefaultParagraphFont"/>
    <w:uiPriority w:val="99"/>
    <w:rsid w:val="000975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4331</TotalTime>
  <Pages>14</Pages>
  <Words>3087</Words>
  <Characters>17596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</dc:creator>
  <cp:keywords/>
  <dc:description/>
  <cp:lastModifiedBy>admin</cp:lastModifiedBy>
  <cp:revision>6</cp:revision>
  <dcterms:created xsi:type="dcterms:W3CDTF">2014-04-15T10:12:00Z</dcterms:created>
  <dcterms:modified xsi:type="dcterms:W3CDTF">2014-05-18T10:23:00Z</dcterms:modified>
</cp:coreProperties>
</file>