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60"/>
        <w:gridCol w:w="4626"/>
      </w:tblGrid>
      <w:tr w:rsidR="0009099C" w:rsidRPr="00A42065" w:rsidTr="00CB6EC7"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2065">
              <w:rPr>
                <w:rFonts w:ascii="Times New Roman" w:hAnsi="Times New Roman"/>
                <w:sz w:val="20"/>
                <w:szCs w:val="20"/>
              </w:rPr>
              <w:t>УДК 657.474.571</w:t>
            </w:r>
          </w:p>
        </w:tc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A42065">
              <w:rPr>
                <w:rFonts w:ascii="Times New Roman" w:hAnsi="Times New Roman"/>
                <w:sz w:val="20"/>
                <w:szCs w:val="20"/>
              </w:rPr>
              <w:t xml:space="preserve"> 657.474.571</w:t>
            </w:r>
          </w:p>
        </w:tc>
      </w:tr>
      <w:tr w:rsidR="0009099C" w:rsidRPr="00A42065" w:rsidTr="00CB6EC7"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9099C" w:rsidRPr="006D1226" w:rsidTr="00CB6EC7"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2065">
              <w:rPr>
                <w:rFonts w:ascii="Times New Roman" w:hAnsi="Times New Roman"/>
                <w:b/>
                <w:sz w:val="20"/>
                <w:szCs w:val="20"/>
              </w:rPr>
              <w:t>КАЛЬКУЛЯЦИОННАЯ КОНЦЕПЦИЯ РАЗВИТИЯ УЧЕТНО-АНАЛИТИЧЕСКИХ СИСТЕМ ЭКОНОМИЧЕСКИХ АГЕНТОВ РЫНКА</w:t>
            </w:r>
          </w:p>
        </w:tc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4206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CALCULATED CONCEPT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A4206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DEVELOPMENT OF ANALYTICAL ACCOUNTING ECONOMIC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SYSTEM OF </w:t>
            </w:r>
            <w:r w:rsidRPr="00A4206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MARKET AGENTS </w:t>
            </w:r>
          </w:p>
        </w:tc>
      </w:tr>
      <w:tr w:rsidR="0009099C" w:rsidRPr="006D1226" w:rsidTr="00CB6EC7"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9099C" w:rsidRPr="006D1226" w:rsidTr="00CB6EC7">
        <w:tc>
          <w:tcPr>
            <w:tcW w:w="4785" w:type="dxa"/>
          </w:tcPr>
          <w:p w:rsidR="0009099C" w:rsidRPr="006D1226" w:rsidRDefault="0009099C" w:rsidP="00CB6EC7">
            <w:pPr>
              <w:rPr>
                <w:rFonts w:ascii="Times New Roman" w:hAnsi="Times New Roman"/>
                <w:sz w:val="20"/>
                <w:szCs w:val="20"/>
              </w:rPr>
            </w:pPr>
            <w:r w:rsidRPr="00A42065">
              <w:rPr>
                <w:rFonts w:ascii="Times New Roman" w:hAnsi="Times New Roman"/>
                <w:sz w:val="20"/>
                <w:szCs w:val="20"/>
              </w:rPr>
              <w:t>Говдя Виктор Виленович</w:t>
            </w:r>
          </w:p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</w:rPr>
            </w:pPr>
            <w:r w:rsidRPr="00A42065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</w:tc>
        <w:tc>
          <w:tcPr>
            <w:tcW w:w="4785" w:type="dxa"/>
          </w:tcPr>
          <w:p w:rsidR="0009099C" w:rsidRDefault="0009099C" w:rsidP="00CB6EC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Govdya Victor Vilenovich </w:t>
            </w:r>
          </w:p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octor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conomic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ciences, professor </w:t>
            </w:r>
          </w:p>
        </w:tc>
      </w:tr>
      <w:tr w:rsidR="0009099C" w:rsidRPr="006D1226" w:rsidTr="00CB6EC7"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85" w:type="dxa"/>
          </w:tcPr>
          <w:p w:rsidR="0009099C" w:rsidRPr="00A42065" w:rsidRDefault="0009099C" w:rsidP="00CB6EC7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9099C" w:rsidRPr="006D1226" w:rsidTr="00CB6EC7">
        <w:tc>
          <w:tcPr>
            <w:tcW w:w="4785" w:type="dxa"/>
          </w:tcPr>
          <w:p w:rsidR="0009099C" w:rsidRDefault="0009099C" w:rsidP="00CB6EC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2065">
              <w:rPr>
                <w:rFonts w:ascii="Times New Roman" w:hAnsi="Times New Roman"/>
                <w:sz w:val="20"/>
                <w:szCs w:val="20"/>
              </w:rPr>
              <w:t>Тончу Елена Александровна</w:t>
            </w:r>
          </w:p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</w:rPr>
            </w:pPr>
            <w:r w:rsidRPr="00A42065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</w:tc>
        <w:tc>
          <w:tcPr>
            <w:tcW w:w="4785" w:type="dxa"/>
          </w:tcPr>
          <w:p w:rsidR="0009099C" w:rsidRDefault="0009099C" w:rsidP="00CB6E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>Tonchu Elena Aleksandrovna</w:t>
            </w:r>
          </w:p>
          <w:p w:rsidR="0009099C" w:rsidRPr="00A42065" w:rsidRDefault="0009099C" w:rsidP="00CB6E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octor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>conomic sciences, professor</w:t>
            </w:r>
          </w:p>
        </w:tc>
      </w:tr>
      <w:tr w:rsidR="0009099C" w:rsidRPr="006D1226" w:rsidTr="00CB6EC7"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85" w:type="dxa"/>
          </w:tcPr>
          <w:p w:rsidR="0009099C" w:rsidRPr="00A42065" w:rsidRDefault="0009099C" w:rsidP="00CB6E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09099C" w:rsidRPr="006D1226" w:rsidTr="00CB6EC7">
        <w:tc>
          <w:tcPr>
            <w:tcW w:w="4785" w:type="dxa"/>
          </w:tcPr>
          <w:p w:rsidR="0009099C" w:rsidRPr="00CB6EC7" w:rsidRDefault="0009099C" w:rsidP="00CB6EC7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 w:rsidRPr="00A42065">
              <w:rPr>
                <w:rFonts w:ascii="Times New Roman" w:hAnsi="Times New Roman"/>
                <w:sz w:val="20"/>
                <w:szCs w:val="20"/>
              </w:rPr>
              <w:t>Ремезков Александр Александрович</w:t>
            </w:r>
            <w:bookmarkEnd w:id="0"/>
          </w:p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</w:rPr>
            </w:pPr>
            <w:r w:rsidRPr="00A42065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</w:tc>
        <w:tc>
          <w:tcPr>
            <w:tcW w:w="4785" w:type="dxa"/>
          </w:tcPr>
          <w:p w:rsidR="0009099C" w:rsidRDefault="0009099C" w:rsidP="00CB6EC7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A42065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Remezkov Alexander Aleksandrovich</w:t>
            </w:r>
          </w:p>
          <w:p w:rsidR="0009099C" w:rsidRPr="00A42065" w:rsidRDefault="0009099C" w:rsidP="00CB6EC7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</w:t>
            </w: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octor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>conomic sciences, professor</w:t>
            </w:r>
          </w:p>
        </w:tc>
      </w:tr>
      <w:tr w:rsidR="0009099C" w:rsidRPr="006D1226" w:rsidTr="00CB6EC7"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42065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A4206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09099C" w:rsidRPr="006D1226" w:rsidTr="00CB6EC7"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09099C" w:rsidRPr="006D1226" w:rsidTr="00CB6EC7"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42065">
              <w:rPr>
                <w:rFonts w:ascii="Times New Roman" w:hAnsi="Times New Roman"/>
                <w:sz w:val="20"/>
                <w:szCs w:val="20"/>
              </w:rPr>
              <w:t>В статье рассмотрено использование экономическими агентами калькуляционной концепции организации производственного и управленческого учета в условиях ограниченности ресурсов</w:t>
            </w:r>
          </w:p>
        </w:tc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>The article discusses the use of the concept of economic agents to the calculation of the production organization and management accounting in the context of limited resources</w:t>
            </w:r>
          </w:p>
        </w:tc>
      </w:tr>
      <w:tr w:rsidR="0009099C" w:rsidRPr="006D1226" w:rsidTr="00CB6EC7"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785" w:type="dxa"/>
          </w:tcPr>
          <w:p w:rsidR="0009099C" w:rsidRPr="00A42065" w:rsidRDefault="0009099C" w:rsidP="00CB6EC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</w:tr>
      <w:tr w:rsidR="0009099C" w:rsidRPr="006D1226" w:rsidTr="00CB6EC7"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A42065">
              <w:rPr>
                <w:rFonts w:ascii="Times New Roman" w:hAnsi="Times New Roman"/>
                <w:sz w:val="20"/>
                <w:szCs w:val="20"/>
              </w:rPr>
              <w:t>Ключевые слова: УПРАВЛЕНИЕ ЗАТРАТАМИ, УЧЕТНО-АНАЛИТИЧЕСКИЕ СИСТЕМЫ, СЕБЕСТОИМОСТЬ, БИЗНЕС-ПРОЦЕССЫ, КАЛЬКУЛИРОВАНИЕ</w:t>
            </w:r>
          </w:p>
        </w:tc>
        <w:tc>
          <w:tcPr>
            <w:tcW w:w="4785" w:type="dxa"/>
          </w:tcPr>
          <w:p w:rsidR="0009099C" w:rsidRPr="00A42065" w:rsidRDefault="0009099C" w:rsidP="00CB6EC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2065">
              <w:rPr>
                <w:rFonts w:ascii="Times New Roman" w:hAnsi="Times New Roman"/>
                <w:sz w:val="20"/>
                <w:szCs w:val="20"/>
                <w:lang w:val="en-US"/>
              </w:rPr>
              <w:t>Keywords: COST MANAGEMENT, ACCOUNTING AND ANALYTICAL SYSTEMS, COST, BUSINESS PROCESSES, COSTING</w:t>
            </w:r>
          </w:p>
        </w:tc>
      </w:tr>
    </w:tbl>
    <w:p w:rsidR="0009099C" w:rsidRPr="000F6062" w:rsidRDefault="0009099C" w:rsidP="00A412EB">
      <w:pPr>
        <w:spacing w:line="288" w:lineRule="auto"/>
        <w:ind w:left="3828" w:hanging="3828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09099C" w:rsidRDefault="0009099C" w:rsidP="00B57AF3">
      <w:pPr>
        <w:spacing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Последние политические события (присоединение Крыма) значительно обострили те недостатки и пробелы, которые накопились в нашей экономике в период становления и развития рыночных отношений. К этим недостаткам следует отнести отсутствие единой отечественной платежной системы, увлеченность отечественной банковской системы краткосрочным кредитованием с достаточно высокими расходами по их обслуживанию, значительную зависимость продовольственного и непродовольственного рынка от импортных товаров, низкие темпы развития промышленности и т. п.</w:t>
      </w:r>
    </w:p>
    <w:p w:rsidR="0009099C" w:rsidRDefault="0009099C" w:rsidP="00B57AF3">
      <w:pPr>
        <w:spacing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Интерес наших предпринимателей и экономистов только к одному бизнес-процессу – торговле, привел к ограниченному развитию экономического мышления, специфическому содержанию нормативно-правового регулирования взаимоотношений государства и экономических агентов рынка. Это определенно притормозит интеграцию экономики России в моровую экономику</w:t>
      </w:r>
      <w:r w:rsidRPr="000F6062">
        <w:rPr>
          <w:rFonts w:ascii="Times New Roman" w:hAnsi="Times New Roman"/>
          <w:sz w:val="28"/>
          <w:szCs w:val="28"/>
        </w:rPr>
        <w:t xml:space="preserve"> [1]</w:t>
      </w:r>
      <w:r>
        <w:rPr>
          <w:rFonts w:ascii="Times New Roman" w:hAnsi="Times New Roman"/>
          <w:sz w:val="28"/>
          <w:szCs w:val="28"/>
        </w:rPr>
        <w:t>.</w:t>
      </w:r>
    </w:p>
    <w:p w:rsidR="0009099C" w:rsidRDefault="0009099C" w:rsidP="00B57AF3">
      <w:pPr>
        <w:spacing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этих условиях считаем</w:t>
      </w:r>
      <w:r w:rsidRPr="003D126E">
        <w:rPr>
          <w:rFonts w:ascii="Times New Roman" w:hAnsi="Times New Roman"/>
          <w:sz w:val="28"/>
          <w:szCs w:val="28"/>
        </w:rPr>
        <w:t>, что для российской экономики принципиально важно продемонстрировать, что она останется рыночной и открытой экономикой, несмотря на изменившуюся внешнеполитическую ситуацию.</w:t>
      </w:r>
    </w:p>
    <w:p w:rsidR="0009099C" w:rsidRDefault="0009099C" w:rsidP="00B57AF3">
      <w:pPr>
        <w:spacing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Полученный экономический шок от применения различных санкций, предпринятых западными государствами и США, следует использовать для решения накопившихся проблем, так как в этот исторический момент значительно выросла степень доверия населения страны к власти, готовность к определенным жертвам.</w:t>
      </w:r>
    </w:p>
    <w:p w:rsidR="0009099C" w:rsidRDefault="0009099C" w:rsidP="00B57AF3">
      <w:pPr>
        <w:widowControl w:val="0"/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наука и практика обязаны объединить усилия на развитии методологии и практики управления затратами, которая позволит приблизить общественные и индивидуальные издержки производства к мировому уровню. Одним из этапов выполнения данной работы следует считать выбор научно обоснованной системы учета затрат на производство готового продукта.</w:t>
      </w:r>
    </w:p>
    <w:p w:rsidR="0009099C" w:rsidRDefault="0009099C" w:rsidP="00B57AF3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1B0E">
        <w:rPr>
          <w:rFonts w:ascii="Times New Roman" w:hAnsi="Times New Roman"/>
          <w:sz w:val="28"/>
          <w:szCs w:val="28"/>
        </w:rPr>
        <w:t>Специалисты по учету затрат несут большую ответственность за выполнение этой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4D1B0E">
        <w:rPr>
          <w:rFonts w:ascii="Times New Roman" w:hAnsi="Times New Roman"/>
          <w:sz w:val="28"/>
          <w:szCs w:val="28"/>
        </w:rPr>
        <w:t>задачи. Именно они обеспечивают такую систему учета затрат, при которой на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4D1B0E">
        <w:rPr>
          <w:rFonts w:ascii="Times New Roman" w:hAnsi="Times New Roman"/>
          <w:sz w:val="28"/>
          <w:szCs w:val="28"/>
        </w:rPr>
        <w:t>выходе остаются точные учетные данные, необходимые для: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4D1B0E">
        <w:rPr>
          <w:rFonts w:ascii="Times New Roman" w:hAnsi="Times New Roman"/>
          <w:sz w:val="28"/>
          <w:szCs w:val="28"/>
        </w:rPr>
        <w:t>а) управленческих целей;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4D1B0E">
        <w:rPr>
          <w:rFonts w:ascii="Times New Roman" w:hAnsi="Times New Roman"/>
          <w:sz w:val="28"/>
          <w:szCs w:val="28"/>
        </w:rPr>
        <w:t>б) при</w:t>
      </w:r>
      <w:r>
        <w:rPr>
          <w:rFonts w:ascii="Times New Roman" w:hAnsi="Times New Roman"/>
          <w:sz w:val="28"/>
          <w:szCs w:val="28"/>
        </w:rPr>
        <w:t xml:space="preserve">нятия стратегических решений по </w:t>
      </w:r>
      <w:r w:rsidRPr="004D1B0E">
        <w:rPr>
          <w:rFonts w:ascii="Times New Roman" w:hAnsi="Times New Roman"/>
          <w:sz w:val="28"/>
          <w:szCs w:val="28"/>
        </w:rPr>
        <w:t>ценообразованию,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4D1B0E">
        <w:rPr>
          <w:rFonts w:ascii="Times New Roman" w:hAnsi="Times New Roman"/>
          <w:sz w:val="28"/>
          <w:szCs w:val="28"/>
        </w:rPr>
        <w:t xml:space="preserve">составу </w:t>
      </w:r>
      <w:r>
        <w:rPr>
          <w:rFonts w:ascii="Times New Roman" w:hAnsi="Times New Roman"/>
          <w:sz w:val="28"/>
          <w:szCs w:val="28"/>
        </w:rPr>
        <w:t xml:space="preserve">и структуре производимой </w:t>
      </w:r>
      <w:r w:rsidRPr="004D1B0E">
        <w:rPr>
          <w:rFonts w:ascii="Times New Roman" w:hAnsi="Times New Roman"/>
          <w:sz w:val="28"/>
          <w:szCs w:val="28"/>
        </w:rPr>
        <w:t>продукции,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4D1B0E">
        <w:rPr>
          <w:rFonts w:ascii="Times New Roman" w:hAnsi="Times New Roman"/>
          <w:sz w:val="28"/>
          <w:szCs w:val="28"/>
        </w:rPr>
        <w:t>технологическим процессам,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4D1B0E">
        <w:rPr>
          <w:rFonts w:ascii="Times New Roman" w:hAnsi="Times New Roman"/>
          <w:sz w:val="28"/>
          <w:szCs w:val="28"/>
        </w:rPr>
        <w:t xml:space="preserve">разработке </w:t>
      </w:r>
      <w:r>
        <w:rPr>
          <w:rFonts w:ascii="Times New Roman" w:hAnsi="Times New Roman"/>
          <w:sz w:val="28"/>
          <w:szCs w:val="28"/>
        </w:rPr>
        <w:t>новых изделий, обеспечивающих качественное и количественное импортозамещение</w:t>
      </w:r>
      <w:r w:rsidRPr="006C18EE">
        <w:rPr>
          <w:rFonts w:ascii="Times New Roman" w:hAnsi="Times New Roman"/>
          <w:sz w:val="28"/>
          <w:szCs w:val="28"/>
        </w:rPr>
        <w:t xml:space="preserve"> [3]</w:t>
      </w:r>
      <w:r>
        <w:rPr>
          <w:rFonts w:ascii="Times New Roman" w:hAnsi="Times New Roman"/>
          <w:sz w:val="28"/>
          <w:szCs w:val="28"/>
        </w:rPr>
        <w:t>.</w:t>
      </w:r>
    </w:p>
    <w:p w:rsidR="0009099C" w:rsidRPr="006C18EE" w:rsidRDefault="0009099C" w:rsidP="00B57AF3">
      <w:pPr>
        <w:autoSpaceDE w:val="0"/>
        <w:autoSpaceDN w:val="0"/>
        <w:adjustRightInd w:val="0"/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отечественной практике производственного учета наиболее распространенными системами учета затрат являются следующие методы: простой (однопередельный), позаказный, попередельный, нормативный</w:t>
      </w:r>
      <w:r w:rsidRPr="006C18EE">
        <w:rPr>
          <w:rFonts w:ascii="Times New Roman" w:hAnsi="Times New Roman"/>
          <w:sz w:val="28"/>
          <w:szCs w:val="28"/>
        </w:rPr>
        <w:t>/</w:t>
      </w:r>
    </w:p>
    <w:p w:rsidR="0009099C" w:rsidRPr="00510A03" w:rsidRDefault="0009099C" w:rsidP="00B57AF3">
      <w:pPr>
        <w:autoSpaceDE w:val="0"/>
        <w:autoSpaceDN w:val="0"/>
        <w:adjustRightInd w:val="0"/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0A03">
        <w:rPr>
          <w:rFonts w:ascii="Times New Roman" w:hAnsi="Times New Roman"/>
          <w:sz w:val="28"/>
          <w:szCs w:val="28"/>
        </w:rPr>
        <w:t>Простой (однопередельный) метод калькулирования себестоимости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510A03">
        <w:rPr>
          <w:rFonts w:ascii="Times New Roman" w:hAnsi="Times New Roman"/>
          <w:sz w:val="28"/>
          <w:szCs w:val="28"/>
        </w:rPr>
        <w:t>продукции применяется в производствах, в которых отсутствует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510A03">
        <w:rPr>
          <w:rFonts w:ascii="Times New Roman" w:hAnsi="Times New Roman"/>
          <w:sz w:val="28"/>
          <w:szCs w:val="28"/>
        </w:rPr>
        <w:t>незавершенное производство, либо оно незначительно. Примером здесь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510A03">
        <w:rPr>
          <w:rFonts w:ascii="Times New Roman" w:hAnsi="Times New Roman"/>
          <w:sz w:val="28"/>
          <w:szCs w:val="28"/>
        </w:rPr>
        <w:t>могут служить добыча</w:t>
      </w:r>
      <w:r>
        <w:rPr>
          <w:rFonts w:ascii="Times New Roman" w:hAnsi="Times New Roman"/>
          <w:sz w:val="28"/>
          <w:szCs w:val="28"/>
        </w:rPr>
        <w:t xml:space="preserve"> угля, выработка электроэнергии и т. п.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510A03">
        <w:rPr>
          <w:rFonts w:ascii="Times New Roman" w:hAnsi="Times New Roman"/>
          <w:sz w:val="28"/>
          <w:szCs w:val="28"/>
        </w:rPr>
        <w:t xml:space="preserve">Суть этого метода сводится к прямому </w:t>
      </w:r>
      <w:r>
        <w:rPr>
          <w:rFonts w:ascii="Times New Roman" w:hAnsi="Times New Roman"/>
          <w:sz w:val="28"/>
          <w:szCs w:val="28"/>
        </w:rPr>
        <w:t>р</w:t>
      </w:r>
      <w:r w:rsidRPr="00510A03">
        <w:rPr>
          <w:rFonts w:ascii="Times New Roman" w:hAnsi="Times New Roman"/>
          <w:sz w:val="28"/>
          <w:szCs w:val="28"/>
        </w:rPr>
        <w:t>асчету, то есть все затраты на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510A03">
        <w:rPr>
          <w:rFonts w:ascii="Times New Roman" w:hAnsi="Times New Roman"/>
          <w:sz w:val="28"/>
          <w:szCs w:val="28"/>
        </w:rPr>
        <w:t>производство по статьям калькуляции должны делиться на количество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 w:rsidRPr="00510A03">
        <w:rPr>
          <w:rFonts w:ascii="Times New Roman" w:hAnsi="Times New Roman"/>
          <w:sz w:val="28"/>
          <w:szCs w:val="28"/>
        </w:rPr>
        <w:t xml:space="preserve">выработанной продукции. В результате получается </w:t>
      </w:r>
      <w:r>
        <w:rPr>
          <w:rFonts w:ascii="Times New Roman" w:hAnsi="Times New Roman"/>
          <w:sz w:val="28"/>
          <w:szCs w:val="28"/>
        </w:rPr>
        <w:t>с</w:t>
      </w:r>
      <w:r w:rsidRPr="00510A03">
        <w:rPr>
          <w:rFonts w:ascii="Times New Roman" w:hAnsi="Times New Roman"/>
          <w:sz w:val="28"/>
          <w:szCs w:val="28"/>
        </w:rPr>
        <w:t>ебестоимость единицы продукции</w:t>
      </w:r>
      <w:r>
        <w:rPr>
          <w:rFonts w:ascii="Times New Roman" w:hAnsi="Times New Roman"/>
          <w:sz w:val="28"/>
          <w:szCs w:val="28"/>
        </w:rPr>
        <w:t xml:space="preserve"> (рисунок 1)</w:t>
      </w:r>
      <w:r w:rsidRPr="00510A03">
        <w:rPr>
          <w:rFonts w:ascii="Times New Roman" w:hAnsi="Times New Roman"/>
          <w:sz w:val="28"/>
          <w:szCs w:val="28"/>
        </w:rPr>
        <w:t>.</w:t>
      </w: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group id="_x0000_s1026" style="position:absolute;left:0;text-align:left;margin-left:23.8pt;margin-top:1.7pt;width:445.85pt;height:230.4pt;z-index:251658240" coordorigin="1958,3560" coordsize="8917,460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790;top:3721;width:5495;height:703" strokeweight="1pt">
              <v:textbox>
                <w:txbxContent>
                  <w:p w:rsidR="0009099C" w:rsidRPr="00EE0B43" w:rsidRDefault="0009099C" w:rsidP="00EE0B4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E0B43">
                      <w:rPr>
                        <w:rFonts w:ascii="Times New Roman" w:hAnsi="Times New Roman"/>
                        <w:sz w:val="24"/>
                        <w:szCs w:val="24"/>
                      </w:rPr>
                      <w:t>Общехозяйственные и непроизводительные расходы</w:t>
                    </w:r>
                  </w:p>
                </w:txbxContent>
              </v:textbox>
            </v:shape>
            <v:shape id="_x0000_s1028" type="#_x0000_t202" style="position:absolute;left:2177;top:3721;width:853;height:4320" strokeweight="1pt">
              <v:textbox style="layout-flow:vertical;mso-layout-flow-alt:bottom-to-top">
                <w:txbxContent>
                  <w:p w:rsidR="0009099C" w:rsidRPr="00EE0B43" w:rsidRDefault="0009099C" w:rsidP="00EE0B4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E0B43">
                      <w:rPr>
                        <w:rFonts w:ascii="Times New Roman" w:hAnsi="Times New Roman"/>
                        <w:sz w:val="24"/>
                        <w:szCs w:val="24"/>
                      </w:rPr>
                      <w:t>Прямые трудовые и материальные расходы</w:t>
                    </w:r>
                  </w:p>
                </w:txbxContent>
              </v:textbox>
            </v:shape>
            <v:shape id="_x0000_s1029" type="#_x0000_t202" style="position:absolute;left:8432;top:4733;width:853;height:3239" strokeweight="1pt">
              <v:textbox style="layout-flow:vertical;mso-layout-flow-alt:bottom-to-top">
                <w:txbxContent>
                  <w:p w:rsidR="0009099C" w:rsidRPr="00EE0B43" w:rsidRDefault="0009099C" w:rsidP="00EE0B4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Себестоимость готовой продукции</w:t>
                    </w:r>
                  </w:p>
                </w:txbxContent>
              </v:textbox>
            </v:shape>
            <v:shape id="_x0000_s1030" type="#_x0000_t202" style="position:absolute;left:9757;top:4733;width:853;height:3239" strokeweight="1pt">
              <v:textbox style="layout-flow:vertical;mso-layout-flow-alt:bottom-to-top">
                <w:txbxContent>
                  <w:p w:rsidR="0009099C" w:rsidRDefault="0009099C" w:rsidP="00EE0B4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Продажа готовой</w:t>
                    </w:r>
                  </w:p>
                  <w:p w:rsidR="0009099C" w:rsidRPr="00EE0B43" w:rsidRDefault="0009099C" w:rsidP="00EE0B4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продукции</w:t>
                    </w:r>
                  </w:p>
                </w:txbxContent>
              </v:textbox>
            </v:shape>
            <v:shape id="_x0000_s1031" type="#_x0000_t202" style="position:absolute;left:3790;top:5126;width:3652;height:703" strokecolor="white">
              <v:textbox>
                <w:txbxContent>
                  <w:p w:rsidR="0009099C" w:rsidRPr="00EE0B43" w:rsidRDefault="0009099C" w:rsidP="00EE0B4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Производственные накладные</w:t>
                    </w:r>
                    <w:r w:rsidRPr="00EE0B43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расходы</w:t>
                    </w:r>
                  </w:p>
                </w:txbxContent>
              </v:textbox>
            </v:shape>
            <v:shape id="_x0000_s1032" type="#_x0000_t202" style="position:absolute;left:4067;top:6060;width:3098;height:449">
              <v:textbox>
                <w:txbxContent>
                  <w:p w:rsidR="0009099C" w:rsidRPr="00EE0B43" w:rsidRDefault="0009099C" w:rsidP="00EE0B4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Готовая продукция № 1</w:t>
                    </w:r>
                  </w:p>
                </w:txbxContent>
              </v:textbox>
            </v:shape>
            <v:shape id="_x0000_s1033" type="#_x0000_t202" style="position:absolute;left:4067;top:6647;width:3098;height:414">
              <v:textbox>
                <w:txbxContent>
                  <w:p w:rsidR="0009099C" w:rsidRPr="00EE0B43" w:rsidRDefault="0009099C" w:rsidP="00EE0B4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Готовая продукция № 2</w:t>
                    </w:r>
                  </w:p>
                </w:txbxContent>
              </v:textbox>
            </v:shape>
            <v:shape id="_x0000_s1034" type="#_x0000_t202" style="position:absolute;left:4067;top:7177;width:3098;height:415">
              <v:textbox>
                <w:txbxContent>
                  <w:p w:rsidR="0009099C" w:rsidRPr="00EE0B43" w:rsidRDefault="0009099C" w:rsidP="00EE0B4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Готовая продукция № 3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3030;top:4078;width:760;height:0" o:connectortype="straight" strokeweight="1pt">
              <v:stroke endarrow="block"/>
            </v:shape>
            <v:shape id="_x0000_s1036" type="#_x0000_t32" style="position:absolute;left:3525;top:4942;width:12;height:2972" o:connectortype="straight" strokeweight="1pt">
              <v:stroke dashstyle="dash"/>
            </v:shape>
            <v:shape id="_x0000_s1037" type="#_x0000_t32" style="position:absolute;left:3537;top:4942;width:4112;height:0" o:connectortype="straight" strokeweight="1pt">
              <v:stroke dashstyle="dash"/>
            </v:shape>
            <v:shape id="_x0000_s1038" type="#_x0000_t32" style="position:absolute;left:7649;top:4942;width:0;height:2972" o:connectortype="straight" strokeweight="1pt">
              <v:stroke dashstyle="dash"/>
            </v:shape>
            <v:shape id="_x0000_s1039" type="#_x0000_t32" style="position:absolute;left:3537;top:7914;width:4112;height:0" o:connectortype="straight" strokeweight="1pt">
              <v:stroke dashstyle="dash"/>
            </v:shape>
            <v:shape id="_x0000_s1040" type="#_x0000_t32" style="position:absolute;left:9285;top:6509;width:472;height:0" o:connectortype="straight" strokeweight="1pt">
              <v:stroke endarrow="block"/>
            </v:shape>
            <v:shape id="_x0000_s1041" type="#_x0000_t32" style="position:absolute;left:8801;top:4424;width:35;height:309" o:connectortype="straight">
              <v:stroke endarrow="block"/>
            </v:shape>
            <v:shape id="_x0000_s1042" type="#_x0000_t32" style="position:absolute;left:3030;top:5368;width:495;height:0" o:connectortype="straight" strokeweight="1pt">
              <v:stroke endarrow="block"/>
            </v:shape>
            <v:shape id="_x0000_s1043" type="#_x0000_t32" style="position:absolute;left:3030;top:6278;width:1037;height:0" o:connectortype="straight" strokeweight="1pt">
              <v:stroke endarrow="block"/>
            </v:shape>
            <v:shape id="_x0000_s1044" type="#_x0000_t32" style="position:absolute;left:3030;top:6820;width:1037;height:0" o:connectortype="straight" strokeweight="1pt">
              <v:stroke endarrow="block"/>
            </v:shape>
            <v:shape id="_x0000_s1045" type="#_x0000_t32" style="position:absolute;left:3030;top:7350;width:1037;height:0" o:connectortype="straight" strokeweight="1pt">
              <v:stroke endarrow="block"/>
            </v:shape>
            <v:shape id="_x0000_s1046" type="#_x0000_t32" style="position:absolute;left:7165;top:6278;width:1267;height:0" o:connectortype="straight" strokeweight="1pt">
              <v:stroke endarrow="block"/>
            </v:shape>
            <v:shape id="_x0000_s1047" type="#_x0000_t32" style="position:absolute;left:7165;top:6829;width:1267;height:0" o:connectortype="straight" strokeweight="1pt">
              <v:stroke endarrow="block"/>
            </v:shape>
            <v:shape id="_x0000_s1048" type="#_x0000_t32" style="position:absolute;left:7165;top:7359;width:1267;height:0" o:connectortype="straight" strokeweight="1pt">
              <v:stroke endarrow="block"/>
            </v:shape>
            <v:shape id="_x0000_s1049" type="#_x0000_t32" style="position:absolute;left:1958;top:3560;width:8917;height:23" o:connectortype="straight" strokeweight="1pt"/>
            <v:shape id="_x0000_s1050" type="#_x0000_t32" style="position:absolute;left:1958;top:3560;width:1;height:4608" o:connectortype="straight" strokeweight="1pt"/>
            <v:shape id="_x0000_s1051" type="#_x0000_t32" style="position:absolute;left:1958;top:8168;width:8917;height:0" o:connectortype="straight" strokeweight="1pt"/>
            <v:shape id="_x0000_s1052" type="#_x0000_t32" style="position:absolute;left:10875;top:3583;width:0;height:4585;flip:y" o:connectortype="straight" strokeweight="1pt"/>
          </v:group>
        </w:pict>
      </w: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AB796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Простой метод учета затрат</w:t>
      </w: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510A0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0A03">
        <w:rPr>
          <w:rFonts w:ascii="Times New Roman" w:hAnsi="Times New Roman"/>
          <w:sz w:val="28"/>
          <w:szCs w:val="28"/>
        </w:rPr>
        <w:t>Объектом учета и калькулирования в позаказном методе является отдельный производственный заказ, открываемый заранее на определенное количество п</w:t>
      </w:r>
      <w:r>
        <w:rPr>
          <w:rFonts w:ascii="Times New Roman" w:hAnsi="Times New Roman"/>
          <w:sz w:val="28"/>
          <w:szCs w:val="28"/>
        </w:rPr>
        <w:t>родукции, на конкретную работу или услугу (рисунок 2)</w:t>
      </w:r>
      <w:r w:rsidRPr="00510A03">
        <w:rPr>
          <w:rFonts w:ascii="Times New Roman" w:hAnsi="Times New Roman"/>
          <w:sz w:val="28"/>
          <w:szCs w:val="28"/>
        </w:rPr>
        <w:t xml:space="preserve">. Каждому заказу присваивается номер, который указывается на всех </w:t>
      </w:r>
      <w:r>
        <w:rPr>
          <w:rFonts w:ascii="Times New Roman" w:hAnsi="Times New Roman"/>
          <w:sz w:val="28"/>
          <w:szCs w:val="28"/>
        </w:rPr>
        <w:t xml:space="preserve">учетных </w:t>
      </w:r>
      <w:r w:rsidRPr="00510A03">
        <w:rPr>
          <w:rFonts w:ascii="Times New Roman" w:hAnsi="Times New Roman"/>
          <w:sz w:val="28"/>
          <w:szCs w:val="28"/>
        </w:rPr>
        <w:t xml:space="preserve">документах по затратам, относящимся к данному заказу (лимитно-заборные карты и требования на материалы, маршрутные листы, </w:t>
      </w:r>
      <w:r>
        <w:rPr>
          <w:rFonts w:ascii="Times New Roman" w:hAnsi="Times New Roman"/>
          <w:sz w:val="28"/>
          <w:szCs w:val="28"/>
        </w:rPr>
        <w:t>наряды</w:t>
      </w:r>
      <w:r w:rsidRPr="00510A03">
        <w:rPr>
          <w:rFonts w:ascii="Times New Roman" w:hAnsi="Times New Roman"/>
          <w:sz w:val="28"/>
          <w:szCs w:val="28"/>
        </w:rPr>
        <w:t xml:space="preserve"> и др.).</w:t>
      </w:r>
    </w:p>
    <w:p w:rsidR="0009099C" w:rsidRPr="00510A03" w:rsidRDefault="0009099C" w:rsidP="00675CA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0A03">
        <w:rPr>
          <w:rFonts w:ascii="Times New Roman" w:hAnsi="Times New Roman"/>
          <w:sz w:val="28"/>
          <w:szCs w:val="28"/>
        </w:rPr>
        <w:t>Фактическая себестоимость изделий (работ, услуг), изготавливаемых по заказу, определяется после его выполнения</w:t>
      </w:r>
      <w:r w:rsidRPr="006C18EE">
        <w:rPr>
          <w:rFonts w:ascii="Times New Roman" w:hAnsi="Times New Roman"/>
          <w:sz w:val="28"/>
          <w:szCs w:val="28"/>
        </w:rPr>
        <w:t xml:space="preserve"> [5]</w:t>
      </w:r>
      <w:r w:rsidRPr="00510A03">
        <w:rPr>
          <w:rFonts w:ascii="Times New Roman" w:hAnsi="Times New Roman"/>
          <w:sz w:val="28"/>
          <w:szCs w:val="28"/>
        </w:rPr>
        <w:t>.</w:t>
      </w:r>
    </w:p>
    <w:p w:rsidR="0009099C" w:rsidRPr="00510A03" w:rsidRDefault="0009099C" w:rsidP="00675CAB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0A03">
        <w:rPr>
          <w:rFonts w:ascii="Times New Roman" w:hAnsi="Times New Roman"/>
          <w:sz w:val="28"/>
          <w:szCs w:val="28"/>
        </w:rPr>
        <w:t>При изготовлении крупных изделий (выполнении работ, услуг) с длинным технологическим циклом заказы могут выдаваться не на изделие (работу, услугу) в целом, а на отдельные его сборочные единицы, представляющие собой законченные конструкции, либо на отдельные этапы работ, услуг.</w:t>
      </w:r>
    </w:p>
    <w:p w:rsidR="0009099C" w:rsidRPr="00510A03" w:rsidRDefault="0009099C" w:rsidP="00675CAB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0A03">
        <w:rPr>
          <w:rFonts w:ascii="Times New Roman" w:hAnsi="Times New Roman"/>
          <w:sz w:val="28"/>
          <w:szCs w:val="28"/>
        </w:rPr>
        <w:t>Аналитический учет ведется в карточках, открываемых на каждый заказ, в которые записывают затраты по статьям калькуляции.</w:t>
      </w: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group id="_x0000_s1053" style="position:absolute;left:0;text-align:left;margin-left:21.5pt;margin-top:10.75pt;width:445.85pt;height:230.4pt;z-index:251659264" coordorigin="1958,3560" coordsize="8917,4608">
            <v:shape id="_x0000_s1054" type="#_x0000_t202" style="position:absolute;left:3790;top:3721;width:5495;height:703" strokeweight="1pt">
              <v:textbox>
                <w:txbxContent>
                  <w:p w:rsidR="0009099C" w:rsidRPr="00EE0B43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E0B43">
                      <w:rPr>
                        <w:rFonts w:ascii="Times New Roman" w:hAnsi="Times New Roman"/>
                        <w:sz w:val="24"/>
                        <w:szCs w:val="24"/>
                      </w:rPr>
                      <w:t>Общехозяйственные и непроизводительные расходы</w:t>
                    </w:r>
                  </w:p>
                </w:txbxContent>
              </v:textbox>
            </v:shape>
            <v:shape id="_x0000_s1055" type="#_x0000_t202" style="position:absolute;left:2177;top:3721;width:853;height:4320" strokeweight="1pt">
              <v:textbox style="layout-flow:vertical;mso-layout-flow-alt:bottom-to-top">
                <w:txbxContent>
                  <w:p w:rsidR="0009099C" w:rsidRPr="00EE0B43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E0B43">
                      <w:rPr>
                        <w:rFonts w:ascii="Times New Roman" w:hAnsi="Times New Roman"/>
                        <w:sz w:val="24"/>
                        <w:szCs w:val="24"/>
                      </w:rPr>
                      <w:t>Прямые трудовые и материальные расходы</w:t>
                    </w:r>
                  </w:p>
                </w:txbxContent>
              </v:textbox>
            </v:shape>
            <v:shape id="_x0000_s1056" type="#_x0000_t202" style="position:absolute;left:8432;top:4733;width:853;height:3239" strokeweight="1pt">
              <v:textbox style="layout-flow:vertical;mso-layout-flow-alt:bottom-to-top">
                <w:txbxContent>
                  <w:p w:rsidR="0009099C" w:rsidRPr="00EE0B43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Себестоимость заказа</w:t>
                    </w:r>
                  </w:p>
                </w:txbxContent>
              </v:textbox>
            </v:shape>
            <v:shape id="_x0000_s1057" type="#_x0000_t202" style="position:absolute;left:9757;top:4733;width:853;height:3239" strokeweight="1pt">
              <v:textbox style="layout-flow:vertical;mso-layout-flow-alt:bottom-to-top">
                <w:txbxContent>
                  <w:p w:rsidR="0009099C" w:rsidRPr="00EE0B43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Продажа заказа</w:t>
                    </w:r>
                  </w:p>
                </w:txbxContent>
              </v:textbox>
            </v:shape>
            <v:shape id="_x0000_s1058" type="#_x0000_t202" style="position:absolute;left:3790;top:5126;width:3652;height:703" strokecolor="white">
              <v:textbox>
                <w:txbxContent>
                  <w:p w:rsidR="0009099C" w:rsidRPr="00EE0B43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Производственные накладные</w:t>
                    </w:r>
                    <w:r w:rsidRPr="00EE0B43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расходы</w:t>
                    </w:r>
                  </w:p>
                </w:txbxContent>
              </v:textbox>
            </v:shape>
            <v:shape id="_x0000_s1059" type="#_x0000_t202" style="position:absolute;left:4067;top:6060;width:3098;height:449" strokeweight="1pt">
              <v:textbox>
                <w:txbxContent>
                  <w:p w:rsidR="0009099C" w:rsidRPr="00EE0B43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Заказ № 1</w:t>
                    </w:r>
                  </w:p>
                </w:txbxContent>
              </v:textbox>
            </v:shape>
            <v:shape id="_x0000_s1060" type="#_x0000_t202" style="position:absolute;left:4067;top:6647;width:3098;height:414" strokeweight="1pt">
              <v:textbox>
                <w:txbxContent>
                  <w:p w:rsidR="0009099C" w:rsidRPr="00EE0B43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Заказ № 2</w:t>
                    </w:r>
                  </w:p>
                </w:txbxContent>
              </v:textbox>
            </v:shape>
            <v:shape id="_x0000_s1061" type="#_x0000_t202" style="position:absolute;left:4067;top:7177;width:3098;height:415" strokeweight="1pt">
              <v:textbox>
                <w:txbxContent>
                  <w:p w:rsidR="0009099C" w:rsidRPr="00EE0B43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Заказ № 3</w:t>
                    </w:r>
                  </w:p>
                </w:txbxContent>
              </v:textbox>
            </v:shape>
            <v:shape id="_x0000_s1062" type="#_x0000_t32" style="position:absolute;left:3030;top:4078;width:760;height:0" o:connectortype="straight" strokeweight="1pt">
              <v:stroke endarrow="block"/>
            </v:shape>
            <v:shape id="_x0000_s1063" type="#_x0000_t32" style="position:absolute;left:3525;top:4942;width:12;height:2972" o:connectortype="straight" strokeweight="1pt">
              <v:stroke dashstyle="dash"/>
            </v:shape>
            <v:shape id="_x0000_s1064" type="#_x0000_t32" style="position:absolute;left:3537;top:4942;width:4112;height:0" o:connectortype="straight" strokeweight="1pt">
              <v:stroke dashstyle="dash"/>
            </v:shape>
            <v:shape id="_x0000_s1065" type="#_x0000_t32" style="position:absolute;left:7649;top:4942;width:0;height:2972" o:connectortype="straight" strokeweight="1pt">
              <v:stroke dashstyle="dash"/>
            </v:shape>
            <v:shape id="_x0000_s1066" type="#_x0000_t32" style="position:absolute;left:3537;top:7914;width:4112;height:0" o:connectortype="straight" strokeweight="1pt">
              <v:stroke dashstyle="dash"/>
            </v:shape>
            <v:shape id="_x0000_s1067" type="#_x0000_t32" style="position:absolute;left:9285;top:6509;width:472;height:0" o:connectortype="straight" strokeweight="1pt">
              <v:stroke endarrow="block"/>
            </v:shape>
            <v:shape id="_x0000_s1068" type="#_x0000_t32" style="position:absolute;left:8801;top:4424;width:35;height:309" o:connectortype="straight">
              <v:stroke endarrow="block"/>
            </v:shape>
            <v:shape id="_x0000_s1069" type="#_x0000_t32" style="position:absolute;left:3030;top:5368;width:495;height:0" o:connectortype="straight" strokeweight="1pt">
              <v:stroke endarrow="block"/>
            </v:shape>
            <v:shape id="_x0000_s1070" type="#_x0000_t32" style="position:absolute;left:3030;top:6278;width:1037;height:0" o:connectortype="straight" strokeweight="1pt">
              <v:stroke endarrow="block"/>
            </v:shape>
            <v:shape id="_x0000_s1071" type="#_x0000_t32" style="position:absolute;left:3030;top:6820;width:1037;height:0" o:connectortype="straight" strokeweight="1pt">
              <v:stroke endarrow="block"/>
            </v:shape>
            <v:shape id="_x0000_s1072" type="#_x0000_t32" style="position:absolute;left:3030;top:7350;width:1037;height:0" o:connectortype="straight" strokeweight="1pt">
              <v:stroke endarrow="block"/>
            </v:shape>
            <v:shape id="_x0000_s1073" type="#_x0000_t32" style="position:absolute;left:7165;top:6278;width:1267;height:0" o:connectortype="straight" strokeweight="1pt">
              <v:stroke endarrow="block"/>
            </v:shape>
            <v:shape id="_x0000_s1074" type="#_x0000_t32" style="position:absolute;left:7165;top:6829;width:1267;height:0" o:connectortype="straight" strokeweight="1pt">
              <v:stroke endarrow="block"/>
            </v:shape>
            <v:shape id="_x0000_s1075" type="#_x0000_t32" style="position:absolute;left:7165;top:7359;width:1267;height:0" o:connectortype="straight" strokeweight="1pt">
              <v:stroke endarrow="block"/>
            </v:shape>
            <v:shape id="_x0000_s1076" type="#_x0000_t32" style="position:absolute;left:1958;top:3560;width:8917;height:23" o:connectortype="straight" strokeweight="1pt"/>
            <v:shape id="_x0000_s1077" type="#_x0000_t32" style="position:absolute;left:1958;top:3560;width:1;height:4608" o:connectortype="straight" strokeweight="1pt"/>
            <v:shape id="_x0000_s1078" type="#_x0000_t32" style="position:absolute;left:1958;top:8168;width:8917;height:0" o:connectortype="straight" strokeweight="1pt"/>
            <v:shape id="_x0000_s1079" type="#_x0000_t32" style="position:absolute;left:10875;top:3583;width:0;height:4585;flip:y" o:connectortype="straight" strokeweight="1pt"/>
          </v:group>
        </w:pict>
      </w: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 Позаказный метод учета затрат</w:t>
      </w: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Pr="00510A03" w:rsidRDefault="0009099C" w:rsidP="00510A0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0A03">
        <w:rPr>
          <w:rFonts w:ascii="Times New Roman" w:hAnsi="Times New Roman"/>
          <w:sz w:val="28"/>
          <w:szCs w:val="28"/>
        </w:rPr>
        <w:t>Себестоимость заказа определяется суммой всех затрат производства со дня его открытия до дня выполнения и закрытия. Окончание работ по заказу фиксируют в накладной или акте на сдачу выполненных готовых изделий или работ. После этого заказ закрывают и выписку документов с обозначением номера закрытого заказа прекращают.</w:t>
      </w:r>
    </w:p>
    <w:p w:rsidR="0009099C" w:rsidRPr="00510A03" w:rsidRDefault="0009099C" w:rsidP="00510A0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0A03">
        <w:rPr>
          <w:rFonts w:ascii="Times New Roman" w:hAnsi="Times New Roman"/>
          <w:sz w:val="28"/>
          <w:szCs w:val="28"/>
        </w:rPr>
        <w:t>Часто заказы выполняются в течение нескольких месяцев и в этот период времени из серии изделий производят частичный выпуск. В этом случае определяется себестоимость частично выполненного заказа, т.е. затраты делятся между выпуском и незавершенным производством прямым путем, не прибегая к каким-либо условным приемам их распределения. Относительная простота этого метода привела к его широкому применению.</w:t>
      </w:r>
    </w:p>
    <w:p w:rsidR="0009099C" w:rsidRPr="00510A03" w:rsidRDefault="0009099C" w:rsidP="00510A0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0A03">
        <w:rPr>
          <w:rFonts w:ascii="Times New Roman" w:hAnsi="Times New Roman"/>
          <w:sz w:val="28"/>
          <w:szCs w:val="28"/>
        </w:rPr>
        <w:t>Принципиальная схема учета при позаказном методе следующая:</w:t>
      </w:r>
    </w:p>
    <w:p w:rsidR="0009099C" w:rsidRPr="001021B2" w:rsidRDefault="0009099C" w:rsidP="001021B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021B2">
        <w:rPr>
          <w:rFonts w:ascii="Times New Roman" w:hAnsi="Times New Roman"/>
          <w:sz w:val="28"/>
          <w:szCs w:val="28"/>
        </w:rPr>
        <w:t>на каждый заказ, содержащий в себе конкретное количество продукции, открывается счет 20 «Основное производство»;</w:t>
      </w:r>
    </w:p>
    <w:p w:rsidR="0009099C" w:rsidRPr="001021B2" w:rsidRDefault="0009099C" w:rsidP="001021B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021B2">
        <w:rPr>
          <w:rFonts w:ascii="Times New Roman" w:hAnsi="Times New Roman"/>
          <w:sz w:val="28"/>
          <w:szCs w:val="28"/>
        </w:rPr>
        <w:t>прямые затраты собираю</w:t>
      </w:r>
      <w:r>
        <w:rPr>
          <w:rFonts w:ascii="Times New Roman" w:hAnsi="Times New Roman"/>
          <w:sz w:val="28"/>
          <w:szCs w:val="28"/>
        </w:rPr>
        <w:t>тся непосредственно на счете 20 </w:t>
      </w:r>
      <w:r w:rsidRPr="001021B2">
        <w:rPr>
          <w:rFonts w:ascii="Times New Roman" w:hAnsi="Times New Roman"/>
          <w:sz w:val="28"/>
          <w:szCs w:val="28"/>
        </w:rPr>
        <w:t>«Основное производство» по каждому заказу;</w:t>
      </w:r>
    </w:p>
    <w:p w:rsidR="0009099C" w:rsidRPr="001021B2" w:rsidRDefault="0009099C" w:rsidP="001021B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021B2">
        <w:rPr>
          <w:rFonts w:ascii="Times New Roman" w:hAnsi="Times New Roman"/>
          <w:sz w:val="28"/>
          <w:szCs w:val="28"/>
        </w:rPr>
        <w:t>косвенные расходы собираются на счетах косвенных расходов (25 и 26);</w:t>
      </w:r>
    </w:p>
    <w:p w:rsidR="0009099C" w:rsidRPr="001021B2" w:rsidRDefault="0009099C" w:rsidP="001021B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021B2">
        <w:rPr>
          <w:rFonts w:ascii="Times New Roman" w:hAnsi="Times New Roman"/>
          <w:sz w:val="28"/>
          <w:szCs w:val="28"/>
        </w:rPr>
        <w:t>косвенные расходы распределяются между заказами и списываются со счетов 25 и 26 на счет 20 «Основное производство» по каждому заказу;</w:t>
      </w:r>
    </w:p>
    <w:p w:rsidR="0009099C" w:rsidRPr="001021B2" w:rsidRDefault="0009099C" w:rsidP="001021B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021B2">
        <w:rPr>
          <w:rFonts w:ascii="Times New Roman" w:hAnsi="Times New Roman"/>
          <w:sz w:val="28"/>
          <w:szCs w:val="28"/>
        </w:rPr>
        <w:t>при наличии незавершенного производства по заказу производится расчет его стоимости, величина которого остается как сальдо на счете 20;</w:t>
      </w:r>
    </w:p>
    <w:p w:rsidR="0009099C" w:rsidRPr="001021B2" w:rsidRDefault="0009099C" w:rsidP="001021B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021B2">
        <w:rPr>
          <w:rFonts w:ascii="Times New Roman" w:hAnsi="Times New Roman"/>
          <w:sz w:val="28"/>
          <w:szCs w:val="28"/>
        </w:rPr>
        <w:t>фактическая себестоимость готовой продукции по заказу, исчисляемая с учетом остатков незавершенного производства, списывается со счета 20 на счет 40 «Готовая продукция»;</w:t>
      </w:r>
    </w:p>
    <w:p w:rsidR="0009099C" w:rsidRPr="001021B2" w:rsidRDefault="0009099C" w:rsidP="001021B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021B2">
        <w:rPr>
          <w:rFonts w:ascii="Times New Roman" w:hAnsi="Times New Roman"/>
          <w:sz w:val="28"/>
          <w:szCs w:val="28"/>
        </w:rPr>
        <w:t>фактическая себестоимость единицы продукции по заказу (Сф.ед) определяется следующим образом:</w:t>
      </w: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  <w:r w:rsidRPr="00A4206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4pt;height:77.4pt">
            <v:imagedata r:id="rId7" o:title="" chromakey="white"/>
          </v:shape>
        </w:pict>
      </w: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где </w:t>
      </w:r>
      <w:r w:rsidRPr="00D7082C">
        <w:rPr>
          <w:rFonts w:ascii="Times New Roman" w:hAnsi="Times New Roman"/>
          <w:i/>
          <w:sz w:val="28"/>
          <w:szCs w:val="28"/>
        </w:rPr>
        <w:t>Сф.ед.</w:t>
      </w:r>
      <w:r>
        <w:rPr>
          <w:rFonts w:ascii="Times New Roman" w:hAnsi="Times New Roman"/>
          <w:sz w:val="28"/>
          <w:szCs w:val="28"/>
        </w:rPr>
        <w:t xml:space="preserve"> – себестоимость единицы продукции по заказу, руб.;</w:t>
      </w: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ФЗвып. – фактические затраты выпуска готовой продукции, руб.;</w:t>
      </w:r>
    </w:p>
    <w:p w:rsidR="0009099C" w:rsidRDefault="0009099C" w:rsidP="00EE0B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7082C">
        <w:rPr>
          <w:rFonts w:ascii="Times New Roman" w:hAnsi="Times New Roman"/>
          <w:i/>
          <w:sz w:val="28"/>
          <w:szCs w:val="28"/>
        </w:rPr>
        <w:t>Квып</w:t>
      </w:r>
      <w:r>
        <w:rPr>
          <w:rFonts w:ascii="Times New Roman" w:hAnsi="Times New Roman"/>
          <w:sz w:val="28"/>
          <w:szCs w:val="28"/>
        </w:rPr>
        <w:t xml:space="preserve">. – количество выпущенной готовой продукции </w:t>
      </w:r>
    </w:p>
    <w:p w:rsidR="0009099C" w:rsidRPr="00D7082C" w:rsidRDefault="0009099C" w:rsidP="00EE0B4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по заказу, ед.</w:t>
      </w:r>
    </w:p>
    <w:p w:rsidR="0009099C" w:rsidRDefault="0009099C" w:rsidP="00D7082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D7082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7082C">
        <w:rPr>
          <w:rFonts w:ascii="Times New Roman" w:hAnsi="Times New Roman"/>
          <w:sz w:val="28"/>
          <w:szCs w:val="28"/>
        </w:rPr>
        <w:t>Важнейшая особенность попередельного метода состоит в том, что объектом учета затрат на производство является технологический передел, при котором затраты, образующие себестоимость продукции, учитываются по отдельным законченным технологическим переделам (фазам, стадиям) и статьям расходов</w:t>
      </w:r>
      <w:r>
        <w:rPr>
          <w:rFonts w:ascii="Times New Roman" w:hAnsi="Times New Roman"/>
          <w:sz w:val="28"/>
          <w:szCs w:val="28"/>
        </w:rPr>
        <w:t xml:space="preserve"> (рисунок 3)</w:t>
      </w:r>
      <w:r w:rsidRPr="00D7082C">
        <w:rPr>
          <w:rFonts w:ascii="Times New Roman" w:hAnsi="Times New Roman"/>
          <w:sz w:val="28"/>
          <w:szCs w:val="28"/>
        </w:rPr>
        <w:t>.</w:t>
      </w:r>
    </w:p>
    <w:p w:rsidR="0009099C" w:rsidRDefault="0009099C" w:rsidP="00D7082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9099C" w:rsidRDefault="0009099C" w:rsidP="00D7082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9099C" w:rsidRDefault="0009099C" w:rsidP="00D7082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9099C" w:rsidRDefault="0009099C" w:rsidP="00E71FD3">
      <w:pPr>
        <w:tabs>
          <w:tab w:val="left" w:pos="1106"/>
        </w:tabs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group id="_x0000_s1080" style="position:absolute;left:0;text-align:left;margin-left:12.55pt;margin-top:3.2pt;width:438.4pt;height:173.95pt;z-index:251660288" coordorigin="2154,1256" coordsize="8768,3479">
            <v:shape id="_x0000_s1081" type="#_x0000_t202" style="position:absolute;left:4724;top:1532;width:6024;height:576" strokeweight="1pt">
              <v:textbox>
                <w:txbxContent>
                  <w:p w:rsidR="0009099C" w:rsidRPr="00C76235" w:rsidRDefault="0009099C" w:rsidP="00E71FD3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76235">
                      <w:rPr>
                        <w:rFonts w:ascii="Times New Roman" w:hAnsi="Times New Roman"/>
                        <w:sz w:val="24"/>
                        <w:szCs w:val="24"/>
                      </w:rPr>
                      <w:t>Общехозяйственные и непроизводительные расходы</w:t>
                    </w:r>
                  </w:p>
                </w:txbxContent>
              </v:textbox>
            </v:shape>
            <v:shape id="_x0000_s1082" type="#_x0000_t202" style="position:absolute;left:2419;top:1532;width:899;height:2995" strokeweight="1pt">
              <v:textbox style="layout-flow:vertical;mso-layout-flow-alt:bottom-to-top">
                <w:txbxContent>
                  <w:p w:rsidR="0009099C" w:rsidRPr="00C76235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76235">
                      <w:rPr>
                        <w:rFonts w:ascii="Times New Roman" w:hAnsi="Times New Roman"/>
                        <w:sz w:val="24"/>
                        <w:szCs w:val="24"/>
                      </w:rPr>
                      <w:t>Прямые трудовые и материальные расходы</w:t>
                    </w:r>
                  </w:p>
                </w:txbxContent>
              </v:textbox>
            </v:shape>
            <v:shape id="_x0000_s1083" type="#_x0000_t202" style="position:absolute;left:7535;top:2419;width:2005;height:899" strokeweight="1pt">
              <v:textbox>
                <w:txbxContent>
                  <w:p w:rsidR="0009099C" w:rsidRPr="00C76235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76235">
                      <w:rPr>
                        <w:rFonts w:ascii="Times New Roman" w:hAnsi="Times New Roman"/>
                        <w:sz w:val="24"/>
                        <w:szCs w:val="24"/>
                      </w:rPr>
                      <w:t>Себестоимость полуфабриката</w:t>
                    </w:r>
                  </w:p>
                </w:txbxContent>
              </v:textbox>
            </v:shape>
            <v:shape id="_x0000_s1084" type="#_x0000_t202" style="position:absolute;left:7535;top:3525;width:2005;height:1071" strokeweight="1pt">
              <v:textbox>
                <w:txbxContent>
                  <w:p w:rsidR="0009099C" w:rsidRPr="00C76235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76235">
                      <w:rPr>
                        <w:rFonts w:ascii="Times New Roman" w:hAnsi="Times New Roman"/>
                        <w:sz w:val="24"/>
                        <w:szCs w:val="24"/>
                      </w:rPr>
                      <w:t>Себестоимость готовой продукции</w:t>
                    </w:r>
                  </w:p>
                </w:txbxContent>
              </v:textbox>
            </v:shape>
            <v:shape id="_x0000_s1085" type="#_x0000_t202" style="position:absolute;left:3790;top:2327;width:2108;height:415" strokeweight="1pt">
              <v:textbox>
                <w:txbxContent>
                  <w:p w:rsidR="0009099C" w:rsidRPr="00C76235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76235">
                      <w:rPr>
                        <w:rFonts w:ascii="Times New Roman" w:hAnsi="Times New Roman"/>
                        <w:sz w:val="24"/>
                        <w:szCs w:val="24"/>
                      </w:rPr>
                      <w:t>Передел № 1</w:t>
                    </w:r>
                  </w:p>
                </w:txbxContent>
              </v:textbox>
            </v:shape>
            <v:shape id="_x0000_s1086" type="#_x0000_t202" style="position:absolute;left:4194;top:2949;width:2108;height:451" strokeweight="1pt">
              <v:textbox style="mso-next-textbox:#_x0000_s1086">
                <w:txbxContent>
                  <w:p w:rsidR="0009099C" w:rsidRPr="00C76235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76235">
                      <w:rPr>
                        <w:rFonts w:ascii="Times New Roman" w:hAnsi="Times New Roman"/>
                        <w:sz w:val="24"/>
                        <w:szCs w:val="24"/>
                      </w:rPr>
                      <w:t>Передел № 2</w:t>
                    </w:r>
                  </w:p>
                </w:txbxContent>
              </v:textbox>
            </v:shape>
            <v:shape id="_x0000_s1087" type="#_x0000_t202" style="position:absolute;left:4562;top:3617;width:2108;height:426" strokeweight="1pt">
              <v:textbox style="mso-next-textbox:#_x0000_s1087">
                <w:txbxContent>
                  <w:p w:rsidR="0009099C" w:rsidRPr="00C76235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76235">
                      <w:rPr>
                        <w:rFonts w:ascii="Times New Roman" w:hAnsi="Times New Roman"/>
                        <w:sz w:val="24"/>
                        <w:szCs w:val="24"/>
                      </w:rPr>
                      <w:t>Передел № 3</w:t>
                    </w:r>
                  </w:p>
                </w:txbxContent>
              </v:textbox>
            </v:shape>
            <v:shape id="_x0000_s1088" type="#_x0000_t202" style="position:absolute;left:9781;top:2419;width:967;height:2177" strokeweight="1pt">
              <v:textbox style="layout-flow:vertical;mso-layout-flow-alt:bottom-to-top">
                <w:txbxContent>
                  <w:p w:rsidR="0009099C" w:rsidRPr="00C76235" w:rsidRDefault="0009099C" w:rsidP="00E71FD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t>Продажа готовой продукции</w:t>
                    </w:r>
                  </w:p>
                </w:txbxContent>
              </v:textbox>
            </v:shape>
            <v:shape id="_x0000_s1089" type="#_x0000_t32" style="position:absolute;left:3318;top:2488;width:472;height:0" o:connectortype="straight" strokeweight="1pt">
              <v:stroke endarrow="block"/>
            </v:shape>
            <v:shape id="_x0000_s1090" type="#_x0000_t32" style="position:absolute;left:3318;top:3134;width:876;height:11" o:connectortype="straight" strokeweight="1pt">
              <v:stroke endarrow="block"/>
            </v:shape>
            <v:shape id="_x0000_s1091" type="#_x0000_t32" style="position:absolute;left:3318;top:3825;width:1244;height:0" o:connectortype="straight" strokeweight="1pt">
              <v:stroke endarrow="block"/>
            </v:shape>
            <v:shape id="_x0000_s1092" type="#_x0000_t32" style="position:absolute;left:4562;top:2742;width:288;height:207" o:connectortype="straight" strokeweight="1pt">
              <v:stroke endarrow="block"/>
            </v:shape>
            <v:shape id="_x0000_s1093" type="#_x0000_t32" style="position:absolute;left:5081;top:3400;width:310;height:217" o:connectortype="straight" strokeweight="1pt">
              <v:stroke endarrow="block"/>
            </v:shape>
            <v:shape id="_x0000_s1094" type="#_x0000_t32" style="position:absolute;left:7004;top:2108;width:0;height:2258" o:connectortype="straight" strokeweight="1pt"/>
            <v:shape id="_x0000_s1095" type="#_x0000_t32" style="position:absolute;left:9540;top:2822;width:241;height:0" o:connectortype="straight" strokeweight="1pt">
              <v:stroke endarrow="block"/>
            </v:shape>
            <v:shape id="_x0000_s1096" type="#_x0000_t32" style="position:absolute;left:9540;top:3963;width:241;height:11" o:connectortype="straight" strokeweight="1pt">
              <v:stroke endarrow="block"/>
            </v:shape>
            <v:shape id="_x0000_s1097" type="#_x0000_t32" style="position:absolute;left:5898;top:2546;width:1637;height:34" o:connectortype="straight" strokeweight="1pt">
              <v:stroke endarrow="block"/>
            </v:shape>
            <v:shape id="_x0000_s1098" type="#_x0000_t32" style="position:absolute;left:6302;top:3145;width:1233;height:0" o:connectortype="straight" strokeweight="1pt">
              <v:stroke endarrow="block"/>
            </v:shape>
            <v:shape id="_x0000_s1099" type="#_x0000_t32" style="position:absolute;left:6670;top:3825;width:865;height:0" o:connectortype="straight" strokeweight="1pt">
              <v:stroke endarrow="block"/>
            </v:shape>
            <v:shape id="_x0000_s1100" type="#_x0000_t32" style="position:absolute;left:7004;top:4366;width:531;height:0" o:connectortype="straight" strokeweight="1pt">
              <v:stroke endarrow="block"/>
            </v:shape>
            <v:shape id="_x0000_s1101" type="#_x0000_t32" style="position:absolute;left:2155;top:1256;width:8766;height:0" o:connectortype="straight" strokeweight="1pt"/>
            <v:shape id="_x0000_s1102" type="#_x0000_t32" style="position:absolute;left:2154;top:1256;width:1;height:3421" o:connectortype="straight" strokeweight="1pt"/>
            <v:shape id="_x0000_s1103" type="#_x0000_t32" style="position:absolute;left:2155;top:4677;width:8766;height:58" o:connectortype="straight" strokeweight="1pt"/>
            <v:shape id="_x0000_s1104" type="#_x0000_t32" style="position:absolute;left:10922;top:1256;width:0;height:3479" o:connectortype="straight" strokeweight="1pt"/>
          </v:group>
        </w:pict>
      </w:r>
      <w:r>
        <w:rPr>
          <w:rFonts w:ascii="Times New Roman" w:hAnsi="Times New Roman"/>
          <w:sz w:val="28"/>
          <w:szCs w:val="28"/>
        </w:rPr>
        <w:tab/>
      </w:r>
    </w:p>
    <w:p w:rsidR="0009099C" w:rsidRDefault="0009099C" w:rsidP="00E71FD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E71FD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 – Попередельный метод учета затрат</w:t>
      </w:r>
    </w:p>
    <w:p w:rsidR="0009099C" w:rsidRDefault="0009099C" w:rsidP="00E71FD3">
      <w:pPr>
        <w:jc w:val="both"/>
        <w:rPr>
          <w:rFonts w:ascii="Times New Roman" w:hAnsi="Times New Roman"/>
          <w:sz w:val="28"/>
          <w:szCs w:val="28"/>
        </w:rPr>
      </w:pPr>
    </w:p>
    <w:p w:rsidR="0009099C" w:rsidRPr="00D7082C" w:rsidRDefault="0009099C" w:rsidP="001021B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82C">
        <w:rPr>
          <w:rFonts w:ascii="Times New Roman" w:hAnsi="Times New Roman"/>
          <w:sz w:val="28"/>
          <w:szCs w:val="28"/>
        </w:rPr>
        <w:t>Фактическая себестоимость продукции определяется ежемесячно путем деления общей суммы затрат на количество выпущенной продукции по переделу. В соответствии с полученными данными по переделам и составляются калькуляции себестоимости продукции (полуфабрикатов). Калькуляция последнего передела является калькуляцией себестоимости готовой продукции</w:t>
      </w:r>
      <w:r w:rsidRPr="000F6062">
        <w:rPr>
          <w:rFonts w:ascii="Times New Roman" w:hAnsi="Times New Roman"/>
          <w:sz w:val="28"/>
          <w:szCs w:val="28"/>
        </w:rPr>
        <w:t xml:space="preserve"> [1]</w:t>
      </w:r>
      <w:r w:rsidRPr="00D7082C">
        <w:rPr>
          <w:rFonts w:ascii="Times New Roman" w:hAnsi="Times New Roman"/>
          <w:sz w:val="28"/>
          <w:szCs w:val="28"/>
        </w:rPr>
        <w:t>.</w:t>
      </w:r>
    </w:p>
    <w:p w:rsidR="0009099C" w:rsidRPr="00D7082C" w:rsidRDefault="0009099C" w:rsidP="001021B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82C">
        <w:rPr>
          <w:rFonts w:ascii="Times New Roman" w:hAnsi="Times New Roman"/>
          <w:sz w:val="28"/>
          <w:szCs w:val="28"/>
        </w:rPr>
        <w:t>Применяются два варианта попередельного метода учета затрат на производство и калькулирования себестоимости продукции: полуфабрикатный и бесполуфабрикатный.</w:t>
      </w:r>
    </w:p>
    <w:p w:rsidR="0009099C" w:rsidRPr="00D7082C" w:rsidRDefault="0009099C" w:rsidP="00D7082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82C">
        <w:rPr>
          <w:rFonts w:ascii="Times New Roman" w:hAnsi="Times New Roman"/>
          <w:sz w:val="28"/>
          <w:szCs w:val="28"/>
        </w:rPr>
        <w:t>При полуфабрикатном варианте прямые затраты учитываются по каждо</w:t>
      </w:r>
      <w:r>
        <w:rPr>
          <w:rFonts w:ascii="Times New Roman" w:hAnsi="Times New Roman"/>
          <w:sz w:val="28"/>
          <w:szCs w:val="28"/>
        </w:rPr>
        <w:t>му переделу, а внутри передела - по видам продукции, косвенные -</w:t>
      </w:r>
      <w:r w:rsidRPr="00D7082C">
        <w:rPr>
          <w:rFonts w:ascii="Times New Roman" w:hAnsi="Times New Roman"/>
          <w:sz w:val="28"/>
          <w:szCs w:val="28"/>
        </w:rPr>
        <w:t xml:space="preserve"> в целом по производству с распределением между переделами в установленном на предприятии порядке. Себестоимость определяется по каждому переделу, а по в</w:t>
      </w:r>
      <w:r>
        <w:rPr>
          <w:rFonts w:ascii="Times New Roman" w:hAnsi="Times New Roman"/>
          <w:sz w:val="28"/>
          <w:szCs w:val="28"/>
        </w:rPr>
        <w:t>идам продукции внутри передела -</w:t>
      </w:r>
      <w:r w:rsidRPr="00D7082C">
        <w:rPr>
          <w:rFonts w:ascii="Times New Roman" w:hAnsi="Times New Roman"/>
          <w:sz w:val="28"/>
          <w:szCs w:val="28"/>
        </w:rPr>
        <w:t xml:space="preserve"> коэффициентным методом или способом исключения затрат на сопутствующую продукцию.</w:t>
      </w:r>
    </w:p>
    <w:p w:rsidR="0009099C" w:rsidRDefault="0009099C" w:rsidP="00D7082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82C">
        <w:rPr>
          <w:rFonts w:ascii="Times New Roman" w:hAnsi="Times New Roman"/>
          <w:sz w:val="28"/>
          <w:szCs w:val="28"/>
        </w:rPr>
        <w:t>При бесполуфабрикатном варианте калькулируется только себестоимость готового продукта, которая состоит из затрат на сырье (материалы), расходов па заработную плату в начальном переделе и затрат на обработку в последующих переделах.</w:t>
      </w:r>
    </w:p>
    <w:p w:rsidR="0009099C" w:rsidRDefault="0009099C" w:rsidP="006969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Традиционные калькуляционные системы (позаказный, попередельный, нормативный методы, «директ-костинг») продолжают функционировать, но их возможности не могут в полной мере удовлетворить требования управления </w:t>
      </w:r>
      <w:r>
        <w:rPr>
          <w:rFonts w:ascii="Times New Roman" w:hAnsi="Times New Roman"/>
          <w:sz w:val="28"/>
          <w:szCs w:val="28"/>
        </w:rPr>
        <w:t>экономическим агентом рынка в изменившихся условиях</w:t>
      </w:r>
      <w:r w:rsidRPr="00C90973">
        <w:rPr>
          <w:rFonts w:ascii="Times New Roman" w:hAnsi="Times New Roman"/>
          <w:sz w:val="28"/>
          <w:szCs w:val="28"/>
        </w:rPr>
        <w:t xml:space="preserve"> [</w:t>
      </w:r>
      <w:r w:rsidRPr="006C18EE">
        <w:rPr>
          <w:rFonts w:ascii="Times New Roman" w:hAnsi="Times New Roman"/>
          <w:sz w:val="28"/>
          <w:szCs w:val="28"/>
        </w:rPr>
        <w:t>4]</w:t>
      </w:r>
      <w:r>
        <w:rPr>
          <w:rFonts w:ascii="Times New Roman" w:hAnsi="Times New Roman"/>
          <w:sz w:val="28"/>
          <w:szCs w:val="28"/>
        </w:rPr>
        <w:t>.</w:t>
      </w:r>
    </w:p>
    <w:p w:rsidR="0009099C" w:rsidRPr="005B17C3" w:rsidRDefault="0009099C" w:rsidP="00D7082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Рассмотрим шесть современных систем </w:t>
      </w:r>
      <w:r>
        <w:rPr>
          <w:rFonts w:ascii="Times New Roman" w:hAnsi="Times New Roman"/>
          <w:sz w:val="28"/>
          <w:szCs w:val="28"/>
        </w:rPr>
        <w:t xml:space="preserve">учета затрат и </w:t>
      </w:r>
      <w:r w:rsidRPr="005B17C3">
        <w:rPr>
          <w:rFonts w:ascii="Times New Roman" w:hAnsi="Times New Roman"/>
          <w:sz w:val="28"/>
          <w:szCs w:val="28"/>
        </w:rPr>
        <w:t>калькулирования себестоимости, которые дополняют возможности традиционных методов, а также обеспечивают преимущества и ключевые факто</w:t>
      </w:r>
      <w:r>
        <w:rPr>
          <w:rFonts w:ascii="Times New Roman" w:hAnsi="Times New Roman"/>
          <w:sz w:val="28"/>
          <w:szCs w:val="28"/>
        </w:rPr>
        <w:t>ры успеха в конкурентной среде.</w:t>
      </w:r>
    </w:p>
    <w:p w:rsidR="0009099C" w:rsidRPr="005B17C3" w:rsidRDefault="0009099C" w:rsidP="001021B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>В 80-х годах XX в. теория и практика калькулирования стали стремительно развиваться в связи с возросшей конкуренцией, усилением неопределенности внешней среды и рисками хозяйствования. Появились принципиально новые методы, расширился круг объектов калькулирования и показателей себестоимости. Наряду с показателями себестоимости единицы продукции и определенной совокупности продуктов востребована информация о себестоимости нетрадиционных объектов калькулирования, таки</w:t>
      </w:r>
      <w:r>
        <w:rPr>
          <w:rFonts w:ascii="Times New Roman" w:hAnsi="Times New Roman"/>
          <w:sz w:val="28"/>
          <w:szCs w:val="28"/>
        </w:rPr>
        <w:t>х как операция, бизнес-процесс, жизненный цикл продукта и др.</w:t>
      </w:r>
    </w:p>
    <w:p w:rsidR="0009099C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>Расширяется практика подготовки текущей управленческой отчетности на основе переменных затрат и нормативного учета. Актуальность последнего усиливается в связи не только с потребностями оперативного управления деятельностью, но и с положениями МСФО 2 «Запасы», в соответствии с которыми применение системы «стандарт-кост» разрешено в финансовом учете, а сверхнормативные</w:t>
      </w:r>
      <w:r>
        <w:rPr>
          <w:rFonts w:ascii="Times New Roman" w:hAnsi="Times New Roman"/>
          <w:sz w:val="28"/>
          <w:szCs w:val="28"/>
        </w:rPr>
        <w:t xml:space="preserve"> отклонения декапитализируются. Передовая экономическая мысль в настоящее время сосредоточена на решении проблем глобализации экономики, локализации негативного воздействия конкурентной борьбы на развитие производства, развитии учетно-аналитических кластеров, обеспечивающих сингулярный поворот в управлении запасами и затратами, которые в дальнейшем обеспечат гораздо более высокий уровень качество производства продукции, работ и услуг. При этом доминирующей концепцией такого развития определена калькуляционная концепция информационного обеспечения управления экономикой.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>Наиболее широким спектром возможностей обладает калькуляционная система «АВ-костинг» (activity-basedcosting). В сочетании с традиционными методами она повышает надежность калькулирования полной себестоимости; обеспечивает несколько ключевых факторов успеха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5B17C3">
        <w:rPr>
          <w:rFonts w:ascii="Times New Roman" w:hAnsi="Times New Roman"/>
          <w:sz w:val="28"/>
          <w:szCs w:val="28"/>
        </w:rPr>
        <w:t xml:space="preserve"> ориентирована не только на производство, но и на рынок; без нее невозможно применение других новейших систем калькулирования, таких как таргет-костинг, калькулирован</w:t>
      </w:r>
      <w:r>
        <w:rPr>
          <w:rFonts w:ascii="Times New Roman" w:hAnsi="Times New Roman"/>
          <w:sz w:val="28"/>
          <w:szCs w:val="28"/>
        </w:rPr>
        <w:t>ие по стадиям жизненного цикла</w:t>
      </w:r>
      <w:r w:rsidRPr="00C90973">
        <w:rPr>
          <w:rFonts w:ascii="Times New Roman" w:hAnsi="Times New Roman"/>
          <w:sz w:val="28"/>
          <w:szCs w:val="28"/>
        </w:rPr>
        <w:t xml:space="preserve"> [3]</w:t>
      </w:r>
      <w:r>
        <w:rPr>
          <w:rFonts w:ascii="Times New Roman" w:hAnsi="Times New Roman"/>
          <w:sz w:val="28"/>
          <w:szCs w:val="28"/>
        </w:rPr>
        <w:t>.</w:t>
      </w:r>
    </w:p>
    <w:p w:rsidR="0009099C" w:rsidRPr="005B17C3" w:rsidRDefault="0009099C" w:rsidP="001021B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В основе калькуляционной системы «АВ-костинг» лежит принципиально иной подход к формированию себестоимости продукции </w:t>
      </w:r>
      <w:r>
        <w:rPr>
          <w:rFonts w:ascii="Times New Roman" w:hAnsi="Times New Roman"/>
          <w:sz w:val="28"/>
          <w:szCs w:val="28"/>
        </w:rPr>
        <w:t>коммерческими организациями</w:t>
      </w:r>
      <w:r w:rsidRPr="005B17C3">
        <w:rPr>
          <w:rFonts w:ascii="Times New Roman" w:hAnsi="Times New Roman"/>
          <w:sz w:val="28"/>
          <w:szCs w:val="28"/>
        </w:rPr>
        <w:t xml:space="preserve"> с высоким удельным весом косвенных затрат </w:t>
      </w:r>
      <w:r>
        <w:rPr>
          <w:rFonts w:ascii="Times New Roman" w:hAnsi="Times New Roman"/>
          <w:sz w:val="28"/>
          <w:szCs w:val="28"/>
        </w:rPr>
        <w:t>-</w:t>
      </w:r>
      <w:r w:rsidRPr="005B17C3">
        <w:rPr>
          <w:rFonts w:ascii="Times New Roman" w:hAnsi="Times New Roman"/>
          <w:sz w:val="28"/>
          <w:szCs w:val="28"/>
        </w:rPr>
        <w:t xml:space="preserve"> их распределение на основе установления причинно-следственных связей с включением в расчеты промежуточного объекта калькулирования </w:t>
      </w:r>
      <w:r>
        <w:rPr>
          <w:rFonts w:ascii="Times New Roman" w:hAnsi="Times New Roman"/>
          <w:sz w:val="28"/>
          <w:szCs w:val="28"/>
        </w:rPr>
        <w:t xml:space="preserve">–технологической </w:t>
      </w:r>
      <w:r w:rsidRPr="005B17C3">
        <w:rPr>
          <w:rFonts w:ascii="Times New Roman" w:hAnsi="Times New Roman"/>
          <w:sz w:val="28"/>
          <w:szCs w:val="28"/>
        </w:rPr>
        <w:t xml:space="preserve">операции. Данный подход позволяет получать показатель себестоимости операции, а в итоге учетного процесса </w:t>
      </w:r>
      <w:r>
        <w:rPr>
          <w:rFonts w:ascii="Times New Roman" w:hAnsi="Times New Roman"/>
          <w:sz w:val="28"/>
          <w:szCs w:val="28"/>
        </w:rPr>
        <w:t>-</w:t>
      </w:r>
      <w:r w:rsidRPr="005B17C3">
        <w:rPr>
          <w:rFonts w:ascii="Times New Roman" w:hAnsi="Times New Roman"/>
          <w:sz w:val="28"/>
          <w:szCs w:val="28"/>
        </w:rPr>
        <w:t xml:space="preserve"> более надежные показатели фактической и плановой себестоимости продукции. В связи с этим система «АВ-костинг», разработанная как улучшающая методологию традиционного калькулирования, развилась в уникальную калькуляционную систему, обеспечивающую широкий спектр управленческих решений собственным </w:t>
      </w:r>
      <w:r>
        <w:rPr>
          <w:rFonts w:ascii="Times New Roman" w:hAnsi="Times New Roman"/>
          <w:sz w:val="28"/>
          <w:szCs w:val="28"/>
        </w:rPr>
        <w:t xml:space="preserve">готовым </w:t>
      </w:r>
      <w:r w:rsidRPr="005B17C3">
        <w:rPr>
          <w:rFonts w:ascii="Times New Roman" w:hAnsi="Times New Roman"/>
          <w:sz w:val="28"/>
          <w:szCs w:val="28"/>
        </w:rPr>
        <w:t xml:space="preserve">продуктом. Показатель «себестоимость </w:t>
      </w:r>
      <w:r>
        <w:rPr>
          <w:rFonts w:ascii="Times New Roman" w:hAnsi="Times New Roman"/>
          <w:sz w:val="28"/>
          <w:szCs w:val="28"/>
        </w:rPr>
        <w:t xml:space="preserve">технологической </w:t>
      </w:r>
      <w:r w:rsidRPr="005B17C3">
        <w:rPr>
          <w:rFonts w:ascii="Times New Roman" w:hAnsi="Times New Roman"/>
          <w:sz w:val="28"/>
          <w:szCs w:val="28"/>
        </w:rPr>
        <w:t>операции» открывает возможность управления затратами через реинжиниринг бизнес-процессов. Показатель «себестоимости бизнес-процессов» создает информационную основу для оптимизации диве</w:t>
      </w:r>
      <w:r>
        <w:rPr>
          <w:rFonts w:ascii="Times New Roman" w:hAnsi="Times New Roman"/>
          <w:sz w:val="28"/>
          <w:szCs w:val="28"/>
        </w:rPr>
        <w:t>рсификации деятельности. В </w:t>
      </w:r>
      <w:r w:rsidRPr="005B17C3">
        <w:rPr>
          <w:rFonts w:ascii="Times New Roman" w:hAnsi="Times New Roman"/>
          <w:sz w:val="28"/>
          <w:szCs w:val="28"/>
        </w:rPr>
        <w:t>случае матричной организационной структуры управления обеспечивается оценка деятельности руководителей бизнес-процессов</w:t>
      </w:r>
      <w:r>
        <w:rPr>
          <w:rFonts w:ascii="Times New Roman" w:hAnsi="Times New Roman"/>
          <w:sz w:val="28"/>
          <w:szCs w:val="28"/>
        </w:rPr>
        <w:t xml:space="preserve"> по центрам ответственности</w:t>
      </w:r>
      <w:r w:rsidRPr="005B17C3">
        <w:rPr>
          <w:rFonts w:ascii="Times New Roman" w:hAnsi="Times New Roman"/>
          <w:sz w:val="28"/>
          <w:szCs w:val="28"/>
        </w:rPr>
        <w:t>. Показатель «себестоимость процессов продаж по отдельным покупателям» позволяет определять рентабельность этих продаж и ведет к созданию эффективной сети дистрибуции</w:t>
      </w:r>
      <w:r>
        <w:rPr>
          <w:rFonts w:ascii="Times New Roman" w:hAnsi="Times New Roman"/>
          <w:sz w:val="28"/>
          <w:szCs w:val="28"/>
        </w:rPr>
        <w:t xml:space="preserve"> по центрам прибыли</w:t>
      </w:r>
      <w:r w:rsidRPr="00C90973">
        <w:rPr>
          <w:rFonts w:ascii="Times New Roman" w:hAnsi="Times New Roman"/>
          <w:sz w:val="28"/>
          <w:szCs w:val="28"/>
        </w:rPr>
        <w:t xml:space="preserve"> [1]</w:t>
      </w:r>
      <w:r>
        <w:rPr>
          <w:rFonts w:ascii="Times New Roman" w:hAnsi="Times New Roman"/>
          <w:sz w:val="28"/>
          <w:szCs w:val="28"/>
        </w:rPr>
        <w:t>.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>Для обеспечения управленческих решений в части</w:t>
      </w:r>
      <w:r w:rsidRPr="002611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планируемого к производству готового</w:t>
      </w:r>
      <w:r w:rsidRPr="005B17C3">
        <w:rPr>
          <w:rFonts w:ascii="Times New Roman" w:hAnsi="Times New Roman"/>
          <w:sz w:val="28"/>
          <w:szCs w:val="28"/>
        </w:rPr>
        <w:t xml:space="preserve"> продукта, доведения себестоимости до заданных параметров создана калькуляционная система «таргет-костинг». Ее продуктом является прогнозная себестоимость проектируемого или улучшаемого изделия в соответствии с целевыми параметрами. Задаются границы будущей цены и размер нормы прибыли изделия, исходя из которых осуществляют поиск конструкции, материалов, технологии, позволяющих выйти на необходимую величину затрат. Данная калькуляционная система эффективна в сочетании с функ</w:t>
      </w:r>
      <w:r>
        <w:rPr>
          <w:rFonts w:ascii="Times New Roman" w:hAnsi="Times New Roman"/>
          <w:sz w:val="28"/>
          <w:szCs w:val="28"/>
        </w:rPr>
        <w:t>ционально-стоимостным анализом.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«Кайзен-костинг» </w:t>
      </w:r>
      <w:r>
        <w:rPr>
          <w:rFonts w:ascii="Times New Roman" w:hAnsi="Times New Roman"/>
          <w:sz w:val="28"/>
          <w:szCs w:val="28"/>
        </w:rPr>
        <w:t>-</w:t>
      </w:r>
      <w:r w:rsidRPr="005B17C3">
        <w:rPr>
          <w:rFonts w:ascii="Times New Roman" w:hAnsi="Times New Roman"/>
          <w:sz w:val="28"/>
          <w:szCs w:val="28"/>
        </w:rPr>
        <w:t xml:space="preserve"> система калькулирования, направленная на постепенное усовершенствование качества, бизнес-процессов, снижение затрат. Термин «кайзен» заимствован из японской экономики и означает постоянное усовершенствование. Основная функция системы «кайзен-костинг» заключается в минимизации разницы между расчетной (после завершения проектирования) и фактической себестоимостями </w:t>
      </w:r>
      <w:r>
        <w:rPr>
          <w:rFonts w:ascii="Times New Roman" w:hAnsi="Times New Roman"/>
          <w:sz w:val="28"/>
          <w:szCs w:val="28"/>
        </w:rPr>
        <w:t xml:space="preserve">готового </w:t>
      </w:r>
      <w:r w:rsidRPr="005B17C3">
        <w:rPr>
          <w:rFonts w:ascii="Times New Roman" w:hAnsi="Times New Roman"/>
          <w:sz w:val="28"/>
          <w:szCs w:val="28"/>
        </w:rPr>
        <w:t>продукта по отдельным статьям затрат. Систему калькулирования «кайзен-костинг» используют как для бюджетных расчетов, так и для калькулирования факти</w:t>
      </w:r>
      <w:r>
        <w:rPr>
          <w:rFonts w:ascii="Times New Roman" w:hAnsi="Times New Roman"/>
          <w:sz w:val="28"/>
          <w:szCs w:val="28"/>
        </w:rPr>
        <w:t>ческой себестоимости продукции</w:t>
      </w:r>
      <w:r w:rsidRPr="00C90973">
        <w:rPr>
          <w:rFonts w:ascii="Times New Roman" w:hAnsi="Times New Roman"/>
          <w:sz w:val="28"/>
          <w:szCs w:val="28"/>
        </w:rPr>
        <w:t xml:space="preserve"> [6]</w:t>
      </w:r>
      <w:r>
        <w:rPr>
          <w:rFonts w:ascii="Times New Roman" w:hAnsi="Times New Roman"/>
          <w:sz w:val="28"/>
          <w:szCs w:val="28"/>
        </w:rPr>
        <w:t>.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Если система «таргет-костинг» нацелена на доведение себестоимости продукта до заданного уровня в процессе его разработки, то «кайзен-костинг» </w:t>
      </w:r>
      <w:r>
        <w:rPr>
          <w:rFonts w:ascii="Times New Roman" w:hAnsi="Times New Roman"/>
          <w:sz w:val="28"/>
          <w:szCs w:val="28"/>
        </w:rPr>
        <w:t>-</w:t>
      </w:r>
      <w:r w:rsidRPr="005B17C3">
        <w:rPr>
          <w:rFonts w:ascii="Times New Roman" w:hAnsi="Times New Roman"/>
          <w:sz w:val="28"/>
          <w:szCs w:val="28"/>
        </w:rPr>
        <w:t xml:space="preserve"> отдельных статей затрат и себестоимости в целом в процессе производства. Обе калькуляционные системы могут использоваться в управленческом учете, как во взаимосвязи, так и автономно. Чаще всего их применяют именно во взаимосвязи. Прогнозное калькулирование себестоимости начинается в системе «таргет-костинг», затем калькулирование (уже фактических затрат) продолжается в системе «кайзен-костинг». Вместе обе системы дают </w:t>
      </w:r>
      <w:r>
        <w:rPr>
          <w:rFonts w:ascii="Times New Roman" w:hAnsi="Times New Roman"/>
          <w:sz w:val="28"/>
          <w:szCs w:val="28"/>
        </w:rPr>
        <w:t>экономическому агенту рынка</w:t>
      </w:r>
      <w:r w:rsidRPr="005B17C3">
        <w:rPr>
          <w:rFonts w:ascii="Times New Roman" w:hAnsi="Times New Roman"/>
          <w:sz w:val="28"/>
          <w:szCs w:val="28"/>
        </w:rPr>
        <w:t xml:space="preserve">весьма ценное конкурентное преимущество, состоящее в достижении более низкого, чем у конкурентов, уровня себестоимости и возможности выбирать удобную ценовую политику для захвата или удержания соответствующих секторов рынка. 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Калькулирование себестоимости по стадиям жизненного цикла продукта (в двух временных разрезах </w:t>
      </w:r>
      <w:r>
        <w:rPr>
          <w:rFonts w:ascii="Times New Roman" w:hAnsi="Times New Roman"/>
          <w:sz w:val="28"/>
          <w:szCs w:val="28"/>
        </w:rPr>
        <w:t>-</w:t>
      </w:r>
      <w:r w:rsidRPr="005B17C3">
        <w:rPr>
          <w:rFonts w:ascii="Times New Roman" w:hAnsi="Times New Roman"/>
          <w:sz w:val="28"/>
          <w:szCs w:val="28"/>
        </w:rPr>
        <w:t xml:space="preserve"> прошлое и будущее) позволяет учитывать и оценивать затраты каждого производимого продукта от стадии научно-технической разработки и до периода, когда </w:t>
      </w:r>
      <w:r>
        <w:rPr>
          <w:rFonts w:ascii="Times New Roman" w:hAnsi="Times New Roman"/>
          <w:sz w:val="28"/>
          <w:szCs w:val="28"/>
        </w:rPr>
        <w:t>хозяйствующий субъект</w:t>
      </w:r>
      <w:r w:rsidRPr="005B17C3">
        <w:rPr>
          <w:rFonts w:ascii="Times New Roman" w:hAnsi="Times New Roman"/>
          <w:sz w:val="28"/>
          <w:szCs w:val="28"/>
        </w:rPr>
        <w:t xml:space="preserve"> прекращает сервисное обслуживание своего продукта у покупателей. Объектом калькулирования выступает жизненный цикл продукта (например, при производстве компьютеров) или отдельные его стадии (характерно для автомобилестроения). В ситуации, когда большая часть общих затрат жизненного цикла приходится на период до начала производства и получения выручки от продажи, чрезвычайно важен момент установления уровня будущих доходов и затрат, поскольку расчеты во многом обосновывают принятие решения о начале разработки нового продукта. При проектировании продуктов с длительным жизненным циклом, калькулирование осущ</w:t>
      </w:r>
      <w:r>
        <w:rPr>
          <w:rFonts w:ascii="Times New Roman" w:hAnsi="Times New Roman"/>
          <w:sz w:val="28"/>
          <w:szCs w:val="28"/>
        </w:rPr>
        <w:t>ествляется по отдельным стадиям</w:t>
      </w:r>
      <w:r w:rsidRPr="00C90973">
        <w:rPr>
          <w:rFonts w:ascii="Times New Roman" w:hAnsi="Times New Roman"/>
          <w:sz w:val="28"/>
          <w:szCs w:val="28"/>
        </w:rPr>
        <w:t xml:space="preserve"> [1]</w:t>
      </w:r>
      <w:r>
        <w:rPr>
          <w:rFonts w:ascii="Times New Roman" w:hAnsi="Times New Roman"/>
          <w:sz w:val="28"/>
          <w:szCs w:val="28"/>
        </w:rPr>
        <w:t>.</w:t>
      </w:r>
    </w:p>
    <w:p w:rsidR="0009099C" w:rsidRPr="005B17C3" w:rsidRDefault="0009099C" w:rsidP="001021B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Изучение опыта работы </w:t>
      </w:r>
      <w:r>
        <w:rPr>
          <w:rFonts w:ascii="Times New Roman" w:hAnsi="Times New Roman"/>
          <w:sz w:val="28"/>
          <w:szCs w:val="28"/>
        </w:rPr>
        <w:t>коммерческих организаций</w:t>
      </w:r>
      <w:r w:rsidRPr="005B17C3">
        <w:rPr>
          <w:rFonts w:ascii="Times New Roman" w:hAnsi="Times New Roman"/>
          <w:sz w:val="28"/>
          <w:szCs w:val="28"/>
        </w:rPr>
        <w:t xml:space="preserve"> позволяет говорить о том, что при практическом внедрении данной калькуляционной системы </w:t>
      </w:r>
      <w:r>
        <w:rPr>
          <w:rFonts w:ascii="Times New Roman" w:hAnsi="Times New Roman"/>
          <w:sz w:val="28"/>
          <w:szCs w:val="28"/>
        </w:rPr>
        <w:t>российскими предприятиями и организациями</w:t>
      </w:r>
      <w:r w:rsidRPr="005B17C3">
        <w:rPr>
          <w:rFonts w:ascii="Times New Roman" w:hAnsi="Times New Roman"/>
          <w:sz w:val="28"/>
          <w:szCs w:val="28"/>
        </w:rPr>
        <w:t xml:space="preserve"> возникнет потребность в работах по совершенствованию учета общехозяйственных расходов. Методика калькулирования по стадиям жизненного цикла включает в себя учет и производственных, и общехозяйственных расходов, поэтому необходима организация их аналитического учета. Проблема заключается в идентификации затрат, относящихся к конкретному продукту по научно-исследовательским работам, маркетингу, продажам и др. Как правило, </w:t>
      </w:r>
      <w:r>
        <w:rPr>
          <w:rFonts w:ascii="Times New Roman" w:hAnsi="Times New Roman"/>
          <w:sz w:val="28"/>
          <w:szCs w:val="28"/>
        </w:rPr>
        <w:t>в отечественной практике</w:t>
      </w:r>
      <w:r w:rsidRPr="005B17C3">
        <w:rPr>
          <w:rFonts w:ascii="Times New Roman" w:hAnsi="Times New Roman"/>
          <w:sz w:val="28"/>
          <w:szCs w:val="28"/>
        </w:rPr>
        <w:t xml:space="preserve"> затраты на научно-исследовательские разработки, проектирование и дизайн изделия, маркетинг, продажу и оказание сервисных услуг покупателям учитываются на счете 26 «Общехозяйственные расходы» в общих суммах. Аналитических разбивок обычно нет даже по отделам, не говоря уже о продуктах. Если затраты непроизводственного характера значительны, то их необходимо распределять по продуктам с использованием </w:t>
      </w:r>
      <w:r>
        <w:rPr>
          <w:rFonts w:ascii="Times New Roman" w:hAnsi="Times New Roman"/>
          <w:sz w:val="28"/>
          <w:szCs w:val="28"/>
        </w:rPr>
        <w:t>инструментария «АВ-костинга». Следовательно,</w:t>
      </w:r>
      <w:r w:rsidRPr="005B17C3">
        <w:rPr>
          <w:rFonts w:ascii="Times New Roman" w:hAnsi="Times New Roman"/>
          <w:sz w:val="28"/>
          <w:szCs w:val="28"/>
        </w:rPr>
        <w:t xml:space="preserve"> внедрению калькулирования по стадиям жизненного цикла должно предшествовать введение системы «АВ-костинг». Калькулирование по стадиям жизненного цикла имеет области пересечения с функционально-стоимостным анализом, калькуляционной системой «таргет-костинг», традиционными методами калькулирования. Для расчетов прогнозной себестоимости в данной калькуляционной системе можно применять имитационное моделирование, задавая разные варианты входных параметров</w:t>
      </w:r>
      <w:r w:rsidRPr="00C90973">
        <w:rPr>
          <w:rFonts w:ascii="Times New Roman" w:hAnsi="Times New Roman"/>
          <w:sz w:val="28"/>
          <w:szCs w:val="28"/>
        </w:rPr>
        <w:t xml:space="preserve"> [3]</w:t>
      </w:r>
      <w:r w:rsidRPr="005B17C3">
        <w:rPr>
          <w:rFonts w:ascii="Times New Roman" w:hAnsi="Times New Roman"/>
          <w:sz w:val="28"/>
          <w:szCs w:val="28"/>
        </w:rPr>
        <w:t xml:space="preserve">. </w:t>
      </w: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group id="_x0000_s1105" style="position:absolute;left:0;text-align:left;margin-left:75.2pt;margin-top:.4pt;width:353.7pt;height:181.45pt;z-index:251661312" coordorigin="2638,2108" coordsize="7074,3629">
            <v:shape id="_x0000_s1106" type="#_x0000_t202" style="position:absolute;left:2765;top:2246;width:6739;height:542" strokeweight="1pt">
              <v:textbox>
                <w:txbxContent>
                  <w:p w:rsidR="0009099C" w:rsidRPr="00936041" w:rsidRDefault="0009099C" w:rsidP="00936041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936041">
                      <w:rPr>
                        <w:rFonts w:ascii="Times New Roman" w:hAnsi="Times New Roman"/>
                        <w:sz w:val="24"/>
                        <w:szCs w:val="24"/>
                      </w:rPr>
                      <w:t>Выделение базисных бизнес-процессов организации</w:t>
                    </w:r>
                  </w:p>
                </w:txbxContent>
              </v:textbox>
            </v:shape>
            <v:shape id="_x0000_s1107" type="#_x0000_t202" style="position:absolute;left:2765;top:3028;width:6739;height:704" strokeweight="1pt">
              <v:textbox>
                <w:txbxContent>
                  <w:p w:rsidR="0009099C" w:rsidRPr="00936041" w:rsidRDefault="0009099C" w:rsidP="00936041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936041">
                      <w:rPr>
                        <w:rFonts w:ascii="Times New Roman" w:hAnsi="Times New Roman"/>
                        <w:sz w:val="24"/>
                        <w:szCs w:val="24"/>
                      </w:rPr>
                      <w:t>Создание центра затрат для каждого бизнес-процесса</w:t>
                    </w:r>
                  </w:p>
                </w:txbxContent>
              </v:textbox>
            </v:shape>
            <v:shape id="_x0000_s1108" type="#_x0000_t202" style="position:absolute;left:2765;top:3972;width:6739;height:704" strokeweight="1pt">
              <v:textbox>
                <w:txbxContent>
                  <w:p w:rsidR="0009099C" w:rsidRPr="00936041" w:rsidRDefault="0009099C" w:rsidP="00936041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936041">
                      <w:rPr>
                        <w:rFonts w:ascii="Times New Roman" w:hAnsi="Times New Roman"/>
                        <w:sz w:val="24"/>
                        <w:szCs w:val="24"/>
                      </w:rPr>
                      <w:t>Определение драйвера затрат для их распределения по каждому виду деятельности</w:t>
                    </w:r>
                  </w:p>
                </w:txbxContent>
              </v:textbox>
            </v:shape>
            <v:shape id="_x0000_s1109" type="#_x0000_t202" style="position:absolute;left:2832;top:4916;width:6739;height:704" strokeweight="1pt">
              <v:textbox>
                <w:txbxContent>
                  <w:p w:rsidR="0009099C" w:rsidRPr="00936041" w:rsidRDefault="0009099C" w:rsidP="00936041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936041">
                      <w:rPr>
                        <w:rFonts w:ascii="Times New Roman" w:hAnsi="Times New Roman"/>
                        <w:sz w:val="24"/>
                        <w:szCs w:val="24"/>
                      </w:rPr>
                      <w:t>Распределение затрат по каждому виду готовой продукции, работ или услуг</w:t>
                    </w:r>
                  </w:p>
                </w:txbxContent>
              </v:textbox>
            </v:shape>
            <v:shape id="_x0000_s1110" type="#_x0000_t32" style="position:absolute;left:6175;top:2788;width:11;height:240" o:connectortype="straight" strokeweight="1pt">
              <v:stroke endarrow="block"/>
            </v:shape>
            <v:shape id="_x0000_s1111" type="#_x0000_t32" style="position:absolute;left:6186;top:3732;width:0;height:240" o:connectortype="straight" strokeweight="1pt">
              <v:stroke endarrow="block"/>
            </v:shape>
            <v:shape id="_x0000_s1112" type="#_x0000_t32" style="position:absolute;left:6186;top:4676;width:0;height:240" o:connectortype="straight" strokeweight="1pt">
              <v:stroke endarrow="block"/>
            </v:shape>
            <v:shape id="_x0000_s1113" type="#_x0000_t32" style="position:absolute;left:2638;top:2108;width:7004;height:0" o:connectortype="straight" strokeweight="1pt"/>
            <v:shape id="_x0000_s1114" type="#_x0000_t32" style="position:absolute;left:2638;top:2108;width:0;height:3571" o:connectortype="straight" strokeweight="1pt"/>
            <v:shape id="_x0000_s1115" type="#_x0000_t32" style="position:absolute;left:9642;top:2108;width:70;height:3629" o:connectortype="straight" strokeweight="1pt"/>
            <v:shape id="_x0000_s1116" type="#_x0000_t32" style="position:absolute;left:2638;top:5679;width:7074;height:58" o:connectortype="straight" strokeweight="1pt"/>
          </v:group>
        </w:pict>
      </w: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93604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 – Алгоритм процессно-операционного калькулирования</w:t>
      </w:r>
    </w:p>
    <w:p w:rsidR="0009099C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>Специальная система калькулирования «по последней операции» разработана для обеспечения организации производства и управления «точно в срок». Эта система</w:t>
      </w:r>
      <w:r>
        <w:rPr>
          <w:rFonts w:ascii="Times New Roman" w:hAnsi="Times New Roman"/>
          <w:sz w:val="28"/>
          <w:szCs w:val="28"/>
        </w:rPr>
        <w:t xml:space="preserve"> развивается с 80-х годов XX в. С</w:t>
      </w:r>
      <w:r w:rsidRPr="005B17C3">
        <w:rPr>
          <w:rFonts w:ascii="Times New Roman" w:hAnsi="Times New Roman"/>
          <w:sz w:val="28"/>
          <w:szCs w:val="28"/>
        </w:rPr>
        <w:t xml:space="preserve">озданы две ее модификации. Организация производства и управления «точно в срок» осуществляется в целях поддержания конкурентного преимущества «лидерство в издержках». Управленческие решения направлены на то, чтобы максимально снизить непроизводительные затраты, отказаться от операций и процессов, не дающих дополнительных улучшений качества продукции или услуг. Прежде всего </w:t>
      </w:r>
      <w:r>
        <w:rPr>
          <w:rFonts w:ascii="Times New Roman" w:hAnsi="Times New Roman"/>
          <w:sz w:val="28"/>
          <w:szCs w:val="28"/>
        </w:rPr>
        <w:t>хозяйствующими субъектами</w:t>
      </w:r>
      <w:r w:rsidRPr="005B17C3">
        <w:rPr>
          <w:rFonts w:ascii="Times New Roman" w:hAnsi="Times New Roman"/>
          <w:sz w:val="28"/>
          <w:szCs w:val="28"/>
        </w:rPr>
        <w:t>, пр</w:t>
      </w:r>
      <w:r>
        <w:rPr>
          <w:rFonts w:ascii="Times New Roman" w:hAnsi="Times New Roman"/>
          <w:sz w:val="28"/>
          <w:szCs w:val="28"/>
        </w:rPr>
        <w:t>именяющими</w:t>
      </w:r>
      <w:r w:rsidRPr="005B17C3">
        <w:rPr>
          <w:rFonts w:ascii="Times New Roman" w:hAnsi="Times New Roman"/>
          <w:sz w:val="28"/>
          <w:szCs w:val="28"/>
        </w:rPr>
        <w:t xml:space="preserve"> систему «точно в срок», </w:t>
      </w:r>
      <w:r>
        <w:rPr>
          <w:rFonts w:ascii="Times New Roman" w:hAnsi="Times New Roman"/>
          <w:sz w:val="28"/>
          <w:szCs w:val="28"/>
        </w:rPr>
        <w:t>разрабатываются</w:t>
      </w:r>
      <w:r w:rsidRPr="005B17C3">
        <w:rPr>
          <w:rFonts w:ascii="Times New Roman" w:hAnsi="Times New Roman"/>
          <w:sz w:val="28"/>
          <w:szCs w:val="28"/>
        </w:rPr>
        <w:t xml:space="preserve"> мероприятия по снижению зап</w:t>
      </w:r>
      <w:r>
        <w:rPr>
          <w:rFonts w:ascii="Times New Roman" w:hAnsi="Times New Roman"/>
          <w:sz w:val="28"/>
          <w:szCs w:val="28"/>
        </w:rPr>
        <w:t>асов и затрат на внутрихозяйственное</w:t>
      </w:r>
      <w:r w:rsidRPr="005B17C3">
        <w:rPr>
          <w:rFonts w:ascii="Times New Roman" w:hAnsi="Times New Roman"/>
          <w:sz w:val="28"/>
          <w:szCs w:val="28"/>
        </w:rPr>
        <w:t xml:space="preserve"> перемещение грузов. Запасы сырья, материалов и комплектующих изделий, незавершенного производства и готовой продукции существуют на случай, если будут нарушены договорные условия по срокам, качеству, комплектации поставки материалов, а также на случай остановки производственного процесса из-за аварий оборудования, допущенного брака и т.д. На хранение запасов необходимы дополнительные ресурсы на содержание складских помещений, </w:t>
      </w:r>
      <w:r>
        <w:rPr>
          <w:rFonts w:ascii="Times New Roman" w:hAnsi="Times New Roman"/>
          <w:sz w:val="28"/>
          <w:szCs w:val="28"/>
        </w:rPr>
        <w:t xml:space="preserve">их охрану, </w:t>
      </w:r>
      <w:r w:rsidRPr="005B17C3">
        <w:rPr>
          <w:rFonts w:ascii="Times New Roman" w:hAnsi="Times New Roman"/>
          <w:sz w:val="28"/>
          <w:szCs w:val="28"/>
        </w:rPr>
        <w:t>оплату труда кладовщиков. Могут возникнуть потери и в процессе хранения. При системе «точно в срок» все эти расходы должны быть сведены к минимуму.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>Для системы управления «точно в срок» важны три ключевых аспекта</w:t>
      </w:r>
      <w:r>
        <w:rPr>
          <w:rFonts w:ascii="Times New Roman" w:hAnsi="Times New Roman"/>
          <w:sz w:val="28"/>
          <w:szCs w:val="28"/>
        </w:rPr>
        <w:t>, а именно</w:t>
      </w:r>
      <w:r w:rsidRPr="005B17C3">
        <w:rPr>
          <w:rFonts w:ascii="Times New Roman" w:hAnsi="Times New Roman"/>
          <w:sz w:val="28"/>
          <w:szCs w:val="28"/>
        </w:rPr>
        <w:t>: организация бизнес-процессов, способствующая приближению совокупных затрат к величине затрат на обработку; сплошной контроль качества; организация материального потока с ориентацией на спрос п</w:t>
      </w:r>
      <w:r>
        <w:rPr>
          <w:rFonts w:ascii="Times New Roman" w:hAnsi="Times New Roman"/>
          <w:sz w:val="28"/>
          <w:szCs w:val="28"/>
        </w:rPr>
        <w:t>окупателя (принцип втягивания)</w:t>
      </w:r>
      <w:r w:rsidRPr="00C90973">
        <w:rPr>
          <w:rFonts w:ascii="Times New Roman" w:hAnsi="Times New Roman"/>
          <w:sz w:val="28"/>
          <w:szCs w:val="28"/>
        </w:rPr>
        <w:t xml:space="preserve"> [2]</w:t>
      </w:r>
      <w:r>
        <w:rPr>
          <w:rFonts w:ascii="Times New Roman" w:hAnsi="Times New Roman"/>
          <w:sz w:val="28"/>
          <w:szCs w:val="28"/>
        </w:rPr>
        <w:t>.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Система калькулирования «по последней операции» создана для информационного обеспечения управления </w:t>
      </w:r>
      <w:r>
        <w:rPr>
          <w:rFonts w:ascii="Times New Roman" w:hAnsi="Times New Roman"/>
          <w:sz w:val="28"/>
          <w:szCs w:val="28"/>
        </w:rPr>
        <w:t>производством «точно в срок». В </w:t>
      </w:r>
      <w:r w:rsidRPr="005B17C3">
        <w:rPr>
          <w:rFonts w:ascii="Times New Roman" w:hAnsi="Times New Roman"/>
          <w:sz w:val="28"/>
          <w:szCs w:val="28"/>
        </w:rPr>
        <w:t>рамках калькулирования «по последней операции» есть модификации, в основе которых лежит принцип устранения избыточной информации для управления. В связи с минимизацией расход</w:t>
      </w:r>
      <w:r>
        <w:rPr>
          <w:rFonts w:ascii="Times New Roman" w:hAnsi="Times New Roman"/>
          <w:sz w:val="28"/>
          <w:szCs w:val="28"/>
        </w:rPr>
        <w:t>ов на хранение и внутрихозяйственную</w:t>
      </w:r>
      <w:r w:rsidRPr="005B17C3">
        <w:rPr>
          <w:rFonts w:ascii="Times New Roman" w:hAnsi="Times New Roman"/>
          <w:sz w:val="28"/>
          <w:szCs w:val="28"/>
        </w:rPr>
        <w:t xml:space="preserve"> транспортировку становятся нерелевантными данные бухгалтерского учета по всем стадиям движения материального потока, как следствие, вносятся изменения в рабочий план счетов; сок</w:t>
      </w:r>
      <w:r>
        <w:rPr>
          <w:rFonts w:ascii="Times New Roman" w:hAnsi="Times New Roman"/>
          <w:sz w:val="28"/>
          <w:szCs w:val="28"/>
        </w:rPr>
        <w:t>ращается число учетных записей.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Варианты калькулирования в системе «точно в срок»: 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не учитываются операции, связанные с движением и наличием материалов на складах; 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не учитываются операции, связанные с отпуском на производство материалов и выпуском готовой продукции; 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не учитываются операции, связанные с движением и наличием материалов на складах; учет затрат в процессе производства; учет операций, связанных с выпуском готовой продукции. Калькулирование себестоимости начинается только при отгрузке продукции покупателю. 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Для всех трех вариантов характерно отсутствие обособления статьи затрат, связанной с отражением </w:t>
      </w:r>
      <w:r>
        <w:rPr>
          <w:rFonts w:ascii="Times New Roman" w:hAnsi="Times New Roman"/>
          <w:sz w:val="28"/>
          <w:szCs w:val="28"/>
        </w:rPr>
        <w:t>трудовых затрат производственного персонала</w:t>
      </w:r>
      <w:r w:rsidRPr="005B17C3">
        <w:rPr>
          <w:rFonts w:ascii="Times New Roman" w:hAnsi="Times New Roman"/>
          <w:sz w:val="28"/>
          <w:szCs w:val="28"/>
        </w:rPr>
        <w:t xml:space="preserve">. Они учитываются в составе общепроизводственных расходов. Например, первый вариант характеризуется объединением счетов материалов и основного производства в единый </w:t>
      </w:r>
      <w:r>
        <w:rPr>
          <w:rFonts w:ascii="Times New Roman" w:hAnsi="Times New Roman"/>
          <w:sz w:val="28"/>
          <w:szCs w:val="28"/>
        </w:rPr>
        <w:t>счет материалов и производства.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>Основная особенность калькулирования «по последней операции» связана с приобретением материалов у поставщиков. Затраты на приобретение материалов сразу же отражаются на счете материалов и производства. Вторая особенность связана с прочими производственными затратами. Понесенные общепроизводственные расходы отражаются так же как и в других калькуляционных системах, на счете общепроизводственных расходов. Различие заключается в том, что на данном счете учитывается начисленная з</w:t>
      </w:r>
      <w:r>
        <w:rPr>
          <w:rFonts w:ascii="Times New Roman" w:hAnsi="Times New Roman"/>
          <w:sz w:val="28"/>
          <w:szCs w:val="28"/>
        </w:rPr>
        <w:t>аработная плата производственного персонала</w:t>
      </w:r>
      <w:r w:rsidRPr="005B17C3">
        <w:rPr>
          <w:rFonts w:ascii="Times New Roman" w:hAnsi="Times New Roman"/>
          <w:sz w:val="28"/>
          <w:szCs w:val="28"/>
        </w:rPr>
        <w:t>. Однако последующие операции с этим счетом отличают калькулирование «по последней операции» от традиционных учетных записей: счет общепроизводственных расходов закрывается на счет готовой продукции, а не на счет основного производства. Экономия или перерасход декапитализируются</w:t>
      </w:r>
      <w:r>
        <w:rPr>
          <w:rFonts w:ascii="Times New Roman" w:hAnsi="Times New Roman"/>
          <w:sz w:val="28"/>
          <w:szCs w:val="28"/>
        </w:rPr>
        <w:t>-</w:t>
      </w:r>
      <w:r w:rsidRPr="005B17C3">
        <w:rPr>
          <w:rFonts w:ascii="Times New Roman" w:hAnsi="Times New Roman"/>
          <w:sz w:val="28"/>
          <w:szCs w:val="28"/>
        </w:rPr>
        <w:t xml:space="preserve"> относятся к периодическим расходам и списываются на счет </w:t>
      </w:r>
      <w:r>
        <w:rPr>
          <w:rFonts w:ascii="Times New Roman" w:hAnsi="Times New Roman"/>
          <w:sz w:val="28"/>
          <w:szCs w:val="28"/>
        </w:rPr>
        <w:t xml:space="preserve">90 «Продажи» </w:t>
      </w:r>
      <w:r w:rsidRPr="005B17C3">
        <w:rPr>
          <w:rFonts w:ascii="Times New Roman" w:hAnsi="Times New Roman"/>
          <w:sz w:val="28"/>
          <w:szCs w:val="28"/>
        </w:rPr>
        <w:t xml:space="preserve">в том же месяце. 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Вариант 2 калькулирования в системе «точно в срок» имеет также две точки учета на материальном потоке, позволяющие обойтись без традиционного учета затрат на производство. Счет продаж является ключевым. На нем собираются данные о всех затратах и осуществляется калькулирование себестоимости продукции. </w:t>
      </w:r>
    </w:p>
    <w:p w:rsidR="0009099C" w:rsidRPr="005B17C3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 xml:space="preserve">Первая особенность связана с отпуском материалов в производство, данная операция не отражается на счетах; затраты, связанные с производственным потреблением материалов относятся на счет продаж. </w:t>
      </w:r>
    </w:p>
    <w:p w:rsidR="0009099C" w:rsidRPr="005B17C3" w:rsidRDefault="0009099C" w:rsidP="001021B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7C3">
        <w:rPr>
          <w:rFonts w:ascii="Times New Roman" w:hAnsi="Times New Roman"/>
          <w:sz w:val="28"/>
          <w:szCs w:val="28"/>
        </w:rPr>
        <w:t>Вторая особенность связана с учетом прочих производственных расходов. Учет понесенных затрат аналогичен учету при варианте 1, но закрывается счет общепроизводственных расходов не на счет готовой продук</w:t>
      </w:r>
      <w:r>
        <w:rPr>
          <w:rFonts w:ascii="Times New Roman" w:hAnsi="Times New Roman"/>
          <w:sz w:val="28"/>
          <w:szCs w:val="28"/>
        </w:rPr>
        <w:t>ции, а напрямую на счет продаж.</w:t>
      </w:r>
    </w:p>
    <w:p w:rsidR="0009099C" w:rsidRDefault="0009099C" w:rsidP="001021B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B17C3">
        <w:rPr>
          <w:rFonts w:ascii="Times New Roman" w:hAnsi="Times New Roman"/>
          <w:sz w:val="28"/>
          <w:szCs w:val="28"/>
        </w:rPr>
        <w:t>Третий подход к калькулированию в системе «точно в срок» наиболее радикален. Он имеет всего одну точку учета на материальном потоке. Счет продаж является ключевым. На нем осуществляются сбор всех затрат и калькулирование себестоимости продукции. Эта особенность связана с приобретением материалов и их отпуском в производство. Затраты, связанные с приобретением и производственным потреблением материалов, относятся на счет продаж. Таким образом, данная операция не отражается на счетах материалов и основного производства.</w:t>
      </w:r>
    </w:p>
    <w:p w:rsidR="0009099C" w:rsidRDefault="0009099C" w:rsidP="001021B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9099C" w:rsidRDefault="0009099C" w:rsidP="001021B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9099C" w:rsidRPr="00261188" w:rsidRDefault="0009099C" w:rsidP="001021B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group id="_x0000_s1117" style="position:absolute;left:0;text-align:left;margin-left:22.35pt;margin-top:3.1pt;width:442.75pt;height:354.1pt;z-index:251662336" coordorigin="1590,2332" coordsize="8855,7082">
            <v:shape id="_x0000_s1118" type="#_x0000_t202" style="position:absolute;left:4706;top:2579;width:2386;height:581" strokeweight="1pt">
              <v:textbox>
                <w:txbxContent>
                  <w:p w:rsidR="0009099C" w:rsidRPr="00E13F84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13F84">
                      <w:rPr>
                        <w:rFonts w:ascii="Times New Roman" w:hAnsi="Times New Roman"/>
                        <w:sz w:val="24"/>
                        <w:szCs w:val="24"/>
                      </w:rPr>
                      <w:t>Затраты</w:t>
                    </w:r>
                  </w:p>
                </w:txbxContent>
              </v:textbox>
            </v:shape>
            <v:shape id="_x0000_s1119" type="#_x0000_t202" style="position:absolute;left:1687;top:3482;width:8662;height:795" strokeweight="1pt">
              <v:textbox>
                <w:txbxContent>
                  <w:p w:rsidR="0009099C" w:rsidRPr="00E13F84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13F84">
                      <w:rPr>
                        <w:rFonts w:ascii="Times New Roman" w:hAnsi="Times New Roman"/>
                        <w:sz w:val="24"/>
                        <w:szCs w:val="24"/>
                      </w:rPr>
                      <w:t>Распределение затрат на условно-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переменные и условно-постоянные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br/>
                    </w:r>
                    <w:r w:rsidRPr="00E13F84">
                      <w:rPr>
                        <w:rFonts w:ascii="Times New Roman" w:hAnsi="Times New Roman"/>
                        <w:sz w:val="24"/>
                        <w:szCs w:val="24"/>
                      </w:rPr>
                      <w:t>с помощью пакета программных продуктов</w:t>
                    </w:r>
                  </w:p>
                </w:txbxContent>
              </v:textbox>
            </v:shape>
            <v:shape id="_x0000_s1120" type="#_x0000_t202" style="position:absolute;left:1687;top:4513;width:3750;height:709" strokeweight="1pt">
              <v:textbox>
                <w:txbxContent>
                  <w:p w:rsidR="0009099C" w:rsidRPr="00E13F84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13F84">
                      <w:rPr>
                        <w:rFonts w:ascii="Times New Roman" w:hAnsi="Times New Roman"/>
                        <w:sz w:val="24"/>
                        <w:szCs w:val="24"/>
                      </w:rPr>
                      <w:t>Условно-постоянные затраты</w:t>
                    </w:r>
                  </w:p>
                </w:txbxContent>
              </v:textbox>
            </v:shape>
            <v:shape id="_x0000_s1121" type="#_x0000_t202" style="position:absolute;left:5663;top:4513;width:4686;height:709" strokeweight="1pt">
              <v:textbox>
                <w:txbxContent>
                  <w:p w:rsidR="0009099C" w:rsidRPr="00E13F84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13F84">
                      <w:rPr>
                        <w:rFonts w:ascii="Times New Roman" w:hAnsi="Times New Roman"/>
                        <w:sz w:val="24"/>
                        <w:szCs w:val="24"/>
                      </w:rPr>
                      <w:t>Условно-переменные затраты</w:t>
                    </w:r>
                  </w:p>
                </w:txbxContent>
              </v:textbox>
            </v:shape>
            <v:shape id="_x0000_s1122" type="#_x0000_t202" style="position:absolute;left:1687;top:5545;width:3880;height:1075" strokeweight="1pt">
              <v:textbox>
                <w:txbxContent>
                  <w:p w:rsidR="0009099C" w:rsidRPr="00E13F84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13F84">
                      <w:rPr>
                        <w:rFonts w:ascii="Times New Roman" w:hAnsi="Times New Roman"/>
                        <w:sz w:val="24"/>
                        <w:szCs w:val="24"/>
                      </w:rPr>
                      <w:t>Выбор базы распределения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условно-постоянных затрат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br/>
                      <w:t>по видам продукции</w:t>
                    </w:r>
                  </w:p>
                </w:txbxContent>
              </v:textbox>
            </v:shape>
            <v:shape id="_x0000_s1123" type="#_x0000_t202" style="position:absolute;left:2181;top:6856;width:3386;height:688" strokeweight="1pt">
              <v:textbox>
                <w:txbxContent>
                  <w:p w:rsidR="0009099C" w:rsidRPr="00E13F84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13F84">
                      <w:rPr>
                        <w:rFonts w:ascii="Times New Roman" w:hAnsi="Times New Roman"/>
                        <w:sz w:val="24"/>
                        <w:szCs w:val="24"/>
                      </w:rPr>
                      <w:t>Совокупные затраты на 1-й вид продукции</w:t>
                    </w:r>
                  </w:p>
                </w:txbxContent>
              </v:textbox>
            </v:shape>
            <v:shape id="_x0000_s1124" type="#_x0000_t202" style="position:absolute;left:2181;top:7759;width:3386;height:688" strokeweight="1pt">
              <v:textbox>
                <w:txbxContent>
                  <w:p w:rsidR="0009099C" w:rsidRPr="009735D7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9735D7">
                      <w:rPr>
                        <w:rFonts w:ascii="Times New Roman" w:hAnsi="Times New Roman"/>
                        <w:sz w:val="24"/>
                        <w:szCs w:val="24"/>
                      </w:rPr>
                      <w:t>Совокупные затраты на 2-й вид продукции</w:t>
                    </w:r>
                  </w:p>
                </w:txbxContent>
              </v:textbox>
            </v:shape>
            <v:shape id="_x0000_s1125" type="#_x0000_t202" style="position:absolute;left:2181;top:8565;width:3386;height:688" strokeweight="1pt">
              <v:textbox>
                <w:txbxContent>
                  <w:p w:rsidR="0009099C" w:rsidRPr="009735D7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9735D7">
                      <w:rPr>
                        <w:rFonts w:ascii="Times New Roman" w:hAnsi="Times New Roman"/>
                        <w:sz w:val="24"/>
                        <w:szCs w:val="24"/>
                      </w:rPr>
                      <w:t>Совокупные затраты на 3-й вид продукции</w:t>
                    </w:r>
                  </w:p>
                </w:txbxContent>
              </v:textbox>
            </v:shape>
            <v:shape id="_x0000_s1126" type="#_x0000_t202" style="position:absolute;left:6125;top:5459;width:4224;height:1064" strokeweight="1pt">
              <v:textbox>
                <w:txbxContent>
                  <w:p w:rsidR="0009099C" w:rsidRPr="00E13F84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13F84">
                      <w:rPr>
                        <w:rFonts w:ascii="Times New Roman" w:hAnsi="Times New Roman"/>
                        <w:sz w:val="24"/>
                        <w:szCs w:val="24"/>
                      </w:rPr>
                      <w:t>Расчет структуры себестоимости по видам продукции с использованием пакета программных продуктов</w:t>
                    </w:r>
                  </w:p>
                </w:txbxContent>
              </v:textbox>
            </v:shape>
            <v:shape id="_x0000_s1127" type="#_x0000_t202" style="position:absolute;left:6125;top:6781;width:3610;height:763" strokeweight="1pt">
              <v:textbox>
                <w:txbxContent>
                  <w:p w:rsidR="0009099C" w:rsidRPr="009735D7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9735D7">
                      <w:rPr>
                        <w:rFonts w:ascii="Times New Roman" w:hAnsi="Times New Roman"/>
                        <w:sz w:val="24"/>
                        <w:szCs w:val="24"/>
                      </w:rPr>
                      <w:t>Структура себестоимости 1-го вида продукции</w:t>
                    </w:r>
                  </w:p>
                </w:txbxContent>
              </v:textbox>
            </v:shape>
            <v:shape id="_x0000_s1128" type="#_x0000_t202" style="position:absolute;left:6125;top:7705;width:3610;height:742" strokeweight="1pt">
              <v:textbox>
                <w:txbxContent>
                  <w:p w:rsidR="0009099C" w:rsidRPr="009735D7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Структура себестоимости 2</w:t>
                    </w:r>
                    <w:r w:rsidRPr="009735D7">
                      <w:rPr>
                        <w:rFonts w:ascii="Times New Roman" w:hAnsi="Times New Roman"/>
                        <w:sz w:val="24"/>
                        <w:szCs w:val="24"/>
                      </w:rPr>
                      <w:t>-го вида продукции</w:t>
                    </w:r>
                  </w:p>
                </w:txbxContent>
              </v:textbox>
            </v:shape>
            <v:shape id="_x0000_s1129" type="#_x0000_t202" style="position:absolute;left:6125;top:8565;width:3610;height:720" strokeweight="1pt">
              <v:textbox>
                <w:txbxContent>
                  <w:p w:rsidR="0009099C" w:rsidRPr="009735D7" w:rsidRDefault="0009099C" w:rsidP="002D087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Структура себестоимости 3</w:t>
                    </w:r>
                    <w:r w:rsidRPr="009735D7">
                      <w:rPr>
                        <w:rFonts w:ascii="Times New Roman" w:hAnsi="Times New Roman"/>
                        <w:sz w:val="24"/>
                        <w:szCs w:val="24"/>
                      </w:rPr>
                      <w:t>-го вида продукции</w:t>
                    </w:r>
                  </w:p>
                </w:txbxContent>
              </v:textbox>
            </v:shape>
            <v:shape id="_x0000_s1130" type="#_x0000_t32" style="position:absolute;left:5900;top:3160;width:10;height:322" o:connectortype="straight">
              <v:stroke endarrow="block"/>
            </v:shape>
            <v:shape id="_x0000_s1131" type="#_x0000_t32" style="position:absolute;left:3644;top:4277;width:10;height:236" o:connectortype="straight">
              <v:stroke endarrow="block"/>
            </v:shape>
            <v:shape id="_x0000_s1132" type="#_x0000_t32" style="position:absolute;left:8328;top:4277;width:0;height:236" o:connectortype="straight">
              <v:stroke endarrow="block"/>
            </v:shape>
            <v:shape id="_x0000_s1133" type="#_x0000_t32" style="position:absolute;left:3654;top:5222;width:10;height:323" o:connectortype="straight">
              <v:stroke endarrow="block"/>
            </v:shape>
            <v:shape id="_x0000_s1134" type="#_x0000_t32" style="position:absolute;left:1881;top:6620;width:0;height:2289" o:connectortype="straight" strokeweight="1pt"/>
            <v:shape id="_x0000_s1135" type="#_x0000_t32" style="position:absolute;left:1881;top:7200;width:300;height:0" o:connectortype="straight">
              <v:stroke endarrow="block"/>
            </v:shape>
            <v:shape id="_x0000_s1136" type="#_x0000_t32" style="position:absolute;left:1881;top:8049;width:300;height:0" o:connectortype="straight">
              <v:stroke endarrow="block"/>
            </v:shape>
            <v:shape id="_x0000_s1137" type="#_x0000_t32" style="position:absolute;left:1881;top:8909;width:300;height:0" o:connectortype="straight">
              <v:stroke endarrow="block"/>
            </v:shape>
            <v:shape id="_x0000_s1138" type="#_x0000_t32" style="position:absolute;left:8328;top:5222;width:0;height:237" o:connectortype="straight">
              <v:stroke endarrow="block"/>
            </v:shape>
            <v:shape id="_x0000_s1139" type="#_x0000_t32" style="position:absolute;left:5824;top:5222;width:0;height:3687" o:connectortype="straight" strokeweight="1pt"/>
            <v:shape id="_x0000_s1140" type="#_x0000_t32" style="position:absolute;left:5567;top:7200;width:257;height:0;flip:x" o:connectortype="straight">
              <v:stroke endarrow="block"/>
            </v:shape>
            <v:shape id="_x0000_s1141" type="#_x0000_t32" style="position:absolute;left:5567;top:8049;width:257;height:0;flip:x" o:connectortype="straight">
              <v:stroke endarrow="block"/>
            </v:shape>
            <v:shape id="_x0000_s1142" type="#_x0000_t32" style="position:absolute;left:5567;top:8909;width:257;height:0;flip:x" o:connectortype="straight">
              <v:stroke endarrow="block"/>
            </v:shape>
            <v:shape id="_x0000_s1143" type="#_x0000_t32" style="position:absolute;left:10069;top:6523;width:11;height:2386;flip:x" o:connectortype="straight" strokeweight="1pt"/>
            <v:shape id="_x0000_s1144" type="#_x0000_t32" style="position:absolute;left:9735;top:7146;width:345;height:0;flip:x" o:connectortype="straight">
              <v:stroke endarrow="block"/>
            </v:shape>
            <v:shape id="_x0000_s1145" type="#_x0000_t32" style="position:absolute;left:9735;top:8049;width:345;height:0;flip:x" o:connectortype="straight">
              <v:stroke endarrow="block"/>
            </v:shape>
            <v:shape id="_x0000_s1146" type="#_x0000_t32" style="position:absolute;left:9735;top:8909;width:345;height:0;flip:x" o:connectortype="straight">
              <v:stroke endarrow="block"/>
            </v:shape>
            <v:shape id="_x0000_s1147" type="#_x0000_t32" style="position:absolute;left:1590;top:2332;width:22;height:7007;flip:x" o:connectortype="straight" strokeweight="1pt"/>
            <v:shape id="_x0000_s1148" type="#_x0000_t32" style="position:absolute;left:1590;top:2332;width:8855;height:0" o:connectortype="straight" strokeweight="1pt"/>
            <v:shape id="_x0000_s1149" type="#_x0000_t32" style="position:absolute;left:10445;top:2332;width:0;height:7082" o:connectortype="straight" strokeweight="1pt"/>
            <v:shape id="_x0000_s1150" type="#_x0000_t32" style="position:absolute;left:1590;top:9339;width:8855;height:75" o:connectortype="straight" strokeweight="1pt"/>
          </v:group>
        </w:pict>
      </w: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jc w:val="center"/>
        <w:rPr>
          <w:rFonts w:ascii="Times New Roman" w:hAnsi="Times New Roman"/>
          <w:sz w:val="28"/>
          <w:szCs w:val="28"/>
        </w:rPr>
      </w:pPr>
    </w:p>
    <w:p w:rsidR="0009099C" w:rsidRDefault="0009099C" w:rsidP="002D087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5 – Классификация затрат в учетно-аналитической системе экономического агента рынка</w:t>
      </w:r>
    </w:p>
    <w:p w:rsidR="0009099C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9C" w:rsidRPr="003D126E" w:rsidRDefault="0009099C" w:rsidP="00C9097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видим у всех современных учетно-аналитических систем с</w:t>
      </w:r>
      <w:r w:rsidRPr="003D126E">
        <w:rPr>
          <w:rFonts w:ascii="Times New Roman" w:hAnsi="Times New Roman"/>
          <w:sz w:val="28"/>
          <w:szCs w:val="28"/>
        </w:rPr>
        <w:t>бор и обработка информации ведутся с целью удовлетворения потребностей</w:t>
      </w:r>
      <w:r>
        <w:rPr>
          <w:rFonts w:ascii="Times New Roman" w:hAnsi="Times New Roman"/>
          <w:sz w:val="28"/>
          <w:szCs w:val="28"/>
        </w:rPr>
        <w:t xml:space="preserve"> при решении различных задач. В </w:t>
      </w:r>
      <w:r w:rsidRPr="003D126E">
        <w:rPr>
          <w:rFonts w:ascii="Times New Roman" w:hAnsi="Times New Roman"/>
          <w:sz w:val="28"/>
          <w:szCs w:val="28"/>
        </w:rPr>
        <w:t xml:space="preserve">зависимости от поставленных задач формируются и подходы к процедуре сбора и обработки информации. Важное место </w:t>
      </w:r>
      <w:r>
        <w:rPr>
          <w:rFonts w:ascii="Times New Roman" w:hAnsi="Times New Roman"/>
          <w:sz w:val="28"/>
          <w:szCs w:val="28"/>
        </w:rPr>
        <w:t>при этом</w:t>
      </w:r>
      <w:r w:rsidRPr="003D126E">
        <w:rPr>
          <w:rFonts w:ascii="Times New Roman" w:hAnsi="Times New Roman"/>
          <w:sz w:val="28"/>
          <w:szCs w:val="28"/>
        </w:rPr>
        <w:t xml:space="preserve"> занимает понятие затрат и их классификация, являющиеся одним из основных объектов управленческого учета.</w:t>
      </w:r>
    </w:p>
    <w:p w:rsidR="0009099C" w:rsidRDefault="0009099C" w:rsidP="00C9097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26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учетно-аналитических системах</w:t>
      </w:r>
      <w:r w:rsidRPr="003D126E">
        <w:rPr>
          <w:rFonts w:ascii="Times New Roman" w:hAnsi="Times New Roman"/>
          <w:sz w:val="28"/>
          <w:szCs w:val="28"/>
        </w:rPr>
        <w:t xml:space="preserve"> целью любой классификации затрат должно быть оказание помощи руководителю в принятии правильных, </w:t>
      </w:r>
      <w:r>
        <w:rPr>
          <w:rFonts w:ascii="Times New Roman" w:hAnsi="Times New Roman"/>
          <w:sz w:val="28"/>
          <w:szCs w:val="28"/>
        </w:rPr>
        <w:t xml:space="preserve">научно обоснованных решений </w:t>
      </w:r>
      <w:r w:rsidRPr="00C90973">
        <w:rPr>
          <w:rFonts w:ascii="Times New Roman" w:hAnsi="Times New Roman"/>
          <w:sz w:val="28"/>
          <w:szCs w:val="28"/>
        </w:rPr>
        <w:t>[4]</w:t>
      </w:r>
      <w:r>
        <w:rPr>
          <w:rFonts w:ascii="Times New Roman" w:hAnsi="Times New Roman"/>
          <w:sz w:val="28"/>
          <w:szCs w:val="28"/>
        </w:rPr>
        <w:t>.</w:t>
      </w:r>
    </w:p>
    <w:p w:rsidR="0009099C" w:rsidRDefault="0009099C" w:rsidP="00C9097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26E">
        <w:rPr>
          <w:rFonts w:ascii="Times New Roman" w:hAnsi="Times New Roman"/>
          <w:sz w:val="28"/>
          <w:szCs w:val="28"/>
        </w:rPr>
        <w:t xml:space="preserve">Принимая решения,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3D126E">
        <w:rPr>
          <w:rFonts w:ascii="Times New Roman" w:hAnsi="Times New Roman"/>
          <w:sz w:val="28"/>
          <w:szCs w:val="28"/>
        </w:rPr>
        <w:t xml:space="preserve"> должен знать степень влияния затрат на уровень себестоимости и рентабельности производства. Поэтому суть</w:t>
      </w:r>
      <w:r>
        <w:rPr>
          <w:rFonts w:ascii="Times New Roman" w:hAnsi="Times New Roman"/>
          <w:sz w:val="28"/>
          <w:szCs w:val="28"/>
        </w:rPr>
        <w:t xml:space="preserve"> процесса классификации затрат -</w:t>
      </w:r>
      <w:r w:rsidRPr="003D126E">
        <w:rPr>
          <w:rFonts w:ascii="Times New Roman" w:hAnsi="Times New Roman"/>
          <w:sz w:val="28"/>
          <w:szCs w:val="28"/>
        </w:rPr>
        <w:t xml:space="preserve"> это выделить ту часть затрат, на которые может повлиять руководитель.</w:t>
      </w:r>
    </w:p>
    <w:p w:rsidR="0009099C" w:rsidRPr="00E13F84" w:rsidRDefault="0009099C" w:rsidP="002D087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затрат на условно-постоянные и условно-переменные поддается решению и адаптации к конкретным условиям хозяйствования. Более того, развитие информационных технологий и техники позволяет решать данную проблему с минимальными затратами, осуществлять альтернативный выбор наиболее рационального варианта перечня статей и элементов затрат при высоком качестве информации. Используя рациональную классификацию затрат, учетно-аналитические системы посредством калькулирования готовой продукции, работ и услуг решают важнейшую задачу рыночной экономики – научно-обоснованное установление цены их продажи, обеспечение управления рентабельностью производства.</w:t>
      </w:r>
    </w:p>
    <w:p w:rsidR="0009099C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для развития бухгалтерского учета на современном этапе характерно использование калькуляционной концепции, которая способствует в условиях ограниченности ресурсов получать агентам рынка синергетический эффект.</w:t>
      </w:r>
    </w:p>
    <w:p w:rsidR="0009099C" w:rsidRPr="008C1297" w:rsidRDefault="0009099C" w:rsidP="005B17C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099C" w:rsidRDefault="0009099C" w:rsidP="00AE527D">
      <w:pPr>
        <w:widowControl w:val="0"/>
        <w:tabs>
          <w:tab w:val="left" w:pos="993"/>
        </w:tabs>
        <w:suppressAutoHyphens/>
        <w:autoSpaceDE w:val="0"/>
        <w:ind w:firstLine="567"/>
        <w:jc w:val="center"/>
        <w:rPr>
          <w:rFonts w:ascii="Times New Roman" w:hAnsi="Times New Roman" w:cs="Arial"/>
          <w:b/>
          <w:kern w:val="1"/>
          <w:sz w:val="24"/>
          <w:szCs w:val="24"/>
          <w:lang w:val="en-US" w:eastAsia="ru-RU"/>
        </w:rPr>
      </w:pPr>
      <w:r w:rsidRPr="00AE527D">
        <w:rPr>
          <w:rFonts w:ascii="Times New Roman" w:hAnsi="Times New Roman" w:cs="Arial"/>
          <w:b/>
          <w:kern w:val="1"/>
          <w:sz w:val="24"/>
          <w:szCs w:val="24"/>
          <w:lang w:eastAsia="ru-RU"/>
        </w:rPr>
        <w:t>Список литературы:</w:t>
      </w:r>
    </w:p>
    <w:p w:rsidR="0009099C" w:rsidRPr="00261188" w:rsidRDefault="0009099C" w:rsidP="00AE527D">
      <w:pPr>
        <w:widowControl w:val="0"/>
        <w:tabs>
          <w:tab w:val="left" w:pos="993"/>
        </w:tabs>
        <w:suppressAutoHyphens/>
        <w:autoSpaceDE w:val="0"/>
        <w:ind w:firstLine="567"/>
        <w:jc w:val="center"/>
        <w:rPr>
          <w:rFonts w:ascii="Times New Roman" w:hAnsi="Times New Roman" w:cs="Arial"/>
          <w:b/>
          <w:kern w:val="1"/>
          <w:sz w:val="24"/>
          <w:szCs w:val="24"/>
          <w:lang w:val="en-US" w:eastAsia="ru-RU"/>
        </w:rPr>
      </w:pPr>
    </w:p>
    <w:p w:rsidR="0009099C" w:rsidRDefault="0009099C" w:rsidP="00AE527D">
      <w:pPr>
        <w:pStyle w:val="ListParagraph"/>
        <w:widowControl w:val="0"/>
        <w:numPr>
          <w:ilvl w:val="0"/>
          <w:numId w:val="3"/>
        </w:numPr>
        <w:tabs>
          <w:tab w:val="left" w:pos="0"/>
          <w:tab w:val="left" w:pos="993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6785">
        <w:rPr>
          <w:rFonts w:ascii="Times New Roman" w:hAnsi="Times New Roman"/>
          <w:sz w:val="24"/>
          <w:szCs w:val="24"/>
        </w:rPr>
        <w:t xml:space="preserve">Аверчев, И. В. Управленческий учет и отчетность. Постановка и внедрение / И. В. Аверчев. Москва: Вершина, 2007. - 512 с. </w:t>
      </w:r>
    </w:p>
    <w:p w:rsidR="0009099C" w:rsidRPr="001E6785" w:rsidRDefault="0009099C" w:rsidP="00AE527D">
      <w:pPr>
        <w:pStyle w:val="ListParagraph"/>
        <w:widowControl w:val="0"/>
        <w:numPr>
          <w:ilvl w:val="0"/>
          <w:numId w:val="3"/>
        </w:numPr>
        <w:tabs>
          <w:tab w:val="left" w:pos="0"/>
          <w:tab w:val="left" w:pos="993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6785">
        <w:rPr>
          <w:rFonts w:ascii="Times New Roman" w:hAnsi="Times New Roman"/>
          <w:sz w:val="24"/>
          <w:szCs w:val="24"/>
        </w:rPr>
        <w:t xml:space="preserve">Алборов, P. A. Бухгалтерский управленческий учет (теория и практика) / P.A. Алборов. М.: Издательство «Дело и Сервис», 2005. - 224 с. </w:t>
      </w:r>
    </w:p>
    <w:p w:rsidR="0009099C" w:rsidRDefault="0009099C" w:rsidP="00AE527D">
      <w:pPr>
        <w:pStyle w:val="ListParagraph"/>
        <w:numPr>
          <w:ilvl w:val="0"/>
          <w:numId w:val="3"/>
        </w:numPr>
        <w:tabs>
          <w:tab w:val="left" w:pos="0"/>
          <w:tab w:val="left" w:pos="993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6785">
        <w:rPr>
          <w:rFonts w:ascii="Times New Roman" w:hAnsi="Times New Roman"/>
          <w:sz w:val="24"/>
          <w:szCs w:val="24"/>
        </w:rPr>
        <w:t>Бурлакова</w:t>
      </w:r>
      <w:r>
        <w:rPr>
          <w:rFonts w:ascii="Times New Roman" w:hAnsi="Times New Roman"/>
          <w:sz w:val="24"/>
          <w:szCs w:val="24"/>
        </w:rPr>
        <w:t>,</w:t>
      </w:r>
      <w:r w:rsidRPr="001E6785">
        <w:rPr>
          <w:rFonts w:ascii="Times New Roman" w:hAnsi="Times New Roman"/>
          <w:sz w:val="24"/>
          <w:szCs w:val="24"/>
        </w:rPr>
        <w:t xml:space="preserve"> О. В. Дочерние и ассоциированные организации: составление консолидированной финансовой отчетности</w:t>
      </w:r>
      <w:r>
        <w:rPr>
          <w:rFonts w:ascii="Times New Roman" w:hAnsi="Times New Roman"/>
          <w:sz w:val="24"/>
          <w:szCs w:val="24"/>
        </w:rPr>
        <w:t xml:space="preserve"> / О. В. Бурлакова</w:t>
      </w:r>
      <w:r w:rsidRPr="001E6785">
        <w:rPr>
          <w:rFonts w:ascii="Times New Roman" w:hAnsi="Times New Roman"/>
          <w:sz w:val="24"/>
          <w:szCs w:val="24"/>
        </w:rPr>
        <w:t xml:space="preserve"> // Бухгалтерский учет</w:t>
      </w:r>
      <w:r>
        <w:rPr>
          <w:rFonts w:ascii="Times New Roman" w:hAnsi="Times New Roman"/>
          <w:sz w:val="24"/>
          <w:szCs w:val="24"/>
        </w:rPr>
        <w:t xml:space="preserve"> -</w:t>
      </w:r>
      <w:r w:rsidRPr="001E6785">
        <w:rPr>
          <w:rFonts w:ascii="Times New Roman" w:hAnsi="Times New Roman"/>
          <w:sz w:val="24"/>
          <w:szCs w:val="24"/>
        </w:rPr>
        <w:t xml:space="preserve"> 2007. - № 7. - </w:t>
      </w:r>
      <w:r>
        <w:rPr>
          <w:rFonts w:ascii="Times New Roman" w:hAnsi="Times New Roman"/>
          <w:sz w:val="24"/>
          <w:szCs w:val="24"/>
        </w:rPr>
        <w:t>С</w:t>
      </w:r>
      <w:r w:rsidRPr="001E6785">
        <w:rPr>
          <w:rFonts w:ascii="Times New Roman" w:hAnsi="Times New Roman"/>
          <w:sz w:val="24"/>
          <w:szCs w:val="24"/>
        </w:rPr>
        <w:t xml:space="preserve">. 83-92. </w:t>
      </w:r>
    </w:p>
    <w:p w:rsidR="0009099C" w:rsidRDefault="0009099C" w:rsidP="00AE527D">
      <w:pPr>
        <w:pStyle w:val="ListParagraph"/>
        <w:numPr>
          <w:ilvl w:val="0"/>
          <w:numId w:val="3"/>
        </w:numPr>
        <w:tabs>
          <w:tab w:val="left" w:pos="0"/>
          <w:tab w:val="left" w:pos="993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6785">
        <w:rPr>
          <w:rFonts w:ascii="Times New Roman" w:hAnsi="Times New Roman"/>
          <w:sz w:val="24"/>
          <w:szCs w:val="24"/>
        </w:rPr>
        <w:t xml:space="preserve">Вил, Р. В. Управленческий учет / Р. Вил, В. Палий. - М.: ИНФРА-М, 1997.- </w:t>
      </w:r>
      <w:r>
        <w:rPr>
          <w:rFonts w:ascii="Times New Roman" w:hAnsi="Times New Roman"/>
          <w:sz w:val="24"/>
          <w:szCs w:val="24"/>
        </w:rPr>
        <w:t>480 </w:t>
      </w:r>
      <w:r w:rsidRPr="001E6785">
        <w:rPr>
          <w:rFonts w:ascii="Times New Roman" w:hAnsi="Times New Roman"/>
          <w:sz w:val="24"/>
          <w:szCs w:val="24"/>
        </w:rPr>
        <w:t xml:space="preserve">с. </w:t>
      </w:r>
    </w:p>
    <w:p w:rsidR="0009099C" w:rsidRPr="001E6785" w:rsidRDefault="0009099C" w:rsidP="00AE527D">
      <w:pPr>
        <w:pStyle w:val="ListParagraph"/>
        <w:numPr>
          <w:ilvl w:val="0"/>
          <w:numId w:val="3"/>
        </w:numPr>
        <w:tabs>
          <w:tab w:val="left" w:pos="0"/>
          <w:tab w:val="left" w:pos="993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6785">
        <w:rPr>
          <w:rFonts w:ascii="Times New Roman" w:hAnsi="Times New Roman"/>
          <w:sz w:val="24"/>
          <w:szCs w:val="24"/>
        </w:rPr>
        <w:t xml:space="preserve">Дегальцева, Ж. В. Механизм формирования системы управленческого </w:t>
      </w:r>
      <w:r>
        <w:rPr>
          <w:rFonts w:ascii="Times New Roman" w:hAnsi="Times New Roman"/>
          <w:sz w:val="24"/>
          <w:szCs w:val="24"/>
        </w:rPr>
        <w:t>учета в агрохолдингах/ Ж. В. Дегальцева //</w:t>
      </w:r>
      <w:r w:rsidRPr="001E6785">
        <w:rPr>
          <w:rFonts w:ascii="Times New Roman" w:hAnsi="Times New Roman"/>
          <w:sz w:val="24"/>
          <w:szCs w:val="24"/>
        </w:rPr>
        <w:t>Экономика и предпринимательство</w:t>
      </w:r>
      <w:r>
        <w:rPr>
          <w:rFonts w:ascii="Times New Roman" w:hAnsi="Times New Roman"/>
          <w:sz w:val="24"/>
          <w:szCs w:val="24"/>
        </w:rPr>
        <w:t>. 2013. - № 2. - С</w:t>
      </w:r>
      <w:r w:rsidRPr="001E6785">
        <w:rPr>
          <w:rFonts w:ascii="Times New Roman" w:hAnsi="Times New Roman"/>
          <w:sz w:val="24"/>
          <w:szCs w:val="24"/>
        </w:rPr>
        <w:t>. 246-252</w:t>
      </w:r>
      <w:r>
        <w:rPr>
          <w:rFonts w:ascii="Times New Roman" w:hAnsi="Times New Roman"/>
          <w:sz w:val="24"/>
          <w:szCs w:val="24"/>
        </w:rPr>
        <w:t>.</w:t>
      </w:r>
    </w:p>
    <w:p w:rsidR="0009099C" w:rsidRDefault="0009099C" w:rsidP="00AE527D">
      <w:pPr>
        <w:pStyle w:val="ListParagraph"/>
        <w:numPr>
          <w:ilvl w:val="0"/>
          <w:numId w:val="3"/>
        </w:numPr>
        <w:tabs>
          <w:tab w:val="left" w:pos="993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6785">
        <w:rPr>
          <w:rFonts w:ascii="Times New Roman" w:hAnsi="Times New Roman"/>
          <w:sz w:val="24"/>
          <w:szCs w:val="24"/>
        </w:rPr>
        <w:t>Костюкова Е. И. Использование различных калькуляционных систем в деятельности предприятий алкогольной пром</w:t>
      </w:r>
      <w:r>
        <w:rPr>
          <w:rFonts w:ascii="Times New Roman" w:hAnsi="Times New Roman"/>
          <w:sz w:val="24"/>
          <w:szCs w:val="24"/>
        </w:rPr>
        <w:t>ышленности/ Е. И. Костюкова, М. В. Феськова// Международный бухгалтерский учет</w:t>
      </w:r>
      <w:r w:rsidRPr="001E6785">
        <w:rPr>
          <w:rFonts w:ascii="Times New Roman" w:hAnsi="Times New Roman"/>
          <w:sz w:val="24"/>
          <w:szCs w:val="24"/>
        </w:rPr>
        <w:t xml:space="preserve"> - 2013</w:t>
      </w:r>
      <w:r>
        <w:rPr>
          <w:rFonts w:ascii="Times New Roman" w:hAnsi="Times New Roman"/>
          <w:sz w:val="24"/>
          <w:szCs w:val="24"/>
        </w:rPr>
        <w:t>. -</w:t>
      </w:r>
      <w:r w:rsidRPr="001E6785">
        <w:rPr>
          <w:rFonts w:ascii="Times New Roman" w:hAnsi="Times New Roman"/>
          <w:sz w:val="24"/>
          <w:szCs w:val="24"/>
        </w:rPr>
        <w:t xml:space="preserve"> № 34</w:t>
      </w:r>
      <w:r>
        <w:rPr>
          <w:rFonts w:ascii="Times New Roman" w:hAnsi="Times New Roman"/>
          <w:sz w:val="24"/>
          <w:szCs w:val="24"/>
        </w:rPr>
        <w:t>. -С</w:t>
      </w:r>
      <w:r w:rsidRPr="001E6785">
        <w:rPr>
          <w:rFonts w:ascii="Times New Roman" w:hAnsi="Times New Roman"/>
          <w:sz w:val="24"/>
          <w:szCs w:val="24"/>
        </w:rPr>
        <w:t>. 2-8.</w:t>
      </w:r>
    </w:p>
    <w:p w:rsidR="0009099C" w:rsidRPr="001E6785" w:rsidRDefault="0009099C" w:rsidP="00AE527D">
      <w:pPr>
        <w:pStyle w:val="ListParagraph"/>
        <w:tabs>
          <w:tab w:val="left" w:pos="993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09099C" w:rsidRDefault="0009099C" w:rsidP="00AE527D">
      <w:pPr>
        <w:pStyle w:val="10"/>
        <w:widowControl w:val="0"/>
        <w:tabs>
          <w:tab w:val="left" w:pos="0"/>
          <w:tab w:val="left" w:pos="993"/>
        </w:tabs>
        <w:ind w:left="0" w:firstLine="567"/>
        <w:jc w:val="center"/>
        <w:rPr>
          <w:b/>
          <w:lang w:val="en-US"/>
        </w:rPr>
      </w:pPr>
      <w:r w:rsidRPr="00AE527D">
        <w:rPr>
          <w:b/>
          <w:lang w:val="en-US"/>
        </w:rPr>
        <w:t>References</w:t>
      </w:r>
    </w:p>
    <w:p w:rsidR="0009099C" w:rsidRPr="00261188" w:rsidRDefault="0009099C" w:rsidP="00AE527D">
      <w:pPr>
        <w:pStyle w:val="10"/>
        <w:widowControl w:val="0"/>
        <w:tabs>
          <w:tab w:val="left" w:pos="0"/>
          <w:tab w:val="left" w:pos="993"/>
        </w:tabs>
        <w:ind w:left="0" w:firstLine="567"/>
        <w:jc w:val="center"/>
        <w:rPr>
          <w:b/>
          <w:lang w:val="en-US"/>
        </w:rPr>
      </w:pPr>
    </w:p>
    <w:p w:rsidR="0009099C" w:rsidRPr="00261188" w:rsidRDefault="0009099C" w:rsidP="00261188">
      <w:pPr>
        <w:pStyle w:val="ListParagraph"/>
        <w:tabs>
          <w:tab w:val="left" w:pos="993"/>
        </w:tabs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61188">
        <w:rPr>
          <w:rFonts w:ascii="Times New Roman" w:hAnsi="Times New Roman"/>
          <w:sz w:val="24"/>
          <w:szCs w:val="24"/>
          <w:lang w:val="en-US"/>
        </w:rPr>
        <w:t>1.</w:t>
      </w:r>
      <w:r w:rsidRPr="00261188">
        <w:rPr>
          <w:rFonts w:ascii="Times New Roman" w:hAnsi="Times New Roman"/>
          <w:sz w:val="24"/>
          <w:szCs w:val="24"/>
          <w:lang w:val="en-US"/>
        </w:rPr>
        <w:tab/>
        <w:t xml:space="preserve">Averchev, I. V. Upravlencheskij uchet i otchetnost'. Postanovka i vnedrenie / I. V. Averchev. Moskva: Vershina, 2007. - 512 s. </w:t>
      </w:r>
    </w:p>
    <w:p w:rsidR="0009099C" w:rsidRPr="00261188" w:rsidRDefault="0009099C" w:rsidP="00261188">
      <w:pPr>
        <w:pStyle w:val="ListParagraph"/>
        <w:tabs>
          <w:tab w:val="left" w:pos="993"/>
        </w:tabs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61188">
        <w:rPr>
          <w:rFonts w:ascii="Times New Roman" w:hAnsi="Times New Roman"/>
          <w:sz w:val="24"/>
          <w:szCs w:val="24"/>
          <w:lang w:val="en-US"/>
        </w:rPr>
        <w:t>2.</w:t>
      </w:r>
      <w:r w:rsidRPr="00261188">
        <w:rPr>
          <w:rFonts w:ascii="Times New Roman" w:hAnsi="Times New Roman"/>
          <w:sz w:val="24"/>
          <w:szCs w:val="24"/>
          <w:lang w:val="en-US"/>
        </w:rPr>
        <w:tab/>
        <w:t xml:space="preserve">Alborov, P. A. Buhgalterskij upravlencheskij uchet (teorija i praktika) / P.A. Alborov. M.: Izdatel'stvo «Delo i Servis», 2005. - 224 s. </w:t>
      </w:r>
    </w:p>
    <w:p w:rsidR="0009099C" w:rsidRPr="00261188" w:rsidRDefault="0009099C" w:rsidP="00261188">
      <w:pPr>
        <w:pStyle w:val="ListParagraph"/>
        <w:tabs>
          <w:tab w:val="left" w:pos="993"/>
        </w:tabs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61188">
        <w:rPr>
          <w:rFonts w:ascii="Times New Roman" w:hAnsi="Times New Roman"/>
          <w:sz w:val="24"/>
          <w:szCs w:val="24"/>
          <w:lang w:val="en-US"/>
        </w:rPr>
        <w:t>3.</w:t>
      </w:r>
      <w:r w:rsidRPr="00261188">
        <w:rPr>
          <w:rFonts w:ascii="Times New Roman" w:hAnsi="Times New Roman"/>
          <w:sz w:val="24"/>
          <w:szCs w:val="24"/>
          <w:lang w:val="en-US"/>
        </w:rPr>
        <w:tab/>
        <w:t xml:space="preserve">Burlakova, O. V. Dochernie i associirovannye organizacii: sostavlenie konsolidirovannoj finansovoj otchetnosti / O. V. Burlakova // Buhgalterskij uchet - 2007. - № 7. - S. 83-92. </w:t>
      </w:r>
    </w:p>
    <w:p w:rsidR="0009099C" w:rsidRPr="00261188" w:rsidRDefault="0009099C" w:rsidP="00261188">
      <w:pPr>
        <w:pStyle w:val="ListParagraph"/>
        <w:tabs>
          <w:tab w:val="left" w:pos="993"/>
        </w:tabs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61188">
        <w:rPr>
          <w:rFonts w:ascii="Times New Roman" w:hAnsi="Times New Roman"/>
          <w:sz w:val="24"/>
          <w:szCs w:val="24"/>
          <w:lang w:val="en-US"/>
        </w:rPr>
        <w:t>4.</w:t>
      </w:r>
      <w:r w:rsidRPr="00261188">
        <w:rPr>
          <w:rFonts w:ascii="Times New Roman" w:hAnsi="Times New Roman"/>
          <w:sz w:val="24"/>
          <w:szCs w:val="24"/>
          <w:lang w:val="en-US"/>
        </w:rPr>
        <w:tab/>
        <w:t xml:space="preserve">Vil, R. V. Upravlencheskij uchet / R. Vil, V. Palij. - M.: INFRA-M, 1997.- 480 s. </w:t>
      </w:r>
    </w:p>
    <w:p w:rsidR="0009099C" w:rsidRPr="00261188" w:rsidRDefault="0009099C" w:rsidP="00261188">
      <w:pPr>
        <w:pStyle w:val="ListParagraph"/>
        <w:tabs>
          <w:tab w:val="left" w:pos="993"/>
        </w:tabs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61188">
        <w:rPr>
          <w:rFonts w:ascii="Times New Roman" w:hAnsi="Times New Roman"/>
          <w:sz w:val="24"/>
          <w:szCs w:val="24"/>
          <w:lang w:val="en-US"/>
        </w:rPr>
        <w:t>5.</w:t>
      </w:r>
      <w:r w:rsidRPr="00261188">
        <w:rPr>
          <w:rFonts w:ascii="Times New Roman" w:hAnsi="Times New Roman"/>
          <w:sz w:val="24"/>
          <w:szCs w:val="24"/>
          <w:lang w:val="en-US"/>
        </w:rPr>
        <w:tab/>
        <w:t>Degal'ceva, Zh. V. Mehanizm formirovanija sistemy upravlencheskogo ucheta v agroholdingah/ Zh. V. Degal'ceva //Jekonomika i predprinimatel'stvo. 2013. - № 2. - S. 246-252.</w:t>
      </w:r>
    </w:p>
    <w:p w:rsidR="0009099C" w:rsidRPr="00261188" w:rsidRDefault="0009099C" w:rsidP="00261188">
      <w:pPr>
        <w:pStyle w:val="ListParagraph"/>
        <w:tabs>
          <w:tab w:val="left" w:pos="993"/>
        </w:tabs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61188">
        <w:rPr>
          <w:rFonts w:ascii="Times New Roman" w:hAnsi="Times New Roman"/>
          <w:sz w:val="24"/>
          <w:szCs w:val="24"/>
          <w:lang w:val="en-US"/>
        </w:rPr>
        <w:t>6.</w:t>
      </w:r>
      <w:r w:rsidRPr="00261188">
        <w:rPr>
          <w:rFonts w:ascii="Times New Roman" w:hAnsi="Times New Roman"/>
          <w:sz w:val="24"/>
          <w:szCs w:val="24"/>
          <w:lang w:val="en-US"/>
        </w:rPr>
        <w:tab/>
        <w:t>Kostjukova E. I. Ispol'zovanie razlichnyh kal'kuljacionnyh sistem v dejatel'nosti predprijatij alkogol'noj promyshlennosti/ E. I. Kostjukova, M. V. Fes'kova// Mezhdunarodnyj buhgalterskij uchet - 2013. - № 34. -S. 2-8.</w:t>
      </w:r>
    </w:p>
    <w:p w:rsidR="0009099C" w:rsidRPr="00675CAB" w:rsidRDefault="0009099C" w:rsidP="00261188">
      <w:pPr>
        <w:pStyle w:val="ListParagraph"/>
        <w:tabs>
          <w:tab w:val="left" w:pos="993"/>
        </w:tabs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09099C" w:rsidRPr="00675CAB" w:rsidSect="0068370E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99C" w:rsidRDefault="0009099C" w:rsidP="001E6785">
      <w:r>
        <w:separator/>
      </w:r>
    </w:p>
  </w:endnote>
  <w:endnote w:type="continuationSeparator" w:id="1">
    <w:p w:rsidR="0009099C" w:rsidRDefault="0009099C" w:rsidP="001E6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99C" w:rsidRDefault="0009099C">
    <w:pPr>
      <w:pStyle w:val="Footer"/>
    </w:pPr>
    <w:r w:rsidRPr="009C1E3D">
      <w:rPr>
        <w:rFonts w:ascii="Times New Roman" w:hAnsi="Times New Roman"/>
        <w:sz w:val="24"/>
        <w:szCs w:val="24"/>
      </w:rPr>
      <w:t>http://ej.kubagro.ru/201</w:t>
    </w:r>
    <w:r w:rsidRPr="009C1E3D">
      <w:rPr>
        <w:rFonts w:ascii="Times New Roman" w:hAnsi="Times New Roman"/>
        <w:sz w:val="24"/>
        <w:szCs w:val="24"/>
        <w:lang w:val="en-US"/>
      </w:rPr>
      <w:t>4</w:t>
    </w:r>
    <w:r w:rsidRPr="009C1E3D">
      <w:rPr>
        <w:rFonts w:ascii="Times New Roman" w:hAnsi="Times New Roman"/>
        <w:sz w:val="24"/>
        <w:szCs w:val="24"/>
      </w:rPr>
      <w:t>/</w:t>
    </w:r>
    <w:r w:rsidRPr="009C1E3D">
      <w:rPr>
        <w:rFonts w:ascii="Times New Roman" w:hAnsi="Times New Roman"/>
        <w:sz w:val="24"/>
        <w:szCs w:val="24"/>
        <w:lang w:val="en-US"/>
      </w:rPr>
      <w:t>04</w:t>
    </w:r>
    <w:r w:rsidRPr="009C1E3D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102</w:t>
    </w:r>
    <w:r w:rsidRPr="009C1E3D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99C" w:rsidRDefault="0009099C" w:rsidP="001E6785">
      <w:r>
        <w:separator/>
      </w:r>
    </w:p>
  </w:footnote>
  <w:footnote w:type="continuationSeparator" w:id="1">
    <w:p w:rsidR="0009099C" w:rsidRDefault="0009099C" w:rsidP="001E67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99C" w:rsidRDefault="0009099C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099C" w:rsidRDefault="0009099C" w:rsidP="0068370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99C" w:rsidRPr="0068370E" w:rsidRDefault="0009099C" w:rsidP="008932D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8370E">
      <w:rPr>
        <w:rStyle w:val="PageNumber"/>
        <w:rFonts w:ascii="Times New Roman" w:hAnsi="Times New Roman"/>
        <w:sz w:val="28"/>
        <w:szCs w:val="28"/>
      </w:rPr>
      <w:fldChar w:fldCharType="begin"/>
    </w:r>
    <w:r w:rsidRPr="0068370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8370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17</w:t>
    </w:r>
    <w:r w:rsidRPr="0068370E">
      <w:rPr>
        <w:rStyle w:val="PageNumber"/>
        <w:rFonts w:ascii="Times New Roman" w:hAnsi="Times New Roman"/>
        <w:sz w:val="28"/>
        <w:szCs w:val="28"/>
      </w:rPr>
      <w:fldChar w:fldCharType="end"/>
    </w:r>
  </w:p>
  <w:p w:rsidR="0009099C" w:rsidRPr="0068370E" w:rsidRDefault="0009099C" w:rsidP="0068370E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68370E">
      <w:rPr>
        <w:rFonts w:ascii="Times New Roman" w:hAnsi="Times New Roman"/>
        <w:sz w:val="24"/>
        <w:szCs w:val="24"/>
      </w:rPr>
      <w:t>Научный журнал КубГАУ, №98(04), 2014 года</w:t>
    </w:r>
  </w:p>
  <w:p w:rsidR="0009099C" w:rsidRDefault="000909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D3AAA"/>
    <w:multiLevelType w:val="hybridMultilevel"/>
    <w:tmpl w:val="7A0E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131A4E"/>
    <w:multiLevelType w:val="hybridMultilevel"/>
    <w:tmpl w:val="4AD2E51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B053242"/>
    <w:multiLevelType w:val="hybridMultilevel"/>
    <w:tmpl w:val="04BAB39A"/>
    <w:lvl w:ilvl="0" w:tplc="1E02A4E8">
      <w:numFmt w:val="bullet"/>
      <w:lvlText w:val="•"/>
      <w:lvlJc w:val="left"/>
      <w:pPr>
        <w:ind w:left="1684" w:hanging="97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A4F3F24"/>
    <w:multiLevelType w:val="hybridMultilevel"/>
    <w:tmpl w:val="09E4F5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6F03031"/>
    <w:multiLevelType w:val="hybridMultilevel"/>
    <w:tmpl w:val="9802E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7C3"/>
    <w:rsid w:val="0002772C"/>
    <w:rsid w:val="000335A1"/>
    <w:rsid w:val="00044A5D"/>
    <w:rsid w:val="0009099C"/>
    <w:rsid w:val="000F6062"/>
    <w:rsid w:val="001021B2"/>
    <w:rsid w:val="00136B4E"/>
    <w:rsid w:val="00142E70"/>
    <w:rsid w:val="001E6785"/>
    <w:rsid w:val="00261188"/>
    <w:rsid w:val="00290CC2"/>
    <w:rsid w:val="002C3B62"/>
    <w:rsid w:val="002D0874"/>
    <w:rsid w:val="0031021B"/>
    <w:rsid w:val="00333FB1"/>
    <w:rsid w:val="003A016D"/>
    <w:rsid w:val="003A27F9"/>
    <w:rsid w:val="003D126E"/>
    <w:rsid w:val="00417B8A"/>
    <w:rsid w:val="00424E73"/>
    <w:rsid w:val="004B46DB"/>
    <w:rsid w:val="004D1B0E"/>
    <w:rsid w:val="00510A03"/>
    <w:rsid w:val="005B17C3"/>
    <w:rsid w:val="005C0A5C"/>
    <w:rsid w:val="00616622"/>
    <w:rsid w:val="00620642"/>
    <w:rsid w:val="0066144A"/>
    <w:rsid w:val="00672A58"/>
    <w:rsid w:val="00675CAB"/>
    <w:rsid w:val="0068370E"/>
    <w:rsid w:val="00696988"/>
    <w:rsid w:val="00697728"/>
    <w:rsid w:val="006B4793"/>
    <w:rsid w:val="006C0CC1"/>
    <w:rsid w:val="006C18EE"/>
    <w:rsid w:val="006D1226"/>
    <w:rsid w:val="007025E3"/>
    <w:rsid w:val="007838B8"/>
    <w:rsid w:val="0078723D"/>
    <w:rsid w:val="007A408E"/>
    <w:rsid w:val="007F4E24"/>
    <w:rsid w:val="0080029A"/>
    <w:rsid w:val="008932D1"/>
    <w:rsid w:val="008A39C9"/>
    <w:rsid w:val="008B335B"/>
    <w:rsid w:val="008C1297"/>
    <w:rsid w:val="008E575A"/>
    <w:rsid w:val="00936041"/>
    <w:rsid w:val="009735D7"/>
    <w:rsid w:val="009C1E3D"/>
    <w:rsid w:val="009C426B"/>
    <w:rsid w:val="009E7E7F"/>
    <w:rsid w:val="00A202E9"/>
    <w:rsid w:val="00A412EB"/>
    <w:rsid w:val="00A42065"/>
    <w:rsid w:val="00A55D62"/>
    <w:rsid w:val="00AB0E01"/>
    <w:rsid w:val="00AB796D"/>
    <w:rsid w:val="00AE527D"/>
    <w:rsid w:val="00AF0955"/>
    <w:rsid w:val="00B57AF3"/>
    <w:rsid w:val="00B73815"/>
    <w:rsid w:val="00C60887"/>
    <w:rsid w:val="00C76235"/>
    <w:rsid w:val="00C830FE"/>
    <w:rsid w:val="00C90973"/>
    <w:rsid w:val="00C92375"/>
    <w:rsid w:val="00CA341F"/>
    <w:rsid w:val="00CA4AEC"/>
    <w:rsid w:val="00CB6EC7"/>
    <w:rsid w:val="00D64BB0"/>
    <w:rsid w:val="00D7082C"/>
    <w:rsid w:val="00DF0C2B"/>
    <w:rsid w:val="00E13F84"/>
    <w:rsid w:val="00E37282"/>
    <w:rsid w:val="00E71FD3"/>
    <w:rsid w:val="00EE0B43"/>
    <w:rsid w:val="00EE641C"/>
    <w:rsid w:val="00F76572"/>
    <w:rsid w:val="00F91E73"/>
    <w:rsid w:val="00FB5127"/>
    <w:rsid w:val="00FC117B"/>
    <w:rsid w:val="00FD3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08E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408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10A0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510A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A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412E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basedOn w:val="DefaultParagraphFont"/>
    <w:link w:val="1"/>
    <w:uiPriority w:val="99"/>
    <w:locked/>
    <w:rsid w:val="00A412EB"/>
    <w:rPr>
      <w:rFonts w:cs="Times New Roman"/>
      <w:spacing w:val="3"/>
      <w:sz w:val="18"/>
      <w:szCs w:val="18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412EB"/>
    <w:pPr>
      <w:shd w:val="clear" w:color="auto" w:fill="FFFFFF"/>
      <w:spacing w:before="480" w:line="269" w:lineRule="exact"/>
      <w:jc w:val="both"/>
    </w:pPr>
    <w:rPr>
      <w:spacing w:val="3"/>
      <w:sz w:val="18"/>
      <w:szCs w:val="18"/>
    </w:rPr>
  </w:style>
  <w:style w:type="paragraph" w:customStyle="1" w:styleId="10">
    <w:name w:val="Абзац списка1"/>
    <w:basedOn w:val="Normal"/>
    <w:uiPriority w:val="99"/>
    <w:rsid w:val="008B335B"/>
    <w:pPr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FB512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FB512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E678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E678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E678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E6785"/>
    <w:rPr>
      <w:rFonts w:cs="Times New Roman"/>
    </w:rPr>
  </w:style>
  <w:style w:type="character" w:styleId="PageNumber">
    <w:name w:val="page number"/>
    <w:basedOn w:val="DefaultParagraphFont"/>
    <w:uiPriority w:val="99"/>
    <w:rsid w:val="0068370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10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17</Pages>
  <Words>3811</Words>
  <Characters>21726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11</cp:revision>
  <cp:lastPrinted>2014-04-14T06:41:00Z</cp:lastPrinted>
  <dcterms:created xsi:type="dcterms:W3CDTF">2014-04-14T07:16:00Z</dcterms:created>
  <dcterms:modified xsi:type="dcterms:W3CDTF">2014-04-25T17:28:00Z</dcterms:modified>
</cp:coreProperties>
</file>