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69"/>
        <w:gridCol w:w="4617"/>
      </w:tblGrid>
      <w:tr w:rsidR="00295E73" w:rsidRPr="0043553E" w:rsidTr="00FD456B">
        <w:trPr>
          <w:trHeight w:val="507"/>
        </w:trPr>
        <w:tc>
          <w:tcPr>
            <w:tcW w:w="2514" w:type="pct"/>
          </w:tcPr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sz w:val="20"/>
                <w:szCs w:val="20"/>
              </w:rPr>
              <w:t>УДК 631.8 (075.8)</w:t>
            </w:r>
          </w:p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529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95E73" w:rsidRPr="00F05C68" w:rsidRDefault="00295E73" w:rsidP="0043553E">
            <w:pPr>
              <w:shd w:val="clear" w:color="auto" w:fill="FFFFFF"/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b/>
                <w:color w:val="212121"/>
                <w:spacing w:val="2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b/>
                <w:color w:val="212121"/>
                <w:spacing w:val="2"/>
                <w:sz w:val="20"/>
                <w:szCs w:val="20"/>
              </w:rPr>
              <w:t>ВЛИЯНИЕ МИКРОУДОБРЕНИЙ НА УРОЖАЙНОСТЬ И КАЧЕСТВО КОРНЕПЛОДОВ САХАРНОЙ СВЕКЛЫ</w:t>
            </w:r>
          </w:p>
        </w:tc>
        <w:tc>
          <w:tcPr>
            <w:tcW w:w="2486" w:type="pct"/>
          </w:tcPr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C68">
              <w:rPr>
                <w:rFonts w:ascii="Times New Roman" w:hAnsi="Times New Roman"/>
                <w:sz w:val="20"/>
                <w:szCs w:val="20"/>
                <w:lang w:val="en-US"/>
              </w:rPr>
              <w:t>UDC 631.8 (075.8)</w:t>
            </w:r>
          </w:p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05C6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INFLUENCE OF MICROFERTILIZERS ON PRODUCTIVITY AND QUALITY OF SUGAR BEET ROOTS</w:t>
            </w:r>
          </w:p>
          <w:p w:rsidR="00295E73" w:rsidRPr="00F05C68" w:rsidRDefault="00295E73" w:rsidP="00435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295E73" w:rsidRPr="00F05C68" w:rsidTr="00FD456B">
        <w:trPr>
          <w:trHeight w:val="201"/>
        </w:trPr>
        <w:tc>
          <w:tcPr>
            <w:tcW w:w="2514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sz w:val="20"/>
                <w:szCs w:val="20"/>
              </w:rPr>
              <w:t>Булдыкова Ирина Александровна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к.с.-х.</w:t>
            </w:r>
            <w:r w:rsidRPr="00F05C68">
              <w:rPr>
                <w:rFonts w:ascii="Times New Roman" w:hAnsi="Times New Roman"/>
                <w:sz w:val="20"/>
                <w:szCs w:val="20"/>
              </w:rPr>
              <w:t>н., доцент</w:t>
            </w:r>
          </w:p>
        </w:tc>
        <w:tc>
          <w:tcPr>
            <w:tcW w:w="2486" w:type="pct"/>
          </w:tcPr>
          <w:p w:rsidR="00295E73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C68">
              <w:rPr>
                <w:rFonts w:ascii="Times New Roman" w:hAnsi="Times New Roman"/>
                <w:sz w:val="20"/>
                <w:szCs w:val="20"/>
                <w:lang w:val="en-US"/>
              </w:rPr>
              <w:t>Buldykova Irina Alexandrovna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Cand.</w:t>
            </w:r>
            <w:r w:rsidRPr="00F05C68">
              <w:rPr>
                <w:rFonts w:ascii="Times New Roman" w:hAnsi="Times New Roman"/>
                <w:sz w:val="20"/>
                <w:szCs w:val="20"/>
                <w:lang w:val="en-US"/>
              </w:rPr>
              <w:t>Agri</w:t>
            </w: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Sci.,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associate professor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295E73" w:rsidRPr="0043553E" w:rsidTr="00FD456B">
        <w:trPr>
          <w:trHeight w:val="101"/>
        </w:trPr>
        <w:tc>
          <w:tcPr>
            <w:tcW w:w="2514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sz w:val="20"/>
                <w:szCs w:val="20"/>
              </w:rPr>
              <w:t>Шеуджен Асхад Хазретович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д.б.</w:t>
            </w:r>
            <w:r w:rsidRPr="00F05C68">
              <w:rPr>
                <w:rFonts w:ascii="Times New Roman" w:hAnsi="Times New Roman"/>
                <w:sz w:val="20"/>
                <w:szCs w:val="20"/>
              </w:rPr>
              <w:t>н, чл.-корр. РАСХН, профессор</w:t>
            </w:r>
          </w:p>
        </w:tc>
        <w:tc>
          <w:tcPr>
            <w:tcW w:w="2486" w:type="pct"/>
          </w:tcPr>
          <w:p w:rsidR="00295E73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C68">
              <w:rPr>
                <w:rFonts w:ascii="Times New Roman" w:hAnsi="Times New Roman"/>
                <w:sz w:val="20"/>
                <w:szCs w:val="20"/>
                <w:lang w:val="en-US"/>
              </w:rPr>
              <w:t>Sheudzhen Askhad Hazretovich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F268A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.Biol.</w:t>
            </w:r>
            <w:r w:rsidRPr="00F05C68">
              <w:rPr>
                <w:rFonts w:ascii="Times New Roman" w:hAnsi="Times New Roman"/>
                <w:sz w:val="20"/>
                <w:szCs w:val="20"/>
                <w:lang w:val="en-US"/>
              </w:rPr>
              <w:t>, corresponding member of Russian Academy of Agricultural Sciences, professor</w:t>
            </w:r>
          </w:p>
        </w:tc>
      </w:tr>
      <w:tr w:rsidR="00295E73" w:rsidRPr="0043553E" w:rsidTr="00FD456B">
        <w:trPr>
          <w:trHeight w:val="403"/>
        </w:trPr>
        <w:tc>
          <w:tcPr>
            <w:tcW w:w="2514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2486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F05C68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Kuban</w:t>
              </w:r>
            </w:smartTag>
            <w:r w:rsidRPr="00F05C6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05C68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State</w:t>
              </w:r>
            </w:smartTag>
            <w:r w:rsidRPr="00F05C6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05C68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Agrarian</w:t>
              </w:r>
            </w:smartTag>
            <w:r w:rsidRPr="00F05C6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05C68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University</w:t>
              </w:r>
            </w:smartTag>
            <w:r w:rsidRPr="00F05C68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3 г"/>
              </w:smartTagPr>
              <w:smartTag w:uri="urn:schemas-microsoft-com:office:smarttags" w:element="metricconverter">
                <w:smartTagPr>
                  <w:attr w:name="ProductID" w:val="2013 г"/>
                </w:smartTagPr>
                <w:r w:rsidRPr="00F05C68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Krasnodar</w:t>
                </w:r>
              </w:smartTag>
              <w:r w:rsidRPr="00F05C68">
                <w:rPr>
                  <w:rFonts w:ascii="Times New Roman" w:hAnsi="Times New Roman"/>
                  <w:i/>
                  <w:i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2013 г"/>
                </w:smartTagPr>
                <w:r w:rsidRPr="00F05C68">
                  <w:rPr>
                    <w:rFonts w:ascii="Times New Roman" w:hAnsi="Times New Roman"/>
                    <w:i/>
                    <w:iCs/>
                    <w:color w:val="000000"/>
                    <w:sz w:val="20"/>
                    <w:szCs w:val="20"/>
                    <w:shd w:val="clear" w:color="auto" w:fill="FFFFFF"/>
                    <w:lang w:val="en-US"/>
                  </w:rPr>
                  <w:t>Russia</w:t>
                </w:r>
              </w:smartTag>
            </w:smartTag>
          </w:p>
        </w:tc>
      </w:tr>
      <w:tr w:rsidR="00295E73" w:rsidRPr="0043553E" w:rsidTr="00FD456B">
        <w:trPr>
          <w:trHeight w:val="101"/>
        </w:trPr>
        <w:tc>
          <w:tcPr>
            <w:tcW w:w="2514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86" w:type="pct"/>
          </w:tcPr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295E73" w:rsidRPr="0043553E" w:rsidTr="00FD456B">
        <w:trPr>
          <w:trHeight w:val="486"/>
        </w:trPr>
        <w:tc>
          <w:tcPr>
            <w:tcW w:w="2514" w:type="pct"/>
          </w:tcPr>
          <w:p w:rsidR="00295E73" w:rsidRPr="00F05C68" w:rsidRDefault="00295E73" w:rsidP="0043553E">
            <w:pPr>
              <w:shd w:val="clear" w:color="auto" w:fill="FFFFFF"/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color w:val="212121"/>
                <w:spacing w:val="2"/>
                <w:sz w:val="20"/>
                <w:szCs w:val="20"/>
              </w:rPr>
            </w:pPr>
            <w:r w:rsidRPr="00F05C68">
              <w:rPr>
                <w:rFonts w:ascii="Times New Roman" w:hAnsi="Times New Roman"/>
                <w:color w:val="212121"/>
                <w:spacing w:val="2"/>
                <w:sz w:val="20"/>
                <w:szCs w:val="20"/>
              </w:rPr>
              <w:t>Установлено положительное действие микроэлементов на урожайность и качество сахарной свеклы на черноземе выщелоченном Западного Предкавказья</w:t>
            </w:r>
          </w:p>
          <w:p w:rsidR="00295E73" w:rsidRPr="00F05C68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6" w:type="pct"/>
          </w:tcPr>
          <w:p w:rsidR="00295E73" w:rsidRPr="00481A79" w:rsidRDefault="00295E73" w:rsidP="0043553E">
            <w:pPr>
              <w:pStyle w:val="1"/>
              <w:tabs>
                <w:tab w:val="left" w:pos="9072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Positive effect of microelements on productivity and quality of sugar beet on the leached black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soil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West Fore-Caucasus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region </w:t>
            </w:r>
            <w:r w:rsidRPr="00481A79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has been determined</w:t>
            </w:r>
          </w:p>
        </w:tc>
      </w:tr>
      <w:tr w:rsidR="00295E73" w:rsidRPr="00E123EA" w:rsidTr="00E123EA">
        <w:trPr>
          <w:trHeight w:val="966"/>
        </w:trPr>
        <w:tc>
          <w:tcPr>
            <w:tcW w:w="2514" w:type="pct"/>
          </w:tcPr>
          <w:p w:rsidR="00295E73" w:rsidRPr="00E123EA" w:rsidRDefault="00295E73" w:rsidP="0043553E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123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Ключевые слова: САХАРНАЯ СВЕКЛА, </w:t>
            </w:r>
            <w:r w:rsidRPr="00E123EA">
              <w:rPr>
                <w:rFonts w:ascii="Times New Roman" w:hAnsi="Times New Roman"/>
                <w:sz w:val="20"/>
                <w:szCs w:val="20"/>
              </w:rPr>
              <w:t>МИКРОЭЛЕМЕНТЫ, НЕКОРНЕВАЯ ПОДКОРМКА РАСТЕНИЙ, ФАЗЫ ВЕГЕТАЦИИ, УРОЖАЙНОСТЬ, САХАРИСТОСТЬ</w:t>
            </w:r>
          </w:p>
        </w:tc>
        <w:tc>
          <w:tcPr>
            <w:tcW w:w="2486" w:type="pct"/>
          </w:tcPr>
          <w:p w:rsidR="00295E73" w:rsidRPr="00E123EA" w:rsidRDefault="00295E73" w:rsidP="00E123EA">
            <w:pPr>
              <w:pStyle w:val="1"/>
              <w:tabs>
                <w:tab w:val="left" w:pos="9072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23EA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Keywords:</w:t>
            </w:r>
            <w:r w:rsidRPr="00E123E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BEET ROOTS, MICROELEMENTS, FOLIAR PLANT FERTILIZING, PHASES OF VEGETATION, PRODUCTIVITY, SUGAR CONTENT</w:t>
            </w:r>
          </w:p>
        </w:tc>
      </w:tr>
    </w:tbl>
    <w:p w:rsidR="00295E73" w:rsidRPr="00E1043C" w:rsidRDefault="00295E73" w:rsidP="001E4936">
      <w:pPr>
        <w:shd w:val="clear" w:color="auto" w:fill="FFFFFF"/>
        <w:tabs>
          <w:tab w:val="left" w:pos="9072"/>
        </w:tabs>
        <w:spacing w:after="0"/>
        <w:ind w:right="-6" w:firstLine="284"/>
        <w:jc w:val="both"/>
        <w:rPr>
          <w:rFonts w:ascii="Times New Roman" w:hAnsi="Times New Roman"/>
          <w:b/>
          <w:color w:val="212121"/>
          <w:spacing w:val="2"/>
          <w:sz w:val="28"/>
          <w:szCs w:val="28"/>
          <w:lang w:val="en-US"/>
        </w:rPr>
      </w:pPr>
    </w:p>
    <w:p w:rsidR="00295E73" w:rsidRPr="00E1043C" w:rsidRDefault="00295E73" w:rsidP="001E4936">
      <w:pPr>
        <w:shd w:val="clear" w:color="auto" w:fill="FFFFFF"/>
        <w:tabs>
          <w:tab w:val="left" w:pos="9072"/>
        </w:tabs>
        <w:spacing w:after="0"/>
        <w:ind w:right="-6" w:firstLine="284"/>
        <w:jc w:val="both"/>
        <w:rPr>
          <w:rFonts w:ascii="Times New Roman" w:hAnsi="Times New Roman"/>
          <w:b/>
          <w:color w:val="212121"/>
          <w:spacing w:val="2"/>
          <w:sz w:val="28"/>
          <w:szCs w:val="28"/>
          <w:lang w:val="en-US"/>
        </w:rPr>
      </w:pP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right="-6" w:firstLine="567"/>
        <w:jc w:val="both"/>
        <w:rPr>
          <w:rFonts w:ascii="Times New Roman" w:hAnsi="Times New Roman"/>
          <w:color w:val="212121"/>
          <w:spacing w:val="2"/>
          <w:sz w:val="28"/>
          <w:szCs w:val="28"/>
        </w:rPr>
      </w:pPr>
      <w:r>
        <w:rPr>
          <w:rFonts w:ascii="Times New Roman" w:hAnsi="Times New Roman"/>
          <w:color w:val="212121"/>
          <w:spacing w:val="2"/>
          <w:sz w:val="28"/>
          <w:szCs w:val="28"/>
        </w:rPr>
        <w:t xml:space="preserve">Важнейшей задачей сельского хозяйства в современных условиях остается повышение продуктивности земледелия. Успешное ее решение неразрывно связано с рациональным применением агрохимических средств в земледелии, обеспечивающих достижение экономической эффективности и агроэкологической целесообразности. Сложившийся уровень химизации требует глубокого и всестороннего исследования возможностей использования минеральных удобрений. 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right="-6" w:firstLine="567"/>
        <w:jc w:val="both"/>
        <w:rPr>
          <w:rFonts w:ascii="Times New Roman" w:hAnsi="Times New Roman"/>
          <w:color w:val="212121"/>
          <w:spacing w:val="2"/>
          <w:sz w:val="28"/>
          <w:szCs w:val="28"/>
        </w:rPr>
      </w:pPr>
      <w:r>
        <w:rPr>
          <w:rFonts w:ascii="Times New Roman" w:hAnsi="Times New Roman"/>
          <w:color w:val="212121"/>
          <w:spacing w:val="2"/>
          <w:sz w:val="28"/>
          <w:szCs w:val="28"/>
        </w:rPr>
        <w:t xml:space="preserve">Одним из факторов, обуславливающих повышение  эффективности удобрений, является сбалансированность их всеми необходимыми для питания растений макро- и микроэлементами. Применение микроудобрений в комплексе с макроудобрениями эффективно и не требует больших затрат и вследствие этого заслуживает должного внимания. </w:t>
      </w:r>
      <w:r>
        <w:rPr>
          <w:rFonts w:ascii="Times New Roman" w:hAnsi="Times New Roman"/>
          <w:sz w:val="28"/>
          <w:szCs w:val="28"/>
        </w:rPr>
        <w:t xml:space="preserve">Одной из культур, положительно отзывающихся на применение микроудобрений, является сахарная свекла. 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Сахарная свекла – единственная в Российской Федерации сахароносная культура [3]. В Краснодарском крае площади сахарной свеклы к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1990 г</w:t>
        </w:r>
      </w:smartTag>
      <w:r>
        <w:rPr>
          <w:rFonts w:ascii="Times New Roman" w:hAnsi="Times New Roman"/>
          <w:sz w:val="28"/>
          <w:szCs w:val="28"/>
        </w:rPr>
        <w:t>. достигали 196 тыс. га, однако за десять лет перестройки они сократились на 70 тыс. га, и пока заметного роста не наблюдается.</w:t>
      </w:r>
    </w:p>
    <w:p w:rsidR="00295E73" w:rsidRDefault="00295E73" w:rsidP="00F7729F">
      <w:pPr>
        <w:tabs>
          <w:tab w:val="left" w:pos="9072"/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исследований – установление агроэкологической эффективности некорневой подкормки растений сахарной свеклымикроэлементами. 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МЕТОДИКА. </w:t>
      </w:r>
      <w:r>
        <w:rPr>
          <w:rFonts w:ascii="Times New Roman" w:hAnsi="Times New Roman"/>
          <w:sz w:val="28"/>
          <w:szCs w:val="28"/>
        </w:rPr>
        <w:t>Исследования проводились на стационарном опытном поле кафедры агрохимии Кубанского государственного аграрного университета, расположенного в учхозе «Кубань» г. Краснодара.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Почва опытного участка – чернозем выщелоченный слабогумусный сверхмощный, характеризующийся низким содержанием общего азота </w:t>
      </w:r>
      <w:r>
        <w:rPr>
          <w:rFonts w:ascii="Times New Roman" w:hAnsi="Times New Roman"/>
          <w:sz w:val="28"/>
          <w:szCs w:val="28"/>
        </w:rPr>
        <w:br/>
        <w:t xml:space="preserve">(0,18 %),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средним содержанием валового фосфора (0,19 %) и высоким - общего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калия (2,1 %).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Схема опыта включает </w:t>
      </w:r>
      <w:r>
        <w:rPr>
          <w:rFonts w:ascii="Times New Roman" w:hAnsi="Times New Roman"/>
          <w:sz w:val="28"/>
          <w:szCs w:val="28"/>
        </w:rPr>
        <w:t>семь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вариантов, повтор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ность - четырехкратная. Расположение вариантов – рендомизированное. Общая площадь делянок -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color w:val="000000"/>
            <w:spacing w:val="-1"/>
            <w:sz w:val="28"/>
            <w:szCs w:val="28"/>
          </w:rPr>
          <w:t>30 м</w:t>
        </w:r>
        <w:r>
          <w:rPr>
            <w:rFonts w:ascii="Times New Roman" w:hAnsi="Times New Roman"/>
            <w:color w:val="000000"/>
            <w:spacing w:val="-1"/>
            <w:sz w:val="28"/>
            <w:szCs w:val="28"/>
            <w:vertAlign w:val="superscript"/>
          </w:rPr>
          <w:t>2</w:t>
        </w:r>
      </w:smartTag>
      <w:r w:rsidRPr="00CA1CD3">
        <w:rPr>
          <w:rFonts w:ascii="Times New Roman" w:hAnsi="Times New Roman"/>
          <w:color w:val="000000"/>
          <w:spacing w:val="-1"/>
          <w:sz w:val="28"/>
          <w:szCs w:val="28"/>
        </w:rPr>
        <w:t xml:space="preserve">, учетная – </w:t>
      </w:r>
      <w:smartTag w:uri="urn:schemas-microsoft-com:office:smarttags" w:element="metricconverter">
        <w:smartTagPr>
          <w:attr w:name="ProductID" w:val="2013 г"/>
        </w:smartTagPr>
        <w:r w:rsidRPr="00CA1CD3">
          <w:rPr>
            <w:rFonts w:ascii="Times New Roman" w:hAnsi="Times New Roman"/>
            <w:color w:val="000000"/>
            <w:spacing w:val="-1"/>
            <w:sz w:val="28"/>
            <w:szCs w:val="28"/>
          </w:rPr>
          <w:t>25 м</w:t>
        </w:r>
        <w:r w:rsidRPr="00CA1CD3">
          <w:rPr>
            <w:rFonts w:ascii="Times New Roman" w:hAnsi="Times New Roman"/>
            <w:color w:val="000000"/>
            <w:spacing w:val="-1"/>
            <w:sz w:val="28"/>
            <w:szCs w:val="28"/>
            <w:vertAlign w:val="superscript"/>
          </w:rPr>
          <w:t>2</w:t>
        </w:r>
      </w:smartTag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.   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Действие микроэлементов изучали на фоне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80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Минеральные удобрения вносили осенью под основную обработку почвы </w:t>
      </w:r>
      <w:r>
        <w:rPr>
          <w:rFonts w:ascii="Times New Roman" w:hAnsi="Times New Roman"/>
          <w:color w:val="000000"/>
          <w:sz w:val="28"/>
          <w:szCs w:val="28"/>
        </w:rPr>
        <w:t>вручную. Предшественник – озимая пшеница. Агротехника – общепринятая для Центральной зоны Краснодарского края.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качестве азотного удобрения была использована мочевина(карбамид)-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CO</w:t>
      </w:r>
      <w:r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NH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z w:val="28"/>
          <w:szCs w:val="28"/>
        </w:rPr>
        <w:t>-46 %, ,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калийного – хлористый калий,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KCl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hAnsi="Times New Roman"/>
          <w:color w:val="000000"/>
          <w:sz w:val="28"/>
          <w:szCs w:val="28"/>
        </w:rPr>
        <w:t xml:space="preserve"> - 60 %,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комплексного – аммофос,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NH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H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PO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-12 %,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br/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O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5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-50 %.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В фазу 2-4 пар настоящих листьев </w:t>
      </w:r>
      <w:r>
        <w:rPr>
          <w:rFonts w:ascii="Times New Roman" w:hAnsi="Times New Roman"/>
          <w:sz w:val="28"/>
          <w:szCs w:val="28"/>
        </w:rPr>
        <w:t>сахарной свеклы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была проведена некорневая подкормка растений водными растворами микроэлементов в концентрации 0,1 % из расчета 300 л/га. В качестве микроудобрений были использованы соли: сульфаты –  цинка, меди, кобальта,  марганца; борная кислота и молибдат аммония.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Сев сахарной свеклы был осуществлен во второй декаде апреля, </w:t>
      </w:r>
      <w:r>
        <w:rPr>
          <w:rFonts w:ascii="Times New Roman" w:hAnsi="Times New Roman"/>
          <w:sz w:val="28"/>
          <w:szCs w:val="28"/>
        </w:rPr>
        <w:br/>
        <w:t>сорт – Неро.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Погодные условия в годы исследований складывались удовлетворительно для роста и развития растений сахарной свеклы и были типичными для центральной зоны Краснодарского края. 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время вегетации растений сахарной свеклы (4-6 пар настоящих листьев – смыкание растений в рядках – техническая спелость или размыкание растений в рядках) в полевом опыте был выполнен ряд аналитических работ, проводимых согласно ГОСТу. Были проведены исследования по определению содержания азота, фосфора и калия по методу Куркаева в модификации Щукина [2]. Учет урожайности корнеплодов сахарной свеклы проводили путем взвешивания корнеплодов с каждой делянки по повторностям. Содержание сахара в корнеплодах сахарной свеклы определяли поляриметрическим методом.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экспериментальные данные математически обрабатывали  дисперсионным методом по Доспехову.</w:t>
      </w:r>
    </w:p>
    <w:p w:rsidR="00295E73" w:rsidRDefault="00295E73" w:rsidP="00F7729F">
      <w:pPr>
        <w:tabs>
          <w:tab w:val="left" w:pos="9072"/>
          <w:tab w:val="left" w:pos="9355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Результаты исследований.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Некорневая подкормка посевов сахарной свеклы микроэлементами оказала положительное влияние на  содержание азота в растениях (таблица 1). </w:t>
      </w:r>
    </w:p>
    <w:p w:rsidR="00295E73" w:rsidRPr="00FF538A" w:rsidRDefault="00295E73" w:rsidP="00F7729F">
      <w:pPr>
        <w:tabs>
          <w:tab w:val="left" w:pos="9072"/>
          <w:tab w:val="left" w:pos="9355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Содержание этого элемента увеличилось в фазу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4-6 пар настоящих листьев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при применении микроудобрений на 0,03-</w:t>
      </w:r>
      <w:r>
        <w:rPr>
          <w:rFonts w:ascii="Times New Roman" w:hAnsi="Times New Roman"/>
          <w:color w:val="000000"/>
          <w:spacing w:val="4"/>
          <w:sz w:val="28"/>
          <w:szCs w:val="28"/>
        </w:rPr>
        <w:br/>
        <w:t xml:space="preserve">0,41 %, </w:t>
      </w:r>
      <w:r>
        <w:rPr>
          <w:rFonts w:ascii="Times New Roman" w:hAnsi="Times New Roman"/>
          <w:sz w:val="28"/>
          <w:szCs w:val="28"/>
        </w:rPr>
        <w:t>смыкания рядков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– на 0,08-0,33 %, размыкания рядков в листьях </w:t>
      </w:r>
      <w:r w:rsidRPr="00F7729F">
        <w:rPr>
          <w:rFonts w:ascii="Times New Roman" w:hAnsi="Times New Roman"/>
          <w:color w:val="000000"/>
          <w:spacing w:val="4"/>
          <w:sz w:val="28"/>
          <w:szCs w:val="28"/>
        </w:rPr>
        <w:t>-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на 0,07-0,26 %, в корнеплодах на 0,16-0,26 % по сравнению с контролем</w:t>
      </w:r>
      <w:r>
        <w:rPr>
          <w:rFonts w:ascii="Times New Roman" w:hAnsi="Times New Roman"/>
          <w:sz w:val="28"/>
          <w:szCs w:val="28"/>
        </w:rPr>
        <w:t>.</w:t>
      </w:r>
    </w:p>
    <w:p w:rsidR="00295E73" w:rsidRPr="00F7729F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Наибольшее влияние на содержание азота в растениях сахарной свеклы оказали медь, марганец и бор, увеличив его количество как в листьях, так и в корнеплодах.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95E73" w:rsidRPr="00F7729F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1 - Динамика содержания азота в растениях сахарной свеклы при некорневой подкормке микроудобрениями, % сухой массы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(среднее за 2012-2013 гг.)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701"/>
        <w:gridCol w:w="1701"/>
        <w:gridCol w:w="1805"/>
        <w:gridCol w:w="1880"/>
      </w:tblGrid>
      <w:tr w:rsidR="00295E73" w:rsidRPr="00F05C68" w:rsidTr="00F7729F">
        <w:tc>
          <w:tcPr>
            <w:tcW w:w="2093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087" w:type="dxa"/>
            <w:gridSpan w:val="4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295E73" w:rsidRPr="00F05C68" w:rsidTr="00F7729F">
        <w:trPr>
          <w:trHeight w:val="255"/>
        </w:trPr>
        <w:tc>
          <w:tcPr>
            <w:tcW w:w="2093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4-6 пар настоящих листьев</w:t>
            </w:r>
          </w:p>
        </w:tc>
        <w:tc>
          <w:tcPr>
            <w:tcW w:w="1701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смыкание</w:t>
            </w:r>
          </w:p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рядков</w:t>
            </w:r>
          </w:p>
        </w:tc>
        <w:tc>
          <w:tcPr>
            <w:tcW w:w="3685" w:type="dxa"/>
            <w:gridSpan w:val="2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техническая спелость (размыкание рядков)</w:t>
            </w:r>
          </w:p>
        </w:tc>
      </w:tr>
      <w:tr w:rsidR="00295E73" w:rsidRPr="00F05C68" w:rsidTr="00F7729F">
        <w:trPr>
          <w:trHeight w:val="448"/>
        </w:trPr>
        <w:tc>
          <w:tcPr>
            <w:tcW w:w="2093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листья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корнеплод</w:t>
            </w:r>
          </w:p>
        </w:tc>
      </w:tr>
      <w:tr w:rsidR="00295E73" w:rsidRPr="00F05C68" w:rsidTr="00F7729F">
        <w:trPr>
          <w:trHeight w:val="567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 xml:space="preserve"> – фон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2,93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2,82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1,33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</w:tr>
      <w:tr w:rsidR="00295E73" w:rsidRPr="00F05C68" w:rsidTr="00F7729F">
        <w:trPr>
          <w:trHeight w:val="571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2,96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2,90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1,46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1,09</w:t>
            </w:r>
          </w:p>
        </w:tc>
      </w:tr>
      <w:tr w:rsidR="00295E73" w:rsidRPr="00F05C68" w:rsidTr="00F7729F">
        <w:trPr>
          <w:trHeight w:val="526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3,34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1,59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1,19</w:t>
            </w:r>
          </w:p>
        </w:tc>
      </w:tr>
      <w:tr w:rsidR="00295E73" w:rsidRPr="00F05C68" w:rsidTr="00F7729F">
        <w:trPr>
          <w:trHeight w:val="669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2,96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95E73" w:rsidRPr="00F05C68" w:rsidTr="00F7729F">
        <w:trPr>
          <w:trHeight w:val="538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3,28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1,48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1,10</w:t>
            </w:r>
          </w:p>
        </w:tc>
      </w:tr>
      <w:tr w:rsidR="00295E73" w:rsidRPr="00F05C68" w:rsidTr="00F7729F">
        <w:trPr>
          <w:trHeight w:val="556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3,05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2,92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1,53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</w:tr>
      <w:tr w:rsidR="00295E73" w:rsidRPr="00F05C68" w:rsidTr="00F7729F">
        <w:trPr>
          <w:trHeight w:val="427"/>
        </w:trPr>
        <w:tc>
          <w:tcPr>
            <w:tcW w:w="209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3,06</w:t>
            </w:r>
          </w:p>
        </w:tc>
        <w:tc>
          <w:tcPr>
            <w:tcW w:w="180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1,54</w:t>
            </w:r>
          </w:p>
        </w:tc>
        <w:tc>
          <w:tcPr>
            <w:tcW w:w="188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1,17</w:t>
            </w:r>
          </w:p>
        </w:tc>
      </w:tr>
    </w:tbl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фазу 4-6 пар настоящих листьевсодержание азота на этих вариантах превысило контроль на 0,13, 0,35 и 0,41 %, в фазу смыкания рядков  - 0,10, 0,24 и 0,33 %, размыкания рядков на  0,23, 0,24 и 0,26 %, в корнеплодах на 0,23, 0,24, 0,26 % соответственно. 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оптимального роста и развития свеклы фосфор необходим в течение всего вегетационного периода. Потребность растений в этом элементе значительно меньше, чем в азоте и калии. Несмотря на это, фосфор играет важную роль в росте растений и формировании урожая, ускоряет развитие  и созревание растений, повышает устойчивость к грибным заболеваниям, пониженным температурам и заморозкам, способствует быстрому развитию корневой системы, особенно в критический период питания, ускоряет отмирание листьев в конце вегетации, улучшает качество корнеплодов и уравновешивает действие избытка азота. С участием этого элемента происходит синтез сахарозы в листьях, которая сосредотачивается в корнеплодах [3].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3" w:right="45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Некорневая подкормка посевов сахарной свеклы микроудобрениями оказала влияние и на содержание фосфора в растениях (таблица 2).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Динамика содержания фосфора в растениях сахарной свеклы при некорневой подкормке  микроудобрениями, % сухой массы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(среднее за 2012-2013 гг.)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985"/>
        <w:gridCol w:w="1701"/>
        <w:gridCol w:w="1701"/>
        <w:gridCol w:w="1701"/>
      </w:tblGrid>
      <w:tr w:rsidR="00295E73" w:rsidRPr="00F05C68" w:rsidTr="00F7729F">
        <w:tc>
          <w:tcPr>
            <w:tcW w:w="2268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7088" w:type="dxa"/>
            <w:gridSpan w:val="4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295E73" w:rsidRPr="00F05C68" w:rsidTr="00F7729F">
        <w:trPr>
          <w:trHeight w:val="511"/>
        </w:trPr>
        <w:tc>
          <w:tcPr>
            <w:tcW w:w="2268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4-6 пар настоящих листьев</w:t>
            </w:r>
          </w:p>
        </w:tc>
        <w:tc>
          <w:tcPr>
            <w:tcW w:w="1701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смыкание рядков</w:t>
            </w:r>
          </w:p>
        </w:tc>
        <w:tc>
          <w:tcPr>
            <w:tcW w:w="3402" w:type="dxa"/>
            <w:gridSpan w:val="2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техническая спелость (размыкание рядков)</w:t>
            </w:r>
          </w:p>
        </w:tc>
      </w:tr>
      <w:tr w:rsidR="00295E73" w:rsidRPr="00F05C68" w:rsidTr="00F7729F">
        <w:trPr>
          <w:trHeight w:val="543"/>
        </w:trPr>
        <w:tc>
          <w:tcPr>
            <w:tcW w:w="2268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листья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корнеплод</w:t>
            </w:r>
          </w:p>
        </w:tc>
      </w:tr>
      <w:tr w:rsidR="00295E73" w:rsidRPr="00F05C68" w:rsidTr="00F7729F">
        <w:trPr>
          <w:trHeight w:val="575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 xml:space="preserve"> – фон 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0,37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</w:tr>
      <w:tr w:rsidR="00295E73" w:rsidRPr="00F05C68" w:rsidTr="00F7729F">
        <w:trPr>
          <w:trHeight w:val="570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0,40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95E73" w:rsidRPr="00F05C68" w:rsidTr="00F7729F">
        <w:trPr>
          <w:trHeight w:val="693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0,31</w:t>
            </w:r>
          </w:p>
        </w:tc>
      </w:tr>
      <w:tr w:rsidR="00295E73" w:rsidRPr="00F05C68" w:rsidTr="00F7729F">
        <w:trPr>
          <w:trHeight w:val="667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</w:tr>
      <w:tr w:rsidR="00295E73" w:rsidRPr="00F05C68" w:rsidTr="00F7729F">
        <w:trPr>
          <w:trHeight w:val="699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0,42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0,23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95E73" w:rsidRPr="00F05C68" w:rsidTr="00F7729F">
        <w:trPr>
          <w:trHeight w:val="695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0,47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0,41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95E73" w:rsidRPr="00F05C68" w:rsidTr="00F7729F">
        <w:trPr>
          <w:trHeight w:val="561"/>
        </w:trPr>
        <w:tc>
          <w:tcPr>
            <w:tcW w:w="2268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985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Содержание фосфора в вегетативных органах сахарной свеклы в значительной степени зависит от фазы развития растений. Этим элементом наиболее богаты молодые, активно растущие растения. Так, в фазу 4-6 пар листьев растений содержание фосфора по сравнению с контролем увеличилось на 0,02 - 0,05 %, в фазу смыкания рядков – на 0,03-0,07 %.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Наибольшее влияние на содержание фосфора в растениях сахарной свеклы оказали бор и марганец. Так, в фазе 4-6 пар настоящих листьев, смыкания и размыкания рядков содержание фосфора в растениях под воздействием бора возрастало на 0,05, 0,07 и 0,09 (листья), 0,07 % (корнеплоды).</w:t>
      </w: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Больше всего калия содержат растущие органы растений сахарной свеклы. Это указывает на его особую роль в передвижении, обмене веществ, накоплении сахара. Он необходим для фотосинтеза, повышает холодо- и засухоустойчивость растений, устойчивость к их заболеваниям, играет активную роль в развитии корнеплодов, ускоряет их созревание, повышает качество и улучшает лежкость[ 1,3].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Проведенные исследования показали положительное влияние микроэлементов на содержание калия в растениях сахарной свеклы (таблица 3).</w:t>
      </w:r>
    </w:p>
    <w:p w:rsidR="00295E73" w:rsidRPr="004C0900" w:rsidRDefault="00295E73" w:rsidP="004C0900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Максимальное содержание калия в вегетативной массе сахарной свеклы по всем вариантам опыта приходится в фазу 4-6 пар настоящих листьев, а затем происходит его уменьшение. Так, на фоне – 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80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>80</w:t>
      </w:r>
      <w:r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K</w:t>
      </w:r>
      <w:r>
        <w:rPr>
          <w:rFonts w:ascii="Times New Roman" w:hAnsi="Times New Roman"/>
          <w:color w:val="000000"/>
          <w:spacing w:val="4"/>
          <w:sz w:val="28"/>
          <w:szCs w:val="28"/>
          <w:vertAlign w:val="subscript"/>
        </w:rPr>
        <w:t xml:space="preserve">80 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содержание калия с  4,74 % в фазу 4-6 пар листьев снизилось до 3,19 % в фазу смыкания рядков, то есть уменьшилось на 1,55 %.</w:t>
      </w:r>
    </w:p>
    <w:p w:rsidR="00295E73" w:rsidRDefault="00295E73" w:rsidP="004C0900">
      <w:pPr>
        <w:shd w:val="clear" w:color="auto" w:fill="FFFFFF"/>
        <w:tabs>
          <w:tab w:val="left" w:pos="3960"/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Некорневая подкормка посевов сахарной свеклы микроэлементами способствовала увеличению этого показателя на 0,22- 0,55 % в фазу 4-6 пар листьев и на 0,15-0,51 % в фазу смыкания рядков. Наименьшее влияние в эти фазы вегетации растений свеклы оказала обработка цинком и  кобальтом.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</w:p>
    <w:p w:rsidR="00295E73" w:rsidRPr="004E6E61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</w:p>
    <w:p w:rsidR="00295E73" w:rsidRPr="004C0900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Таблица 3 – Динамика содержания калия в растениях сахарной свеклы при некорневой подкормке микроудобрениями, % сухой массы</w:t>
      </w:r>
    </w:p>
    <w:bookmarkEnd w:id="0"/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среднее за 2012-2013 гг.)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7"/>
        <w:gridCol w:w="1730"/>
        <w:gridCol w:w="1839"/>
        <w:gridCol w:w="1563"/>
        <w:gridCol w:w="1836"/>
      </w:tblGrid>
      <w:tr w:rsidR="00295E73" w:rsidRPr="00F05C68" w:rsidTr="007A37FC">
        <w:tc>
          <w:tcPr>
            <w:tcW w:w="2347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6968" w:type="dxa"/>
            <w:gridSpan w:val="4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Фаза вегетации</w:t>
            </w:r>
          </w:p>
        </w:tc>
      </w:tr>
      <w:tr w:rsidR="00295E73" w:rsidRPr="00F05C68" w:rsidTr="007A37FC">
        <w:trPr>
          <w:trHeight w:val="255"/>
        </w:trPr>
        <w:tc>
          <w:tcPr>
            <w:tcW w:w="2347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4-6 пар настоящих  листьев</w:t>
            </w:r>
          </w:p>
        </w:tc>
        <w:tc>
          <w:tcPr>
            <w:tcW w:w="1839" w:type="dxa"/>
            <w:vMerge w:val="restart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смыкание рядков</w:t>
            </w:r>
          </w:p>
        </w:tc>
        <w:tc>
          <w:tcPr>
            <w:tcW w:w="3399" w:type="dxa"/>
            <w:gridSpan w:val="2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техническая спелость (размыкание рядков)</w:t>
            </w:r>
          </w:p>
        </w:tc>
      </w:tr>
      <w:tr w:rsidR="00295E73" w:rsidRPr="00F05C68" w:rsidTr="007A37FC">
        <w:trPr>
          <w:trHeight w:val="533"/>
        </w:trPr>
        <w:tc>
          <w:tcPr>
            <w:tcW w:w="2347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68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9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листья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корнеплод</w:t>
            </w:r>
          </w:p>
        </w:tc>
      </w:tr>
      <w:tr w:rsidR="00295E73" w:rsidRPr="00F05C68" w:rsidTr="007A37FC">
        <w:trPr>
          <w:trHeight w:val="626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80 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>– фон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4,74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3,19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2,63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1,08</w:t>
            </w:r>
          </w:p>
        </w:tc>
      </w:tr>
      <w:tr w:rsidR="00295E73" w:rsidRPr="00F05C68" w:rsidTr="007A37FC">
        <w:trPr>
          <w:trHeight w:val="568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Zn 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4,96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672"/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3,36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2,82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1,17</w:t>
            </w:r>
          </w:p>
        </w:tc>
      </w:tr>
      <w:tr w:rsidR="00295E73" w:rsidRPr="00F05C68" w:rsidTr="007A37FC">
        <w:trPr>
          <w:trHeight w:val="707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5,19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3,70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3,00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1,28</w:t>
            </w:r>
          </w:p>
        </w:tc>
      </w:tr>
      <w:tr w:rsidR="00295E73" w:rsidRPr="00F05C68" w:rsidTr="007A37FC">
        <w:trPr>
          <w:trHeight w:val="712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 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4,95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3,42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2,87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</w:tr>
      <w:tr w:rsidR="00295E73" w:rsidRPr="00F05C68" w:rsidTr="007A37FC">
        <w:trPr>
          <w:trHeight w:val="705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Mo  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5,11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3,44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2,90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1,16</w:t>
            </w:r>
          </w:p>
        </w:tc>
      </w:tr>
      <w:tr w:rsidR="00295E73" w:rsidRPr="00F05C68" w:rsidTr="007A37FC">
        <w:trPr>
          <w:trHeight w:val="697"/>
        </w:trPr>
        <w:tc>
          <w:tcPr>
            <w:tcW w:w="2347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Cu 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5,04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3,43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2,89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1,19</w:t>
            </w:r>
          </w:p>
        </w:tc>
      </w:tr>
      <w:tr w:rsidR="00295E73" w:rsidRPr="00F05C68" w:rsidTr="007A37FC">
        <w:trPr>
          <w:trHeight w:val="705"/>
        </w:trPr>
        <w:tc>
          <w:tcPr>
            <w:tcW w:w="2347" w:type="dxa"/>
          </w:tcPr>
          <w:p w:rsidR="00295E73" w:rsidRPr="00F05C68" w:rsidRDefault="00295E73" w:rsidP="004C0900">
            <w:pPr>
              <w:tabs>
                <w:tab w:val="left" w:pos="9072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730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5,15</w:t>
            </w:r>
          </w:p>
        </w:tc>
        <w:tc>
          <w:tcPr>
            <w:tcW w:w="1839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3,51</w:t>
            </w:r>
          </w:p>
        </w:tc>
        <w:tc>
          <w:tcPr>
            <w:tcW w:w="156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2,96</w:t>
            </w:r>
          </w:p>
        </w:tc>
        <w:tc>
          <w:tcPr>
            <w:tcW w:w="1836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1,29</w:t>
            </w:r>
          </w:p>
        </w:tc>
      </w:tr>
    </w:tbl>
    <w:p w:rsidR="00295E73" w:rsidRDefault="00295E73" w:rsidP="00F7729F">
      <w:pPr>
        <w:shd w:val="clear" w:color="auto" w:fill="FFFFFF"/>
        <w:tabs>
          <w:tab w:val="left" w:pos="3960"/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В фазе размыкания рядков содержание калия в листьях было максимальным при обработке марганцем и бором и превысило контроль на 0,33 и 0,37 % соответственно. В корнеплодах содержание калия увеличивалось при обработке микроэлементами на 0,09-0,21 % и наибольшее влияние оказали также марганец и бор, превысив фон на 0,20 и 0,21 %. </w:t>
      </w:r>
    </w:p>
    <w:p w:rsidR="00295E73" w:rsidRDefault="00295E73" w:rsidP="00F7729F">
      <w:pPr>
        <w:shd w:val="clear" w:color="auto" w:fill="FFFFFF"/>
        <w:tabs>
          <w:tab w:val="left" w:pos="9072"/>
        </w:tabs>
        <w:spacing w:after="0" w:line="360" w:lineRule="auto"/>
        <w:ind w:left="22" w:right="43" w:firstLine="567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Таким образом, некорневая подкормка посевов сахарной свеклы микроудобрениями усиливает биохимические процессы в растениях и способствуют большему поглощению ими азота, фосфора и калия.</w:t>
      </w:r>
    </w:p>
    <w:p w:rsidR="00295E73" w:rsidRDefault="00295E73" w:rsidP="00F7729F">
      <w:pPr>
        <w:pStyle w:val="ListParagraph"/>
        <w:tabs>
          <w:tab w:val="left" w:pos="9072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Урожай является итогом физиолого-биохимических процессов, протекающих в растениях, направленность которых зависит от генетической природы самого растения и условий внешней среды. Именно он является основным критерием эффективности того или иного агроприема</w:t>
      </w:r>
      <w:r w:rsidRPr="003D7915">
        <w:rPr>
          <w:rFonts w:ascii="Times New Roman" w:hAnsi="Times New Roman"/>
          <w:sz w:val="28"/>
          <w:szCs w:val="28"/>
        </w:rPr>
        <w:t xml:space="preserve">[ </w:t>
      </w:r>
      <w:r>
        <w:rPr>
          <w:rFonts w:ascii="Times New Roman" w:hAnsi="Times New Roman"/>
          <w:sz w:val="28"/>
          <w:szCs w:val="28"/>
        </w:rPr>
        <w:t>3</w:t>
      </w:r>
      <w:r w:rsidRPr="003D7915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95E73" w:rsidRPr="00481A79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Некорневая подкормка растений сахарной свеклы микроудобрениями оказала положительное влияние на количество и качество урожая </w:t>
      </w:r>
      <w:r>
        <w:rPr>
          <w:rFonts w:ascii="Times New Roman" w:hAnsi="Times New Roman"/>
          <w:sz w:val="28"/>
          <w:szCs w:val="28"/>
        </w:rPr>
        <w:br/>
        <w:t xml:space="preserve">(таблица 4). </w:t>
      </w:r>
    </w:p>
    <w:p w:rsidR="00295E73" w:rsidRPr="00481A79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5E73" w:rsidRDefault="00295E73" w:rsidP="004C0900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4 - Урожайность и качество корнеплодов сахарной свеклы при  некорневой подкормке растений микроудобрениями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418"/>
        <w:gridCol w:w="1701"/>
        <w:gridCol w:w="1417"/>
        <w:gridCol w:w="1419"/>
      </w:tblGrid>
      <w:tr w:rsidR="00295E73" w:rsidRPr="00F05C68" w:rsidTr="0061042D">
        <w:trPr>
          <w:trHeight w:val="601"/>
        </w:trPr>
        <w:tc>
          <w:tcPr>
            <w:tcW w:w="2093" w:type="dxa"/>
            <w:vMerge w:val="restart"/>
            <w:tcBorders>
              <w:right w:val="single" w:sz="2" w:space="0" w:color="auto"/>
            </w:tcBorders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4536" w:type="dxa"/>
            <w:gridSpan w:val="3"/>
            <w:tcBorders>
              <w:left w:val="single" w:sz="2" w:space="0" w:color="auto"/>
              <w:bottom w:val="single" w:sz="2" w:space="0" w:color="auto"/>
            </w:tcBorders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Урожайность по годам, т/га</w:t>
            </w:r>
          </w:p>
        </w:tc>
        <w:tc>
          <w:tcPr>
            <w:tcW w:w="2836" w:type="dxa"/>
            <w:gridSpan w:val="2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right="-108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Прибавка</w:t>
            </w:r>
          </w:p>
        </w:tc>
      </w:tr>
      <w:tr w:rsidR="00295E73" w:rsidRPr="00F05C68" w:rsidTr="0061042D">
        <w:trPr>
          <w:trHeight w:val="370"/>
        </w:trPr>
        <w:tc>
          <w:tcPr>
            <w:tcW w:w="2093" w:type="dxa"/>
            <w:vMerge/>
            <w:tcBorders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т/га</w:t>
            </w:r>
          </w:p>
        </w:tc>
        <w:tc>
          <w:tcPr>
            <w:tcW w:w="1419" w:type="dxa"/>
            <w:vMerge w:val="restart"/>
            <w:vAlign w:val="center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left="34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295E73" w:rsidRPr="00F05C68" w:rsidTr="0061042D">
        <w:trPr>
          <w:trHeight w:val="341"/>
        </w:trPr>
        <w:tc>
          <w:tcPr>
            <w:tcW w:w="2093" w:type="dxa"/>
            <w:vMerge/>
            <w:tcBorders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418" w:type="dxa"/>
            <w:tcBorders>
              <w:top w:val="nil"/>
              <w:left w:val="single" w:sz="2" w:space="0" w:color="auto"/>
              <w:righ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</w:tcBorders>
            <w:vAlign w:val="center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417" w:type="dxa"/>
            <w:vMerge/>
            <w:vAlign w:val="center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  <w:vMerge/>
            <w:vAlign w:val="center"/>
          </w:tcPr>
          <w:p w:rsidR="00295E73" w:rsidRPr="00F05C68" w:rsidRDefault="00295E73" w:rsidP="0061042D">
            <w:pPr>
              <w:tabs>
                <w:tab w:val="left" w:pos="9072"/>
              </w:tabs>
              <w:spacing w:after="0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5E73" w:rsidRPr="00F05C68" w:rsidTr="0061042D">
        <w:trPr>
          <w:trHeight w:val="623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 xml:space="preserve"> – фон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38,1</w:t>
            </w:r>
          </w:p>
        </w:tc>
        <w:tc>
          <w:tcPr>
            <w:tcW w:w="1418" w:type="dxa"/>
            <w:tcBorders>
              <w:right w:val="single" w:sz="2" w:space="0" w:color="auto"/>
            </w:tcBorders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65,9</w:t>
            </w:r>
          </w:p>
        </w:tc>
        <w:tc>
          <w:tcPr>
            <w:tcW w:w="1701" w:type="dxa"/>
            <w:tcBorders>
              <w:left w:val="single" w:sz="2" w:space="0" w:color="auto"/>
            </w:tcBorders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52,0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9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95E73" w:rsidRPr="00F05C68" w:rsidTr="0061042D">
        <w:trPr>
          <w:trHeight w:val="561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38,6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66,1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52,4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1419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295E73" w:rsidRPr="00F05C68" w:rsidTr="0061042D">
        <w:trPr>
          <w:trHeight w:val="555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40,9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70,9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55,9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1419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</w:tr>
      <w:tr w:rsidR="00295E73" w:rsidRPr="00F05C68" w:rsidTr="0061042D">
        <w:trPr>
          <w:trHeight w:val="549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38,7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66,7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52,7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419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295E73" w:rsidRPr="00F05C68" w:rsidTr="0061042D">
        <w:trPr>
          <w:trHeight w:val="571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67,8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53,4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419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right="-108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295E73" w:rsidRPr="00F05C68" w:rsidTr="0061042D">
        <w:trPr>
          <w:trHeight w:val="551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38,9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67,4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53,2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419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right="-108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295E73" w:rsidRPr="00F05C68" w:rsidTr="0061042D">
        <w:trPr>
          <w:trHeight w:val="587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39,8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70,3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55,1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419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right="-108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295E73" w:rsidRPr="00F05C68" w:rsidTr="0061042D">
        <w:trPr>
          <w:trHeight w:val="519"/>
        </w:trPr>
        <w:tc>
          <w:tcPr>
            <w:tcW w:w="2093" w:type="dxa"/>
          </w:tcPr>
          <w:p w:rsidR="00295E73" w:rsidRPr="00F05C68" w:rsidRDefault="00295E73" w:rsidP="0061042D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295E73" w:rsidRPr="00F05C68" w:rsidRDefault="00295E73" w:rsidP="004C0900">
            <w:pPr>
              <w:tabs>
                <w:tab w:val="left" w:pos="9072"/>
              </w:tabs>
              <w:spacing w:after="0"/>
              <w:ind w:firstLine="34"/>
              <w:jc w:val="center"/>
            </w:pPr>
          </w:p>
        </w:tc>
      </w:tr>
    </w:tbl>
    <w:p w:rsidR="00295E73" w:rsidRDefault="00295E73" w:rsidP="004C0900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Урожайные данные за 2 года исследований значительно отличаются друг от друга, что связано с погодными условиями. Так, в 2012 г. урожайность на фоновом варианте составила 38,1 т/га и она увеличилась при применении микроэлементов  на 0,5-2,8 т/га. Максимальная урожайность отмечалась на вариантах с марганцем  и бором, превысив контроль на 1,7 и 2,8 т/га соответственно. Действие цинка, меди, кобальта и марганца на урожайность корнеплодов сахарной свеклы по эффективности было одинаковым. В 2013 г. урожайность почти в 2 раза была больше по сравнению с предыдущим годом  и на контрольном варианте составила 65,9 т/га. На вариантах с некорневой подкормкой растений микроудобрениями она находилась в пределах 661,3-709,0 ц/га, превысив контроль на 1,8-49,5ц/га или на 0,27-7,5 %.</w:t>
      </w:r>
    </w:p>
    <w:p w:rsidR="00295E73" w:rsidRDefault="00295E73" w:rsidP="00F7729F">
      <w:pPr>
        <w:tabs>
          <w:tab w:val="left" w:pos="7100"/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Максимальная урожайность была отмечена при некорневой подкормке растений марганцем и бором, что составило 702,8 и 709,0 ц/га и превысило контроль на 43,3-49,5 %. Существенные различия были получены на варианте с бором. Некорневая подкормка посевов другими микроудобрениями была менее эффективной. </w:t>
      </w:r>
    </w:p>
    <w:p w:rsidR="00295E73" w:rsidRDefault="00295E73" w:rsidP="00F7729F">
      <w:pPr>
        <w:tabs>
          <w:tab w:val="left" w:pos="7100"/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среднем, за 2 года исследований применение микроэлементов позволило повысить  урожайность сахарной свеклы по сравнению с контролем  на 0,4-3,9 т/га или 0,8-7,5 %. Максимальная урожайность получена на вариантах с применением марганца  и бора, что составило соответственно 55,1 и 55,9 т/га.</w:t>
      </w:r>
    </w:p>
    <w:p w:rsidR="00295E73" w:rsidRDefault="00295E73" w:rsidP="00F7729F">
      <w:pPr>
        <w:tabs>
          <w:tab w:val="left" w:pos="7100"/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Микроэлементы оказывают влияние на ростовые процессы, повышают содержание пигментов, усиливают процесс фотосинтеза, способствуют поглощению основных элементов питания, улучшают углеводный обмен. Применение микроудобрений приводит к повышению устойчивости растений, снижая стресс, вызванный засушливыми условиями. Все это напрямую воздействует на продуктивность сахарной свеклы [1,3].</w:t>
      </w:r>
    </w:p>
    <w:p w:rsidR="00295E73" w:rsidRDefault="00295E73" w:rsidP="00F7729F">
      <w:pPr>
        <w:pStyle w:val="ListParagraph"/>
        <w:tabs>
          <w:tab w:val="left" w:pos="7100"/>
          <w:tab w:val="left" w:pos="9072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Качество – один из главных показателей любой продукции. Для сахарной свеклы – это, прежде всего сахаристость корнеплодов </w:t>
      </w:r>
      <w:r>
        <w:rPr>
          <w:rFonts w:ascii="Times New Roman" w:hAnsi="Times New Roman"/>
          <w:sz w:val="28"/>
          <w:szCs w:val="28"/>
        </w:rPr>
        <w:br/>
        <w:t>(таблица 5).</w:t>
      </w:r>
    </w:p>
    <w:p w:rsidR="00295E73" w:rsidRDefault="00295E73" w:rsidP="00F7729F">
      <w:pPr>
        <w:tabs>
          <w:tab w:val="left" w:pos="9072"/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удобрений, способствуя росту урожайности, может оказывать как положительное, так и отрицательное влияние на качество сахарной свеклы [4 ].  </w:t>
      </w:r>
    </w:p>
    <w:p w:rsidR="00295E73" w:rsidRDefault="00295E73" w:rsidP="004C0900">
      <w:pPr>
        <w:tabs>
          <w:tab w:val="left" w:pos="9072"/>
        </w:tabs>
        <w:spacing w:after="0" w:line="360" w:lineRule="auto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 – Содержание сахара в корнеплодах сахарной свеклы при некорневой подкормке растений микроудобрениями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842"/>
        <w:gridCol w:w="1701"/>
        <w:gridCol w:w="1701"/>
        <w:gridCol w:w="1843"/>
      </w:tblGrid>
      <w:tr w:rsidR="00295E73" w:rsidRPr="00F05C68" w:rsidTr="00844802">
        <w:trPr>
          <w:trHeight w:val="525"/>
        </w:trPr>
        <w:tc>
          <w:tcPr>
            <w:tcW w:w="2235" w:type="dxa"/>
            <w:vMerge w:val="restart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5244" w:type="dxa"/>
            <w:gridSpan w:val="3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Содержание сахара, %</w:t>
            </w:r>
          </w:p>
        </w:tc>
        <w:tc>
          <w:tcPr>
            <w:tcW w:w="1843" w:type="dxa"/>
            <w:vMerge w:val="restart"/>
          </w:tcPr>
          <w:p w:rsidR="00295E73" w:rsidRPr="00F05C68" w:rsidRDefault="00295E73" w:rsidP="004C0900">
            <w:pPr>
              <w:tabs>
                <w:tab w:val="left" w:pos="9072"/>
              </w:tabs>
              <w:spacing w:after="0" w:line="360" w:lineRule="auto"/>
              <w:ind w:right="-108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Прибавка, </w:t>
            </w:r>
          </w:p>
          <w:p w:rsidR="00295E73" w:rsidRPr="00F05C68" w:rsidRDefault="00295E73" w:rsidP="004C0900">
            <w:pPr>
              <w:tabs>
                <w:tab w:val="left" w:pos="9072"/>
              </w:tabs>
              <w:spacing w:after="0" w:line="360" w:lineRule="auto"/>
              <w:ind w:right="-108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 w:line="360" w:lineRule="auto"/>
              <w:ind w:right="-108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5E73" w:rsidRPr="00F05C68" w:rsidTr="00844802">
        <w:trPr>
          <w:trHeight w:val="547"/>
        </w:trPr>
        <w:tc>
          <w:tcPr>
            <w:tcW w:w="2235" w:type="dxa"/>
            <w:vMerge/>
            <w:vAlign w:val="center"/>
          </w:tcPr>
          <w:p w:rsidR="00295E73" w:rsidRPr="00F05C68" w:rsidRDefault="00295E73" w:rsidP="00F7729F">
            <w:pPr>
              <w:tabs>
                <w:tab w:val="left" w:pos="907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2012 г.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2013 г.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 w:line="36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среднее</w:t>
            </w:r>
          </w:p>
        </w:tc>
        <w:tc>
          <w:tcPr>
            <w:tcW w:w="1843" w:type="dxa"/>
            <w:vMerge/>
            <w:vAlign w:val="center"/>
          </w:tcPr>
          <w:p w:rsidR="00295E73" w:rsidRPr="00F05C68" w:rsidRDefault="00295E73" w:rsidP="004C0900">
            <w:pPr>
              <w:tabs>
                <w:tab w:val="left" w:pos="9072"/>
              </w:tabs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5E73" w:rsidRPr="00F05C68" w:rsidTr="00844802">
        <w:trPr>
          <w:trHeight w:val="583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K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Pr="00F05C68">
              <w:rPr>
                <w:rFonts w:ascii="Times New Roman" w:hAnsi="Times New Roman"/>
                <w:sz w:val="28"/>
                <w:szCs w:val="28"/>
              </w:rPr>
              <w:t xml:space="preserve"> – фон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95E73" w:rsidRPr="00F05C68" w:rsidTr="00844802">
        <w:trPr>
          <w:trHeight w:val="563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17,3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295E73" w:rsidRPr="00F05C68" w:rsidTr="00844802">
        <w:trPr>
          <w:trHeight w:val="571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18,1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295E73" w:rsidRPr="00F05C68" w:rsidTr="00844802">
        <w:trPr>
          <w:trHeight w:val="551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Co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295E73" w:rsidRPr="00F05C68" w:rsidTr="00844802">
        <w:trPr>
          <w:trHeight w:val="545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Mo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17,4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0,5 </w:t>
            </w:r>
          </w:p>
        </w:tc>
      </w:tr>
      <w:tr w:rsidR="00295E73" w:rsidRPr="00F05C68" w:rsidTr="00844802">
        <w:trPr>
          <w:trHeight w:val="553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17,8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17,8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</w:tr>
      <w:tr w:rsidR="00295E73" w:rsidRPr="00F05C68" w:rsidTr="00844802">
        <w:trPr>
          <w:trHeight w:val="561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 xml:space="preserve">Фон + </w:t>
            </w:r>
            <w:r w:rsidRPr="00F05C68">
              <w:rPr>
                <w:rFonts w:ascii="Times New Roman" w:hAnsi="Times New Roman"/>
                <w:sz w:val="28"/>
                <w:szCs w:val="28"/>
                <w:lang w:val="en-US"/>
              </w:rPr>
              <w:t>Mn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17,9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7100"/>
                <w:tab w:val="left" w:pos="9072"/>
              </w:tabs>
              <w:spacing w:after="0"/>
              <w:ind w:right="-108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295E73" w:rsidRPr="00F05C68" w:rsidTr="00844802">
        <w:trPr>
          <w:trHeight w:val="569"/>
        </w:trPr>
        <w:tc>
          <w:tcPr>
            <w:tcW w:w="2235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F05C68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842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0,54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5C68">
              <w:rPr>
                <w:rFonts w:ascii="Times New Roman" w:hAnsi="Times New Roman"/>
                <w:sz w:val="28"/>
                <w:szCs w:val="28"/>
              </w:rPr>
              <w:t>0,65</w:t>
            </w:r>
          </w:p>
        </w:tc>
        <w:tc>
          <w:tcPr>
            <w:tcW w:w="1701" w:type="dxa"/>
          </w:tcPr>
          <w:p w:rsidR="00295E73" w:rsidRPr="00F05C68" w:rsidRDefault="00295E73" w:rsidP="004C0900">
            <w:pPr>
              <w:tabs>
                <w:tab w:val="left" w:pos="7100"/>
                <w:tab w:val="left" w:pos="9072"/>
              </w:tabs>
              <w:spacing w:after="0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95E73" w:rsidRPr="00F05C68" w:rsidRDefault="00295E73" w:rsidP="00F7729F">
            <w:pPr>
              <w:tabs>
                <w:tab w:val="left" w:pos="9072"/>
              </w:tabs>
              <w:spacing w:after="0"/>
              <w:ind w:firstLine="567"/>
              <w:jc w:val="both"/>
            </w:pPr>
          </w:p>
        </w:tc>
      </w:tr>
    </w:tbl>
    <w:p w:rsidR="00295E73" w:rsidRDefault="00295E73" w:rsidP="00F7729F">
      <w:pPr>
        <w:pStyle w:val="ListParagraph"/>
        <w:tabs>
          <w:tab w:val="left" w:pos="7100"/>
          <w:tab w:val="left" w:pos="9072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95E73" w:rsidRDefault="00295E73" w:rsidP="00F7729F">
      <w:pPr>
        <w:tabs>
          <w:tab w:val="left" w:pos="9072"/>
          <w:tab w:val="left" w:pos="9355"/>
        </w:tabs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Некорневая подкормка растений микроудобрениями увеличивает содержание сахара в корнеплодах сахарной свеклы на 0,2-1,1 % и находится в пределах 17,2-18,1 %. Наибольшее влияние на этот показатель оказали марганец и бор.</w:t>
      </w:r>
    </w:p>
    <w:p w:rsidR="00295E73" w:rsidRDefault="00295E73" w:rsidP="00481A79">
      <w:pPr>
        <w:tabs>
          <w:tab w:val="left" w:pos="9072"/>
        </w:tabs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ВЫВОДЫ</w:t>
      </w:r>
    </w:p>
    <w:p w:rsidR="00295E73" w:rsidRDefault="00295E73" w:rsidP="004C0900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Установлено положительное влияние некорневой подкормки посевов сахарной свеклы микроудобрениями в фазу 2-4 пар настоящих листьев на потребление растениями элементов питания, количество и  качество урожая. Максимальная прибавка урожая корнеплодов  была получена в вариантах с марганцем и бором, что составило 55,1 и 55,9 т/га и превысило контроль на 0,4-3,9 т/га или 0,8-7,5 %. %. Содержание сахара было максимальным также на этих вариантах и составило 18,0 и 18,1 %,  превысив контроль на 1,0-1,1 % соответственно. </w:t>
      </w:r>
    </w:p>
    <w:p w:rsidR="00295E73" w:rsidRPr="004C0900" w:rsidRDefault="00295E73" w:rsidP="004C0900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5E73" w:rsidRDefault="00295E73" w:rsidP="00F7729F">
      <w:pPr>
        <w:widowControl w:val="0"/>
        <w:tabs>
          <w:tab w:val="left" w:pos="9072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005BE">
        <w:rPr>
          <w:rFonts w:ascii="Times New Roman" w:hAnsi="Times New Roman"/>
          <w:b/>
          <w:sz w:val="24"/>
          <w:szCs w:val="24"/>
        </w:rPr>
        <w:t>Список использованной литературы</w:t>
      </w:r>
    </w:p>
    <w:p w:rsidR="00295E73" w:rsidRPr="005005BE" w:rsidRDefault="00295E73" w:rsidP="00F7729F">
      <w:pPr>
        <w:widowControl w:val="0"/>
        <w:tabs>
          <w:tab w:val="left" w:pos="907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295E73" w:rsidRPr="003968EC" w:rsidRDefault="00295E73" w:rsidP="00FD456B">
      <w:pPr>
        <w:numPr>
          <w:ilvl w:val="0"/>
          <w:numId w:val="1"/>
        </w:numPr>
        <w:tabs>
          <w:tab w:val="clear" w:pos="720"/>
          <w:tab w:val="num" w:pos="77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05C68">
        <w:rPr>
          <w:rFonts w:ascii="Times New Roman" w:hAnsi="Times New Roman"/>
          <w:sz w:val="24"/>
          <w:szCs w:val="24"/>
        </w:rPr>
        <w:t xml:space="preserve">Булдыкова И. А. Динамика содержания азота, фосфора и калия в растениях сахарной свеклы при применении микроудобрений/ И. А. Булдыкова. – Энтузиасты аграрной науки. Тр. КубГАУ. – 2013. Вып.15. – С.78-80. </w:t>
      </w:r>
    </w:p>
    <w:p w:rsidR="00295E73" w:rsidRPr="003968EC" w:rsidRDefault="00295E73" w:rsidP="00FD456B">
      <w:pPr>
        <w:numPr>
          <w:ilvl w:val="0"/>
          <w:numId w:val="1"/>
        </w:numPr>
        <w:tabs>
          <w:tab w:val="clear" w:pos="720"/>
          <w:tab w:val="num" w:pos="77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05C68">
        <w:rPr>
          <w:rFonts w:ascii="Times New Roman" w:hAnsi="Times New Roman"/>
          <w:sz w:val="24"/>
          <w:szCs w:val="24"/>
        </w:rPr>
        <w:t>Куркаев В. Т. Агрохимия /В. Т. Куркаев, А. Х. Шеуджен. – Майкоп: ГУРИПП «Адыгея», 2000. – 552 с.</w:t>
      </w:r>
    </w:p>
    <w:p w:rsidR="00295E73" w:rsidRPr="003968EC" w:rsidRDefault="00295E73" w:rsidP="00FD456B">
      <w:pPr>
        <w:numPr>
          <w:ilvl w:val="0"/>
          <w:numId w:val="1"/>
        </w:numPr>
        <w:tabs>
          <w:tab w:val="clear" w:pos="720"/>
          <w:tab w:val="num" w:pos="770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05C68">
        <w:rPr>
          <w:rFonts w:ascii="Times New Roman" w:hAnsi="Times New Roman"/>
          <w:sz w:val="24"/>
          <w:szCs w:val="24"/>
        </w:rPr>
        <w:t>Шеуджен А. Х. Агрохимические основы применения удобрений /</w:t>
      </w:r>
      <w:r w:rsidRPr="0043553E">
        <w:rPr>
          <w:rFonts w:ascii="Times New Roman" w:hAnsi="Times New Roman"/>
          <w:sz w:val="24"/>
          <w:szCs w:val="24"/>
        </w:rPr>
        <w:t xml:space="preserve"> </w:t>
      </w:r>
      <w:r w:rsidRPr="00F05C68">
        <w:rPr>
          <w:rFonts w:ascii="Times New Roman" w:hAnsi="Times New Roman"/>
          <w:sz w:val="24"/>
          <w:szCs w:val="24"/>
        </w:rPr>
        <w:t>А. Х. Шеуджен, Т. Н. Бондарева, С. В. Кизинек. – Майкоп: «Полиграф-Юг», 2013.- 572 с.</w:t>
      </w:r>
    </w:p>
    <w:p w:rsidR="00295E73" w:rsidRPr="00F05C68" w:rsidRDefault="00295E73" w:rsidP="00FD456B">
      <w:pPr>
        <w:numPr>
          <w:ilvl w:val="0"/>
          <w:numId w:val="1"/>
        </w:numPr>
        <w:tabs>
          <w:tab w:val="clear" w:pos="720"/>
          <w:tab w:val="num" w:pos="770"/>
          <w:tab w:val="left" w:pos="9072"/>
        </w:tabs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F05C68">
        <w:rPr>
          <w:rFonts w:ascii="Times New Roman" w:hAnsi="Times New Roman"/>
          <w:sz w:val="24"/>
          <w:szCs w:val="24"/>
        </w:rPr>
        <w:t xml:space="preserve">Шеуджен А. Х. Питание и удобрение сахароносных культур / </w:t>
      </w:r>
      <w:r w:rsidRPr="0043553E">
        <w:rPr>
          <w:rFonts w:ascii="Times New Roman" w:hAnsi="Times New Roman"/>
          <w:sz w:val="24"/>
          <w:szCs w:val="24"/>
        </w:rPr>
        <w:t xml:space="preserve"> </w:t>
      </w:r>
      <w:r w:rsidRPr="00F05C68">
        <w:rPr>
          <w:rFonts w:ascii="Times New Roman" w:hAnsi="Times New Roman"/>
          <w:sz w:val="24"/>
          <w:szCs w:val="24"/>
        </w:rPr>
        <w:t>А. Х. Шеуджен. – Краснодар: КубГАУ, 2013. – 29 с.</w:t>
      </w:r>
    </w:p>
    <w:p w:rsidR="00295E73" w:rsidRPr="00DE19C9" w:rsidRDefault="00295E73" w:rsidP="006104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5E73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295E73" w:rsidRPr="004E6E61" w:rsidRDefault="00295E73" w:rsidP="00FD456B">
      <w:pPr>
        <w:tabs>
          <w:tab w:val="left" w:pos="9072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E6E61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95E73" w:rsidRPr="00FD456B" w:rsidRDefault="00295E73" w:rsidP="00FD456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95E73" w:rsidRPr="00FD456B" w:rsidRDefault="00295E73" w:rsidP="00FD456B">
      <w:pPr>
        <w:spacing w:after="0" w:line="240" w:lineRule="auto"/>
        <w:ind w:firstLine="330"/>
        <w:rPr>
          <w:rFonts w:ascii="Times New Roman" w:hAnsi="Times New Roman"/>
          <w:sz w:val="24"/>
          <w:szCs w:val="24"/>
        </w:rPr>
      </w:pPr>
      <w:r w:rsidRPr="00FD456B">
        <w:rPr>
          <w:rFonts w:ascii="Times New Roman" w:hAnsi="Times New Roman"/>
          <w:sz w:val="24"/>
          <w:szCs w:val="24"/>
        </w:rPr>
        <w:t>1.</w:t>
      </w:r>
      <w:r w:rsidRPr="00FD456B">
        <w:rPr>
          <w:rFonts w:ascii="Times New Roman" w:hAnsi="Times New Roman"/>
          <w:sz w:val="24"/>
          <w:szCs w:val="24"/>
        </w:rPr>
        <w:tab/>
        <w:t xml:space="preserve">Buldykova I. A. Dinamika soderzhanija azota, fosfora i kalija v rastenijah saharnoj svekly pri primenenii mikroudobrenij/ I. A. Buldykova. – Jentuziasty agrarnoj nauki. Tr. KubGAU. – 2013. Vyp.15. – S.78-80. </w:t>
      </w:r>
    </w:p>
    <w:p w:rsidR="00295E73" w:rsidRPr="00FD456B" w:rsidRDefault="00295E73" w:rsidP="00FD456B">
      <w:pPr>
        <w:spacing w:after="0" w:line="240" w:lineRule="auto"/>
        <w:ind w:firstLine="330"/>
        <w:rPr>
          <w:rFonts w:ascii="Times New Roman" w:hAnsi="Times New Roman"/>
          <w:sz w:val="24"/>
          <w:szCs w:val="24"/>
        </w:rPr>
      </w:pPr>
      <w:r w:rsidRPr="00FD456B">
        <w:rPr>
          <w:rFonts w:ascii="Times New Roman" w:hAnsi="Times New Roman"/>
          <w:sz w:val="24"/>
          <w:szCs w:val="24"/>
        </w:rPr>
        <w:t>2.</w:t>
      </w:r>
      <w:r w:rsidRPr="00FD456B">
        <w:rPr>
          <w:rFonts w:ascii="Times New Roman" w:hAnsi="Times New Roman"/>
          <w:sz w:val="24"/>
          <w:szCs w:val="24"/>
        </w:rPr>
        <w:tab/>
        <w:t>Kurkaev V. T. Agrohimija /V. T. Kurkaev, A. H. Sheudzhen. – Majkop: GURIPP «Adygeja», 2000. – 552 s.</w:t>
      </w:r>
    </w:p>
    <w:p w:rsidR="00295E73" w:rsidRPr="0043553E" w:rsidRDefault="00295E73" w:rsidP="00FD456B">
      <w:pPr>
        <w:spacing w:after="0" w:line="240" w:lineRule="auto"/>
        <w:ind w:firstLine="330"/>
        <w:rPr>
          <w:rFonts w:ascii="Times New Roman" w:hAnsi="Times New Roman"/>
          <w:sz w:val="24"/>
          <w:szCs w:val="24"/>
          <w:lang w:val="en-US"/>
        </w:rPr>
      </w:pPr>
      <w:r w:rsidRPr="0043553E">
        <w:rPr>
          <w:rFonts w:ascii="Times New Roman" w:hAnsi="Times New Roman"/>
          <w:sz w:val="24"/>
          <w:szCs w:val="24"/>
          <w:lang w:val="en-US"/>
        </w:rPr>
        <w:t>3.</w:t>
      </w:r>
      <w:r w:rsidRPr="0043553E">
        <w:rPr>
          <w:rFonts w:ascii="Times New Roman" w:hAnsi="Times New Roman"/>
          <w:sz w:val="24"/>
          <w:szCs w:val="24"/>
          <w:lang w:val="en-US"/>
        </w:rPr>
        <w:tab/>
        <w:t>Sheudzhen A. H. Agrohimicheskie osnovy primenenija udobrenij / A. H. Sheudzhen, T. N. Bondareva, S. V. Kizinek. – Majkop: «Poligraf-Jug», 2013.- 572 s.</w:t>
      </w:r>
    </w:p>
    <w:p w:rsidR="00295E73" w:rsidRPr="0043553E" w:rsidRDefault="00295E73" w:rsidP="00FD456B">
      <w:pPr>
        <w:spacing w:after="0" w:line="240" w:lineRule="auto"/>
        <w:ind w:firstLine="330"/>
        <w:rPr>
          <w:rFonts w:ascii="Times New Roman" w:hAnsi="Times New Roman"/>
          <w:sz w:val="24"/>
          <w:szCs w:val="24"/>
          <w:lang w:val="en-US"/>
        </w:rPr>
      </w:pPr>
      <w:r w:rsidRPr="0043553E">
        <w:rPr>
          <w:rFonts w:ascii="Times New Roman" w:hAnsi="Times New Roman"/>
          <w:sz w:val="24"/>
          <w:szCs w:val="24"/>
          <w:lang w:val="en-US"/>
        </w:rPr>
        <w:t>4.</w:t>
      </w:r>
      <w:r w:rsidRPr="0043553E">
        <w:rPr>
          <w:rFonts w:ascii="Times New Roman" w:hAnsi="Times New Roman"/>
          <w:sz w:val="24"/>
          <w:szCs w:val="24"/>
          <w:lang w:val="en-US"/>
        </w:rPr>
        <w:tab/>
        <w:t>Sheudzhen A. H. Pitanie i udobrenie saharonosnyh kul'tur /  A. H. Sheudzhen. – Krasnodar: KubGAU, 2013. – 29 s.</w:t>
      </w:r>
    </w:p>
    <w:p w:rsidR="00295E73" w:rsidRPr="0043553E" w:rsidRDefault="00295E73" w:rsidP="00FD456B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95E73" w:rsidRPr="0043553E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95E73" w:rsidRPr="0043553E" w:rsidRDefault="00295E73" w:rsidP="00F7729F">
      <w:pPr>
        <w:tabs>
          <w:tab w:val="left" w:pos="907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95E73" w:rsidRPr="0043553E" w:rsidRDefault="00295E73" w:rsidP="00F7729F">
      <w:pPr>
        <w:tabs>
          <w:tab w:val="left" w:pos="9072"/>
        </w:tabs>
        <w:ind w:firstLine="567"/>
        <w:jc w:val="both"/>
        <w:rPr>
          <w:lang w:val="en-US"/>
        </w:rPr>
      </w:pPr>
    </w:p>
    <w:p w:rsidR="00295E73" w:rsidRPr="0043553E" w:rsidRDefault="00295E73" w:rsidP="00F7729F">
      <w:pPr>
        <w:tabs>
          <w:tab w:val="left" w:pos="9072"/>
        </w:tabs>
        <w:ind w:firstLine="567"/>
        <w:jc w:val="both"/>
        <w:rPr>
          <w:lang w:val="en-US"/>
        </w:rPr>
      </w:pPr>
    </w:p>
    <w:p w:rsidR="00295E73" w:rsidRPr="0043553E" w:rsidRDefault="00295E73" w:rsidP="00F7729F">
      <w:pPr>
        <w:tabs>
          <w:tab w:val="left" w:pos="9072"/>
        </w:tabs>
        <w:ind w:firstLine="567"/>
        <w:jc w:val="both"/>
        <w:rPr>
          <w:lang w:val="en-US"/>
        </w:rPr>
      </w:pPr>
    </w:p>
    <w:sectPr w:rsidR="00295E73" w:rsidRPr="0043553E" w:rsidSect="00481A79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E73" w:rsidRDefault="00295E73" w:rsidP="004C0900">
      <w:pPr>
        <w:spacing w:after="0" w:line="240" w:lineRule="auto"/>
      </w:pPr>
      <w:r>
        <w:separator/>
      </w:r>
    </w:p>
  </w:endnote>
  <w:endnote w:type="continuationSeparator" w:id="1">
    <w:p w:rsidR="00295E73" w:rsidRDefault="00295E73" w:rsidP="004C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73" w:rsidRPr="00505447" w:rsidRDefault="00295E73">
    <w:pPr>
      <w:pStyle w:val="Footer"/>
      <w:rPr>
        <w:rFonts w:ascii="Times New Roman" w:hAnsi="Times New Roman"/>
        <w:lang w:val="en-US"/>
      </w:rPr>
    </w:pPr>
    <w:r w:rsidRPr="00505447">
      <w:rPr>
        <w:rFonts w:ascii="Times New Roman" w:hAnsi="Times New Roman"/>
        <w:sz w:val="24"/>
        <w:szCs w:val="24"/>
      </w:rPr>
      <w:t>http://ej.kubagro.ru/201</w:t>
    </w:r>
    <w:r w:rsidRPr="00505447">
      <w:rPr>
        <w:rFonts w:ascii="Times New Roman" w:hAnsi="Times New Roman"/>
        <w:sz w:val="24"/>
        <w:szCs w:val="24"/>
        <w:lang w:val="en-US"/>
      </w:rPr>
      <w:t>4</w:t>
    </w:r>
    <w:r w:rsidRPr="00505447">
      <w:rPr>
        <w:rFonts w:ascii="Times New Roman" w:hAnsi="Times New Roman"/>
        <w:sz w:val="24"/>
        <w:szCs w:val="24"/>
      </w:rPr>
      <w:t>/</w:t>
    </w:r>
    <w:r w:rsidRPr="00505447">
      <w:rPr>
        <w:rFonts w:ascii="Times New Roman" w:hAnsi="Times New Roman"/>
        <w:sz w:val="24"/>
        <w:szCs w:val="24"/>
        <w:lang w:val="en-US"/>
      </w:rPr>
      <w:t>04</w:t>
    </w:r>
    <w:r w:rsidRPr="00505447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72</w:t>
    </w:r>
    <w:r w:rsidRPr="00505447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E73" w:rsidRDefault="00295E73" w:rsidP="004C0900">
      <w:pPr>
        <w:spacing w:after="0" w:line="240" w:lineRule="auto"/>
      </w:pPr>
      <w:r>
        <w:separator/>
      </w:r>
    </w:p>
  </w:footnote>
  <w:footnote w:type="continuationSeparator" w:id="1">
    <w:p w:rsidR="00295E73" w:rsidRDefault="00295E73" w:rsidP="004C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73" w:rsidRDefault="00295E73" w:rsidP="008932D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5E73" w:rsidRDefault="00295E73" w:rsidP="0043553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E73" w:rsidRPr="0043553E" w:rsidRDefault="00295E73" w:rsidP="008932D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3553E">
      <w:rPr>
        <w:rStyle w:val="PageNumber"/>
        <w:rFonts w:ascii="Times New Roman" w:hAnsi="Times New Roman"/>
        <w:sz w:val="28"/>
        <w:szCs w:val="28"/>
      </w:rPr>
      <w:fldChar w:fldCharType="begin"/>
    </w:r>
    <w:r w:rsidRPr="0043553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3553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43553E">
      <w:rPr>
        <w:rStyle w:val="PageNumber"/>
        <w:rFonts w:ascii="Times New Roman" w:hAnsi="Times New Roman"/>
        <w:sz w:val="28"/>
        <w:szCs w:val="28"/>
      </w:rPr>
      <w:fldChar w:fldCharType="end"/>
    </w:r>
  </w:p>
  <w:p w:rsidR="00295E73" w:rsidRPr="0043553E" w:rsidRDefault="00295E73" w:rsidP="0043553E">
    <w:pPr>
      <w:pStyle w:val="Header"/>
      <w:ind w:right="360"/>
      <w:rPr>
        <w:lang w:val="en-US"/>
      </w:rPr>
    </w:pPr>
    <w:r w:rsidRPr="00550411">
      <w:rPr>
        <w:rFonts w:ascii="Times New Roman" w:hAnsi="Times New Roman"/>
        <w:sz w:val="24"/>
        <w:szCs w:val="24"/>
      </w:rPr>
      <w:t>Научный журнал КубГАУ, №9</w:t>
    </w:r>
    <w:r w:rsidRPr="00550411">
      <w:rPr>
        <w:rFonts w:ascii="Times New Roman" w:hAnsi="Times New Roman"/>
        <w:sz w:val="24"/>
        <w:szCs w:val="24"/>
        <w:lang w:val="en-US"/>
      </w:rPr>
      <w:t>8</w:t>
    </w:r>
    <w:r w:rsidRPr="00550411">
      <w:rPr>
        <w:rFonts w:ascii="Times New Roman" w:hAnsi="Times New Roman"/>
        <w:sz w:val="24"/>
        <w:szCs w:val="24"/>
      </w:rPr>
      <w:t>(</w:t>
    </w:r>
    <w:r w:rsidRPr="00550411">
      <w:rPr>
        <w:rFonts w:ascii="Times New Roman" w:hAnsi="Times New Roman"/>
        <w:sz w:val="24"/>
        <w:szCs w:val="24"/>
        <w:lang w:val="en-US"/>
      </w:rPr>
      <w:t>04</w:t>
    </w:r>
    <w:r w:rsidRPr="00550411">
      <w:rPr>
        <w:rFonts w:ascii="Times New Roman" w:hAnsi="Times New Roman"/>
        <w:sz w:val="24"/>
        <w:szCs w:val="24"/>
      </w:rPr>
      <w:t>), 201</w:t>
    </w:r>
    <w:r w:rsidRPr="00550411">
      <w:rPr>
        <w:rFonts w:ascii="Times New Roman" w:hAnsi="Times New Roman"/>
        <w:sz w:val="24"/>
        <w:szCs w:val="24"/>
        <w:lang w:val="en-US"/>
      </w:rPr>
      <w:t>4</w:t>
    </w:r>
    <w:r w:rsidRPr="00550411">
      <w:rPr>
        <w:rFonts w:ascii="Times New Roman" w:hAnsi="Times New Roman"/>
        <w:sz w:val="24"/>
        <w:szCs w:val="24"/>
      </w:rPr>
      <w:t xml:space="preserve"> года</w:t>
    </w:r>
  </w:p>
  <w:p w:rsidR="00295E73" w:rsidRDefault="00295E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C863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A865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C40AA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A4038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6E0E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590D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7E8E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AA7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6E3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FAC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AAD132A"/>
    <w:multiLevelType w:val="hybridMultilevel"/>
    <w:tmpl w:val="EDEAB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62"/>
    <w:rsid w:val="00027D60"/>
    <w:rsid w:val="000D750A"/>
    <w:rsid w:val="001547FF"/>
    <w:rsid w:val="001E4936"/>
    <w:rsid w:val="00295E73"/>
    <w:rsid w:val="003968EC"/>
    <w:rsid w:val="003D7915"/>
    <w:rsid w:val="004159CA"/>
    <w:rsid w:val="0043553E"/>
    <w:rsid w:val="00481A79"/>
    <w:rsid w:val="0048571C"/>
    <w:rsid w:val="004C0900"/>
    <w:rsid w:val="004E39BD"/>
    <w:rsid w:val="004E6E61"/>
    <w:rsid w:val="005005BE"/>
    <w:rsid w:val="00505447"/>
    <w:rsid w:val="00550411"/>
    <w:rsid w:val="0061042D"/>
    <w:rsid w:val="006B0929"/>
    <w:rsid w:val="007A37FC"/>
    <w:rsid w:val="00844802"/>
    <w:rsid w:val="008932D1"/>
    <w:rsid w:val="008950F8"/>
    <w:rsid w:val="009567D5"/>
    <w:rsid w:val="00A274B3"/>
    <w:rsid w:val="00A46A29"/>
    <w:rsid w:val="00A63317"/>
    <w:rsid w:val="00B03A33"/>
    <w:rsid w:val="00BA57B0"/>
    <w:rsid w:val="00BA7378"/>
    <w:rsid w:val="00C2110F"/>
    <w:rsid w:val="00CA1CD3"/>
    <w:rsid w:val="00D24155"/>
    <w:rsid w:val="00DE19C9"/>
    <w:rsid w:val="00E1043C"/>
    <w:rsid w:val="00E123EA"/>
    <w:rsid w:val="00E53862"/>
    <w:rsid w:val="00E70570"/>
    <w:rsid w:val="00E7246F"/>
    <w:rsid w:val="00E8241E"/>
    <w:rsid w:val="00F05C68"/>
    <w:rsid w:val="00F268AC"/>
    <w:rsid w:val="00F7729F"/>
    <w:rsid w:val="00F96A51"/>
    <w:rsid w:val="00FC6070"/>
    <w:rsid w:val="00FD456B"/>
    <w:rsid w:val="00FF538A"/>
    <w:rsid w:val="00FF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4B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E53862"/>
    <w:pPr>
      <w:ind w:left="720"/>
      <w:contextualSpacing/>
    </w:pPr>
    <w:rPr>
      <w:lang w:eastAsia="en-US"/>
    </w:rPr>
  </w:style>
  <w:style w:type="paragraph" w:styleId="ListParagraph">
    <w:name w:val="List Paragraph"/>
    <w:basedOn w:val="Normal"/>
    <w:uiPriority w:val="99"/>
    <w:qFormat/>
    <w:rsid w:val="00E53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0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C09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C0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C09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95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0F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43553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11</Pages>
  <Words>2268</Words>
  <Characters>12932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20</cp:revision>
  <cp:lastPrinted>2014-03-17T10:09:00Z</cp:lastPrinted>
  <dcterms:created xsi:type="dcterms:W3CDTF">2014-03-10T12:08:00Z</dcterms:created>
  <dcterms:modified xsi:type="dcterms:W3CDTF">2014-04-24T03:50:00Z</dcterms:modified>
</cp:coreProperties>
</file>