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4"/>
        <w:gridCol w:w="4642"/>
      </w:tblGrid>
      <w:tr w:rsidR="005725AE" w:rsidRPr="00275118" w:rsidTr="00B36294">
        <w:tc>
          <w:tcPr>
            <w:tcW w:w="4644" w:type="dxa"/>
          </w:tcPr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2BEB">
              <w:rPr>
                <w:rFonts w:ascii="Times New Roman" w:hAnsi="Times New Roman"/>
                <w:sz w:val="20"/>
                <w:szCs w:val="20"/>
              </w:rPr>
              <w:t>УДК: 634.11:634.1.03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2BEB">
              <w:rPr>
                <w:rFonts w:ascii="Times New Roman" w:hAnsi="Times New Roman"/>
                <w:b/>
                <w:sz w:val="20"/>
                <w:szCs w:val="20"/>
              </w:rPr>
              <w:t xml:space="preserve">СПОСОБЫ ФОРМИРОВАНИЯ </w:t>
            </w:r>
            <w:r w:rsidRPr="0027511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A2BEB">
              <w:rPr>
                <w:rFonts w:ascii="Times New Roman" w:hAnsi="Times New Roman"/>
                <w:b/>
                <w:sz w:val="20"/>
                <w:szCs w:val="20"/>
              </w:rPr>
              <w:t>КРОН У О</w:t>
            </w:r>
            <w:r w:rsidRPr="004A2BEB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4A2BEB">
              <w:rPr>
                <w:rFonts w:ascii="Times New Roman" w:hAnsi="Times New Roman"/>
                <w:b/>
                <w:sz w:val="20"/>
                <w:szCs w:val="20"/>
              </w:rPr>
              <w:t>НОЛЕТНИХ САЖЕНЦЕВ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2BEB">
              <w:rPr>
                <w:rFonts w:ascii="Times New Roman" w:hAnsi="Times New Roman"/>
                <w:sz w:val="20"/>
                <w:szCs w:val="20"/>
              </w:rPr>
              <w:t>Чернов Александр Иванович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2BEB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5725AE" w:rsidRPr="0059365F" w:rsidRDefault="005725AE" w:rsidP="002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9365F">
              <w:rPr>
                <w:rFonts w:ascii="Times New Roman" w:hAnsi="Times New Roman"/>
                <w:i/>
                <w:sz w:val="20"/>
                <w:szCs w:val="20"/>
              </w:rPr>
              <w:t>Ставропольский государственный аграрный ун</w:t>
            </w:r>
            <w:r w:rsidRPr="0059365F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9365F">
              <w:rPr>
                <w:rFonts w:ascii="Times New Roman" w:hAnsi="Times New Roman"/>
                <w:i/>
                <w:sz w:val="20"/>
                <w:szCs w:val="20"/>
              </w:rPr>
              <w:t>верситет, Ставрополь, Россия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725AE" w:rsidRPr="00C26D4D" w:rsidRDefault="005725AE" w:rsidP="002751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2BEB">
              <w:rPr>
                <w:rFonts w:ascii="Times New Roman" w:hAnsi="Times New Roman"/>
                <w:sz w:val="20"/>
                <w:szCs w:val="20"/>
              </w:rPr>
              <w:t>Выращивание однолетних  кронированных саже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н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цев в плодовом питомнике, зависит от элементов агротехники, которые оказывают различное вли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я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ние на угол отхождения и количество образова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в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шихся скелетных ветвей. При сокращении срока выращивания разветвленных однолеток снижаются затраты на выращивание посадочного материала, в связи с исключением работ в питомнике с дву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</w:rPr>
              <w:t>летними саженцами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725AE" w:rsidRPr="00C26D4D" w:rsidRDefault="005725AE" w:rsidP="00C26D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2BEB">
              <w:rPr>
                <w:rFonts w:ascii="Times New Roman" w:hAnsi="Times New Roman"/>
                <w:sz w:val="20"/>
                <w:szCs w:val="20"/>
              </w:rPr>
              <w:t>Ключевые слова: САЖЕНЦЫ, ПИНЦИРОВКА, СОРТА, ЭЛЕМЕНТЫ АГРОТЕХНИКИ, КРОН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И</w:t>
            </w:r>
            <w:r w:rsidRPr="004A2BEB">
              <w:rPr>
                <w:rFonts w:ascii="Times New Roman" w:hAnsi="Times New Roman"/>
                <w:sz w:val="20"/>
                <w:szCs w:val="20"/>
              </w:rPr>
              <w:t>РО</w:t>
            </w:r>
            <w:r>
              <w:rPr>
                <w:rFonts w:ascii="Times New Roman" w:hAnsi="Times New Roman"/>
                <w:sz w:val="20"/>
                <w:szCs w:val="20"/>
              </w:rPr>
              <w:t>ВАНИЕ, РЕГУЛЯТОРЫ РОСТА, ЯБЛОНЯ</w:t>
            </w:r>
          </w:p>
        </w:tc>
        <w:tc>
          <w:tcPr>
            <w:tcW w:w="4642" w:type="dxa"/>
          </w:tcPr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: 634.11:634.1.03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Methods of forming yearlings CROWN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Chernov Alexander Ivanovich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  <w:p w:rsidR="005725AE" w:rsidRPr="0059365F" w:rsidRDefault="005725AE" w:rsidP="00275118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59365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Stavropol State Agrarian University, </w:t>
            </w:r>
            <w:r w:rsidRPr="0059365F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Stavropol, Russia</w:t>
            </w:r>
          </w:p>
          <w:p w:rsidR="005725AE" w:rsidRPr="0059365F" w:rsidRDefault="005725AE" w:rsidP="00275118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Growing of crowning yearlings in garden nursery d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pends on elements of agricultural machinery, which have different effects on the angle of divergence and the number of skeletal branches formed. With the r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duction of the period of growing branched yearling costs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 lower for planting material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, because of exce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tion work in the 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ursery with two-year seedlings</w:t>
            </w: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725AE" w:rsidRPr="004A2BEB" w:rsidRDefault="005725AE" w:rsidP="002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725AE" w:rsidRPr="004A2BEB" w:rsidRDefault="005725AE" w:rsidP="00C26D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Keywords: SEEDLINGS, STUBBING, 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RIETIES, AGRICULTURAL MACHINERY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, CR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OWNING</w:t>
            </w:r>
            <w:r w:rsidRPr="004A2BE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GROWTH REGULATORS, APPLE-TREE</w:t>
            </w:r>
          </w:p>
        </w:tc>
      </w:tr>
    </w:tbl>
    <w:p w:rsidR="005725AE" w:rsidRDefault="005725AE" w:rsidP="00B87CF7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5725AE" w:rsidRPr="00E65AA2" w:rsidRDefault="005725AE" w:rsidP="00B87CF7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65AA2">
        <w:rPr>
          <w:rFonts w:ascii="Times New Roman" w:hAnsi="Times New Roman"/>
          <w:b/>
          <w:sz w:val="28"/>
          <w:szCs w:val="28"/>
        </w:rPr>
        <w:t>Введение</w:t>
      </w:r>
    </w:p>
    <w:p w:rsidR="005725AE" w:rsidRPr="00E65AA2" w:rsidRDefault="005725AE" w:rsidP="00B87CF7">
      <w:pPr>
        <w:shd w:val="clear" w:color="auto" w:fill="FFFFFF"/>
        <w:spacing w:after="0" w:line="360" w:lineRule="auto"/>
        <w:ind w:left="29" w:firstLine="538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Для закладки яблоневых садов, вступающих в плодоношение на 2-3 год после посадки необходимы хорошо развитые, кронированные саже</w:t>
      </w:r>
      <w:r w:rsidRPr="00E65AA2">
        <w:rPr>
          <w:rFonts w:ascii="Times New Roman" w:hAnsi="Times New Roman"/>
          <w:sz w:val="28"/>
          <w:szCs w:val="28"/>
        </w:rPr>
        <w:t>н</w:t>
      </w:r>
      <w:r w:rsidRPr="00E65AA2">
        <w:rPr>
          <w:rFonts w:ascii="Times New Roman" w:hAnsi="Times New Roman"/>
          <w:sz w:val="28"/>
          <w:szCs w:val="28"/>
        </w:rPr>
        <w:t>цы. В современных условиях наиболее выгодно получение таких саженцев в од</w:t>
      </w:r>
      <w:r w:rsidRPr="00E65AA2">
        <w:rPr>
          <w:rFonts w:ascii="Times New Roman" w:hAnsi="Times New Roman"/>
          <w:sz w:val="28"/>
          <w:szCs w:val="28"/>
        </w:rPr>
        <w:softHyphen/>
        <w:t>нолетнем возрасте. В связи с этим проводятся исследования по сове</w:t>
      </w:r>
      <w:r w:rsidRPr="00E65AA2">
        <w:rPr>
          <w:rFonts w:ascii="Times New Roman" w:hAnsi="Times New Roman"/>
          <w:sz w:val="28"/>
          <w:szCs w:val="28"/>
        </w:rPr>
        <w:t>р</w:t>
      </w:r>
      <w:r w:rsidRPr="00E65AA2">
        <w:rPr>
          <w:rFonts w:ascii="Times New Roman" w:hAnsi="Times New Roman"/>
          <w:sz w:val="28"/>
          <w:szCs w:val="28"/>
        </w:rPr>
        <w:t>шенст</w:t>
      </w:r>
      <w:r w:rsidRPr="00E65AA2">
        <w:rPr>
          <w:rFonts w:ascii="Times New Roman" w:hAnsi="Times New Roman"/>
          <w:sz w:val="28"/>
          <w:szCs w:val="28"/>
        </w:rPr>
        <w:softHyphen/>
        <w:t>вованию технологии производства саженцев в этом направлении.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Получение кроны  у однолетних саженцев питомнике зависит от мн</w:t>
      </w:r>
      <w:r w:rsidRPr="00E65AA2"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>гих факторов: применяемой агротехники,  условий питания, водоснабж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ния, погодных условий и т.д.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Регулирование роста саженца осуществляется, прежде всего услови</w:t>
      </w:r>
      <w:r w:rsidRPr="00E65AA2">
        <w:rPr>
          <w:rFonts w:ascii="Times New Roman" w:hAnsi="Times New Roman"/>
          <w:sz w:val="28"/>
          <w:szCs w:val="28"/>
        </w:rPr>
        <w:t>я</w:t>
      </w:r>
      <w:r w:rsidRPr="00E65AA2">
        <w:rPr>
          <w:rFonts w:ascii="Times New Roman" w:hAnsi="Times New Roman"/>
          <w:sz w:val="28"/>
          <w:szCs w:val="28"/>
        </w:rPr>
        <w:t>ми питания. Важную роль играют также физиологически активные вещ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ства. Рост стебля в длину стимулируется гормонами роста (ауксины, ги</w:t>
      </w:r>
      <w:r w:rsidRPr="00E65AA2">
        <w:rPr>
          <w:rFonts w:ascii="Times New Roman" w:hAnsi="Times New Roman"/>
          <w:sz w:val="28"/>
          <w:szCs w:val="28"/>
        </w:rPr>
        <w:t>б</w:t>
      </w:r>
      <w:r w:rsidRPr="00E65AA2">
        <w:rPr>
          <w:rFonts w:ascii="Times New Roman" w:hAnsi="Times New Roman"/>
          <w:sz w:val="28"/>
          <w:szCs w:val="28"/>
        </w:rPr>
        <w:t>береллины и др.), продуцируемыми верхушкой побега и молодыми лист</w:t>
      </w:r>
      <w:r w:rsidRPr="00E65AA2">
        <w:rPr>
          <w:rFonts w:ascii="Times New Roman" w:hAnsi="Times New Roman"/>
          <w:sz w:val="28"/>
          <w:szCs w:val="28"/>
        </w:rPr>
        <w:t>ь</w:t>
      </w:r>
      <w:r w:rsidRPr="00E65AA2">
        <w:rPr>
          <w:rFonts w:ascii="Times New Roman" w:hAnsi="Times New Roman"/>
          <w:sz w:val="28"/>
          <w:szCs w:val="28"/>
        </w:rPr>
        <w:t>ями. По данным Кефели В.И., ауксины концентрируются  в верхней части побега. После удаления листьев содержание ауксинов  в верхушке побега падает [2].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Наряду со стимуляцией роста побега в длину ауксины осуществляют  регулирование ветвления этого побега. Пока лист остается жизнедеятел</w:t>
      </w:r>
      <w:r w:rsidRPr="00E65AA2">
        <w:rPr>
          <w:rFonts w:ascii="Times New Roman" w:hAnsi="Times New Roman"/>
          <w:sz w:val="28"/>
          <w:szCs w:val="28"/>
        </w:rPr>
        <w:t>ь</w:t>
      </w:r>
      <w:r w:rsidRPr="00E65AA2">
        <w:rPr>
          <w:rFonts w:ascii="Times New Roman" w:hAnsi="Times New Roman"/>
          <w:sz w:val="28"/>
          <w:szCs w:val="28"/>
        </w:rPr>
        <w:t>ным, он тормозит рост своей пазушной почки. Поэтому удаление листьев или повреждение  их приводит к пробуждению пазушных почек и росту боковых побегов. Удаление верхушки главного побега так же стимулирует ветвление.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Применение гиббереллинов у саженцев плодовых культур про</w:t>
      </w:r>
      <w:r>
        <w:rPr>
          <w:rFonts w:ascii="Times New Roman" w:hAnsi="Times New Roman"/>
          <w:sz w:val="28"/>
          <w:szCs w:val="28"/>
        </w:rPr>
        <w:t>водится с целью ускорения роста</w:t>
      </w:r>
      <w:r w:rsidRPr="00E65AA2">
        <w:rPr>
          <w:rFonts w:ascii="Times New Roman" w:hAnsi="Times New Roman"/>
          <w:sz w:val="28"/>
          <w:szCs w:val="28"/>
        </w:rPr>
        <w:t>, а так же стимулирования образования боковых ветвей. Одним из главных условий их применения является усиленное п</w:t>
      </w:r>
      <w:r w:rsidRPr="00E65AA2">
        <w:rPr>
          <w:rFonts w:ascii="Times New Roman" w:hAnsi="Times New Roman"/>
          <w:sz w:val="28"/>
          <w:szCs w:val="28"/>
        </w:rPr>
        <w:t>и</w:t>
      </w:r>
      <w:r w:rsidRPr="00E65AA2">
        <w:rPr>
          <w:rFonts w:ascii="Times New Roman" w:hAnsi="Times New Roman"/>
          <w:sz w:val="28"/>
          <w:szCs w:val="28"/>
        </w:rPr>
        <w:t>тание растений и общий высокий уровень всех агротехнических приемов [3</w:t>
      </w:r>
      <w:r>
        <w:rPr>
          <w:rFonts w:ascii="Times New Roman" w:hAnsi="Times New Roman"/>
          <w:sz w:val="28"/>
          <w:szCs w:val="28"/>
        </w:rPr>
        <w:t>,7</w:t>
      </w:r>
      <w:r w:rsidRPr="00E65AA2">
        <w:rPr>
          <w:rFonts w:ascii="Times New Roman" w:hAnsi="Times New Roman"/>
          <w:sz w:val="28"/>
          <w:szCs w:val="28"/>
        </w:rPr>
        <w:t xml:space="preserve">]. 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Важной составляющей для получения  разветвленной однолетки явл</w:t>
      </w:r>
      <w:r w:rsidRPr="00E65AA2">
        <w:rPr>
          <w:rFonts w:ascii="Times New Roman" w:hAnsi="Times New Roman"/>
          <w:sz w:val="28"/>
          <w:szCs w:val="28"/>
        </w:rPr>
        <w:t>я</w:t>
      </w:r>
      <w:r w:rsidRPr="00E65AA2">
        <w:rPr>
          <w:rFonts w:ascii="Times New Roman" w:hAnsi="Times New Roman"/>
          <w:sz w:val="28"/>
          <w:szCs w:val="28"/>
        </w:rPr>
        <w:t>ется не только использование оптимальной концентрации, но и правильно подобранные сроки первой и повторной обработок саженцев яблони рег</w:t>
      </w:r>
      <w:r w:rsidRPr="00E65AA2">
        <w:rPr>
          <w:rFonts w:ascii="Times New Roman" w:hAnsi="Times New Roman"/>
          <w:sz w:val="28"/>
          <w:szCs w:val="28"/>
        </w:rPr>
        <w:t>у</w:t>
      </w:r>
      <w:r w:rsidRPr="00E65AA2">
        <w:rPr>
          <w:rFonts w:ascii="Times New Roman" w:hAnsi="Times New Roman"/>
          <w:sz w:val="28"/>
          <w:szCs w:val="28"/>
        </w:rPr>
        <w:t>лятором роста, которые зависят от степени ветвления сорта и интенсивн</w:t>
      </w:r>
      <w:r w:rsidRPr="00E65AA2"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 xml:space="preserve">сти ростовых процессов в течение вегетации [6]. 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Основным приемом получения кроны в питомнике остается пинц</w:t>
      </w:r>
      <w:r w:rsidRPr="00E65AA2">
        <w:rPr>
          <w:rFonts w:ascii="Times New Roman" w:hAnsi="Times New Roman"/>
          <w:sz w:val="28"/>
          <w:szCs w:val="28"/>
        </w:rPr>
        <w:t>и</w:t>
      </w:r>
      <w:r w:rsidRPr="00E65AA2">
        <w:rPr>
          <w:rFonts w:ascii="Times New Roman" w:hAnsi="Times New Roman"/>
          <w:sz w:val="28"/>
          <w:szCs w:val="28"/>
        </w:rPr>
        <w:t>ровка, а для большинства сортов яблони удаление верхушечной части п</w:t>
      </w:r>
      <w:r w:rsidRPr="00E65AA2"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>бега не вызывает прорастания пазушных почек текущего года и ветвления однолетних саженцев, как правило не происходит.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Применение пинцировки позволяет улучшить степень ветвления тех сортов, которые имеют к нему природную склонность. Процент разветвл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ния саженцев при этом возрастает по сравнению с природным больше, чем на половину. [4]</w:t>
      </w:r>
    </w:p>
    <w:p w:rsidR="005725AE" w:rsidRPr="00E65AA2" w:rsidRDefault="005725AE" w:rsidP="00B87CF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b/>
          <w:sz w:val="28"/>
          <w:szCs w:val="28"/>
        </w:rPr>
        <w:t xml:space="preserve">Объекты и методы исследований. </w:t>
      </w:r>
      <w:r w:rsidRPr="00E65AA2">
        <w:rPr>
          <w:rFonts w:ascii="Times New Roman" w:hAnsi="Times New Roman"/>
          <w:sz w:val="28"/>
          <w:szCs w:val="28"/>
        </w:rPr>
        <w:t>Объекты исследований саже</w:t>
      </w:r>
      <w:r w:rsidRPr="00E65AA2">
        <w:rPr>
          <w:rFonts w:ascii="Times New Roman" w:hAnsi="Times New Roman"/>
          <w:sz w:val="28"/>
          <w:szCs w:val="28"/>
        </w:rPr>
        <w:t>н</w:t>
      </w:r>
      <w:r w:rsidRPr="00E65AA2">
        <w:rPr>
          <w:rFonts w:ascii="Times New Roman" w:hAnsi="Times New Roman"/>
          <w:sz w:val="28"/>
          <w:szCs w:val="28"/>
        </w:rPr>
        <w:t>цы сортов с различной способностью  к ветвлению: Либерти, Флорина и Голден Би, на среднерослом подвое М4.</w:t>
      </w:r>
    </w:p>
    <w:p w:rsidR="005725AE" w:rsidRPr="00E65AA2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Для учетов и наблюдений использовали Программу и методику со</w:t>
      </w:r>
      <w:r w:rsidRPr="00E65AA2">
        <w:rPr>
          <w:rFonts w:ascii="Times New Roman" w:hAnsi="Times New Roman"/>
          <w:sz w:val="28"/>
          <w:szCs w:val="28"/>
        </w:rPr>
        <w:t>р</w:t>
      </w:r>
      <w:r w:rsidRPr="00E65AA2">
        <w:rPr>
          <w:rFonts w:ascii="Times New Roman" w:hAnsi="Times New Roman"/>
          <w:sz w:val="28"/>
          <w:szCs w:val="28"/>
        </w:rPr>
        <w:t>тоизучения плодовых, ягодных и орехоплодных культур ВНИИС им И.В. Мичурина. [5]</w:t>
      </w:r>
    </w:p>
    <w:p w:rsidR="005725AE" w:rsidRPr="00E65AA2" w:rsidRDefault="005725AE" w:rsidP="00B87CF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b/>
          <w:sz w:val="28"/>
          <w:szCs w:val="28"/>
        </w:rPr>
        <w:t>Цель исследований.</w:t>
      </w:r>
      <w:r w:rsidRPr="00E65AA2">
        <w:rPr>
          <w:rFonts w:ascii="Times New Roman" w:hAnsi="Times New Roman"/>
          <w:sz w:val="28"/>
          <w:szCs w:val="28"/>
        </w:rPr>
        <w:t xml:space="preserve"> Получение однолетних кронированных с</w:t>
      </w:r>
      <w:r w:rsidRPr="00E65AA2">
        <w:rPr>
          <w:rFonts w:ascii="Times New Roman" w:hAnsi="Times New Roman"/>
          <w:sz w:val="28"/>
          <w:szCs w:val="28"/>
        </w:rPr>
        <w:t>а</w:t>
      </w:r>
      <w:r w:rsidRPr="00E65AA2">
        <w:rPr>
          <w:rFonts w:ascii="Times New Roman" w:hAnsi="Times New Roman"/>
          <w:sz w:val="28"/>
          <w:szCs w:val="28"/>
        </w:rPr>
        <w:t>женцев яблони, за счет различных способов кронирования.</w:t>
      </w:r>
    </w:p>
    <w:p w:rsidR="005725AE" w:rsidRPr="00E65AA2" w:rsidRDefault="005725AE" w:rsidP="00B87CF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Выращивание в питомнике кронированных однолетних саженцев яблони позволяет значительно повысить их скороплодность и продукти</w:t>
      </w:r>
      <w:r w:rsidRPr="00E65AA2">
        <w:rPr>
          <w:rFonts w:ascii="Times New Roman" w:hAnsi="Times New Roman"/>
          <w:sz w:val="28"/>
          <w:szCs w:val="28"/>
        </w:rPr>
        <w:t>в</w:t>
      </w:r>
      <w:r w:rsidRPr="00E65AA2">
        <w:rPr>
          <w:rFonts w:ascii="Times New Roman" w:hAnsi="Times New Roman"/>
          <w:sz w:val="28"/>
          <w:szCs w:val="28"/>
        </w:rPr>
        <w:t>ность в саду. Поэтому совершенствование элементов технологии получ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ния кронированных однолетних саженцев, является актуальным направл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нием.[1]</w:t>
      </w:r>
    </w:p>
    <w:p w:rsidR="005725AE" w:rsidRPr="00E65AA2" w:rsidRDefault="005725AE" w:rsidP="00B87CF7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 xml:space="preserve"> </w:t>
      </w:r>
      <w:r w:rsidRPr="00E65AA2">
        <w:rPr>
          <w:rFonts w:ascii="Times New Roman" w:hAnsi="Times New Roman"/>
          <w:b/>
          <w:sz w:val="28"/>
          <w:szCs w:val="28"/>
        </w:rPr>
        <w:t xml:space="preserve">Результаты исследований. </w:t>
      </w:r>
      <w:r w:rsidRPr="00E65AA2">
        <w:rPr>
          <w:rFonts w:ascii="Times New Roman" w:hAnsi="Times New Roman"/>
          <w:sz w:val="28"/>
          <w:szCs w:val="28"/>
        </w:rPr>
        <w:t>Известно, что у семечковых культур, начало формирования кроны начинается в третьем поле плодового пито</w:t>
      </w:r>
      <w:r w:rsidRPr="00E65AA2">
        <w:rPr>
          <w:rFonts w:ascii="Times New Roman" w:hAnsi="Times New Roman"/>
          <w:sz w:val="28"/>
          <w:szCs w:val="28"/>
        </w:rPr>
        <w:t>м</w:t>
      </w:r>
      <w:r w:rsidRPr="00E65AA2">
        <w:rPr>
          <w:rFonts w:ascii="Times New Roman" w:hAnsi="Times New Roman"/>
          <w:sz w:val="28"/>
          <w:szCs w:val="28"/>
        </w:rPr>
        <w:t>ника (поле-двухлеток). Попытки путем пинцировки вызвать ветвление у этих саженцев не дают положительного результата. Больше того сильный поступательный рост саженцев, позволяющий за один вегетационный п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риод достигать высоты 2,0-2,5м с диаметром штамбика 20-</w:t>
      </w:r>
      <w:smartTag w:uri="urn:schemas-microsoft-com:office:smarttags" w:element="City">
        <w:r w:rsidRPr="00E65AA2">
          <w:rPr>
            <w:rFonts w:ascii="Times New Roman" w:hAnsi="Times New Roman"/>
            <w:sz w:val="28"/>
            <w:szCs w:val="28"/>
          </w:rPr>
          <w:t>40 мм</w:t>
        </w:r>
      </w:smartTag>
      <w:r w:rsidRPr="00E65AA2">
        <w:rPr>
          <w:rFonts w:ascii="Times New Roman" w:hAnsi="Times New Roman"/>
          <w:sz w:val="28"/>
          <w:szCs w:val="28"/>
        </w:rPr>
        <w:t>, затру</w:t>
      </w:r>
      <w:r w:rsidRPr="00E65AA2">
        <w:rPr>
          <w:rFonts w:ascii="Times New Roman" w:hAnsi="Times New Roman"/>
          <w:sz w:val="28"/>
          <w:szCs w:val="28"/>
        </w:rPr>
        <w:t>д</w:t>
      </w:r>
      <w:r w:rsidRPr="00E65AA2">
        <w:rPr>
          <w:rFonts w:ascii="Times New Roman" w:hAnsi="Times New Roman"/>
          <w:sz w:val="28"/>
          <w:szCs w:val="28"/>
        </w:rPr>
        <w:t>няет формирование хозяйственно целесообразной кроны в саду после п</w:t>
      </w:r>
      <w:r w:rsidRPr="00E65AA2"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 xml:space="preserve">садки.  В данном случае при закладке кроны приходится удалять больше половины древесины, сформированной в предшествующем году. </w:t>
      </w:r>
    </w:p>
    <w:p w:rsidR="005725AE" w:rsidRPr="00E65AA2" w:rsidRDefault="005725AE" w:rsidP="00B87CF7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Нами сделана попытка изменить ход естественного развития саже</w:t>
      </w:r>
      <w:r w:rsidRPr="00E65AA2">
        <w:rPr>
          <w:rFonts w:ascii="Times New Roman" w:hAnsi="Times New Roman"/>
          <w:sz w:val="28"/>
          <w:szCs w:val="28"/>
        </w:rPr>
        <w:t>н</w:t>
      </w:r>
      <w:r w:rsidRPr="00E65AA2">
        <w:rPr>
          <w:rFonts w:ascii="Times New Roman" w:hAnsi="Times New Roman"/>
          <w:sz w:val="28"/>
          <w:szCs w:val="28"/>
        </w:rPr>
        <w:t>цев за счет проведения пинцировки, обработки препаратом «Атлет», и в комплексе с этими приемами применили во второй половине лета обрезку.</w:t>
      </w:r>
    </w:p>
    <w:p w:rsidR="005725AE" w:rsidRPr="00E65AA2" w:rsidRDefault="005725AE" w:rsidP="00441703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Голден Би сорт с</w:t>
      </w:r>
      <w:r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 xml:space="preserve"> средней побегообразовательной способностью. При пинцировке с последующей обработкой препаратом Атлет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65AA2">
        <w:rPr>
          <w:rFonts w:ascii="Times New Roman" w:hAnsi="Times New Roman"/>
          <w:sz w:val="28"/>
          <w:szCs w:val="28"/>
        </w:rPr>
        <w:t xml:space="preserve"> обрезкой крона заложилась у 100% саженцев, с углом отхождения боковых побегов близким к прямому</w:t>
      </w:r>
      <w:r>
        <w:rPr>
          <w:rFonts w:ascii="Times New Roman" w:hAnsi="Times New Roman"/>
          <w:sz w:val="28"/>
          <w:szCs w:val="28"/>
        </w:rPr>
        <w:t xml:space="preserve"> (табл. 1)</w:t>
      </w:r>
      <w:r w:rsidRPr="00E65AA2">
        <w:rPr>
          <w:rFonts w:ascii="Times New Roman" w:hAnsi="Times New Roman"/>
          <w:sz w:val="28"/>
          <w:szCs w:val="28"/>
        </w:rPr>
        <w:t>.</w:t>
      </w:r>
    </w:p>
    <w:p w:rsidR="005725AE" w:rsidRPr="00441703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Pr="00441703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65AA2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5AA2">
        <w:rPr>
          <w:rFonts w:ascii="Times New Roman" w:hAnsi="Times New Roman"/>
          <w:sz w:val="28"/>
          <w:szCs w:val="28"/>
        </w:rPr>
        <w:t xml:space="preserve">кронирования однолетних саженцев сорта </w:t>
      </w:r>
    </w:p>
    <w:p w:rsidR="005725AE" w:rsidRPr="00E65AA2" w:rsidRDefault="005725AE" w:rsidP="00B87CF7">
      <w:pPr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Голден Би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23"/>
        <w:gridCol w:w="845"/>
        <w:gridCol w:w="898"/>
        <w:gridCol w:w="870"/>
        <w:gridCol w:w="974"/>
        <w:gridCol w:w="1209"/>
        <w:gridCol w:w="1160"/>
        <w:gridCol w:w="1413"/>
      </w:tblGrid>
      <w:tr w:rsidR="005725AE" w:rsidRPr="004A2BEB" w:rsidTr="005C1AB4">
        <w:trPr>
          <w:cantSplit/>
          <w:trHeight w:val="2363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Варианты</w:t>
            </w:r>
          </w:p>
        </w:tc>
        <w:tc>
          <w:tcPr>
            <w:tcW w:w="845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Высота, см</w:t>
            </w:r>
          </w:p>
        </w:tc>
        <w:tc>
          <w:tcPr>
            <w:tcW w:w="898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Диаметр штамба, мм</w:t>
            </w:r>
          </w:p>
        </w:tc>
        <w:tc>
          <w:tcPr>
            <w:tcW w:w="870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Кол-во боковых побегов</w:t>
            </w:r>
          </w:p>
        </w:tc>
        <w:tc>
          <w:tcPr>
            <w:tcW w:w="974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Средняя длина побега, см</w:t>
            </w:r>
          </w:p>
        </w:tc>
        <w:tc>
          <w:tcPr>
            <w:tcW w:w="1209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 первой скелетной ветви, см</w:t>
            </w:r>
          </w:p>
        </w:tc>
        <w:tc>
          <w:tcPr>
            <w:tcW w:w="1160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 xml:space="preserve">Угол отхождения ветвей, </w:t>
            </w:r>
          </w:p>
        </w:tc>
        <w:tc>
          <w:tcPr>
            <w:tcW w:w="1413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% разветвившихся саженцев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Контроль 1 (без вмешательства)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14,3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32,2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22,3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11,7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42,3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38,2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31,4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14,8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42,6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40,9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15,2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43,8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76,1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ка+ФАВ+обрезка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43,1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76,0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Высокая окул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и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14,7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70,4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56,2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НСР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37,8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725AE" w:rsidRDefault="005725AE" w:rsidP="0032009F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32009F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Либерти сорт со слабой побегообразовательной способностью. Учитывая эту биологическую особенность</w:t>
      </w:r>
      <w:r w:rsidRPr="0070759D">
        <w:rPr>
          <w:rFonts w:ascii="Times New Roman" w:hAnsi="Times New Roman"/>
          <w:sz w:val="28"/>
          <w:szCs w:val="28"/>
        </w:rPr>
        <w:t>,</w:t>
      </w:r>
      <w:r w:rsidRPr="00E65AA2">
        <w:rPr>
          <w:rFonts w:ascii="Times New Roman" w:hAnsi="Times New Roman"/>
          <w:sz w:val="28"/>
          <w:szCs w:val="28"/>
        </w:rPr>
        <w:t xml:space="preserve"> крона образовалась у 11,9% однолетних саженцев данного сорта. Пинцировка приостановила рост, с незначительным увеличением количества боковых разветвлений, а в соч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 xml:space="preserve">тании с обработкой препаратом «Атлет», спровоцировала у </w:t>
      </w:r>
      <w:r>
        <w:rPr>
          <w:rFonts w:ascii="Times New Roman" w:hAnsi="Times New Roman"/>
          <w:sz w:val="28"/>
          <w:szCs w:val="28"/>
        </w:rPr>
        <w:t>100% саженцев образование кроны(табл. 2).</w:t>
      </w: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Default="005725AE" w:rsidP="00B87CF7">
      <w:pPr>
        <w:jc w:val="both"/>
        <w:rPr>
          <w:rFonts w:ascii="Times New Roman" w:hAnsi="Times New Roman"/>
          <w:sz w:val="28"/>
          <w:szCs w:val="28"/>
        </w:rPr>
      </w:pPr>
    </w:p>
    <w:p w:rsidR="005725AE" w:rsidRPr="00E65AA2" w:rsidRDefault="005725AE" w:rsidP="00B87CF7">
      <w:pPr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65AA2">
        <w:rPr>
          <w:rFonts w:ascii="Times New Roman" w:hAnsi="Times New Roman"/>
          <w:sz w:val="28"/>
          <w:szCs w:val="28"/>
        </w:rPr>
        <w:t>Результат кронирования однолетних  саженцев сорта Либерти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23"/>
        <w:gridCol w:w="845"/>
        <w:gridCol w:w="898"/>
        <w:gridCol w:w="1106"/>
        <w:gridCol w:w="1209"/>
        <w:gridCol w:w="1251"/>
        <w:gridCol w:w="1160"/>
        <w:gridCol w:w="1413"/>
      </w:tblGrid>
      <w:tr w:rsidR="005725AE" w:rsidRPr="004A2BEB" w:rsidTr="005C1AB4">
        <w:trPr>
          <w:cantSplit/>
          <w:trHeight w:val="2497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Варианты</w:t>
            </w:r>
          </w:p>
        </w:tc>
        <w:tc>
          <w:tcPr>
            <w:tcW w:w="845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Высота, см</w:t>
            </w:r>
          </w:p>
        </w:tc>
        <w:tc>
          <w:tcPr>
            <w:tcW w:w="898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Диаметр штамба, мм</w:t>
            </w:r>
          </w:p>
        </w:tc>
        <w:tc>
          <w:tcPr>
            <w:tcW w:w="1106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Кол-во боковых побегов</w:t>
            </w:r>
          </w:p>
        </w:tc>
        <w:tc>
          <w:tcPr>
            <w:tcW w:w="1209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Средняя длина побега, см</w:t>
            </w:r>
          </w:p>
        </w:tc>
        <w:tc>
          <w:tcPr>
            <w:tcW w:w="1251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 первой скелетной ветви, см</w:t>
            </w:r>
          </w:p>
        </w:tc>
        <w:tc>
          <w:tcPr>
            <w:tcW w:w="1160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 xml:space="preserve">Угол отхождения ветвей, </w:t>
            </w:r>
          </w:p>
        </w:tc>
        <w:tc>
          <w:tcPr>
            <w:tcW w:w="1413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% разветвившихся саженцев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Контроль 1 (без вмешательства)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41,2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42,4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11,9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14,9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47,1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51,6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23,5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47,9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59,1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41,1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24,6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46,9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68,3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ка+ФАВ+обрезка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47,5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73,8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Высокая окул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и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14,9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34,9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50,2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53,9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45,9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НСР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106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1251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725AE" w:rsidRDefault="005725AE" w:rsidP="003200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25AE" w:rsidRPr="00E65AA2" w:rsidRDefault="005725AE" w:rsidP="003200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Флорина относится к сортам с сильным поступательным ростом  в молодом возрасте  и хорошей побегообразовательной способностью</w:t>
      </w:r>
    </w:p>
    <w:p w:rsidR="005725AE" w:rsidRPr="00E65AA2" w:rsidRDefault="005725AE" w:rsidP="0032009F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Учитывая биологическую особенность этого сорта, видно, что у 40,2% саженцев однолетнего возраста без вмешательства образовалась крона. Пинцировка способствовала приостановке роста, а процент саже</w:t>
      </w:r>
      <w:r w:rsidRPr="00E65AA2">
        <w:rPr>
          <w:rFonts w:ascii="Times New Roman" w:hAnsi="Times New Roman"/>
          <w:sz w:val="28"/>
          <w:szCs w:val="28"/>
        </w:rPr>
        <w:t>н</w:t>
      </w:r>
      <w:r w:rsidRPr="00E65AA2">
        <w:rPr>
          <w:rFonts w:ascii="Times New Roman" w:hAnsi="Times New Roman"/>
          <w:sz w:val="28"/>
          <w:szCs w:val="28"/>
        </w:rPr>
        <w:t xml:space="preserve">цев с кроной достиг 51%. Обработка препаратом «Атлет», когда саженцы достигли </w:t>
      </w:r>
      <w:smartTag w:uri="urn:schemas-microsoft-com:office:smarttags" w:element="City">
        <w:r w:rsidRPr="00E65AA2">
          <w:rPr>
            <w:rFonts w:ascii="Times New Roman" w:hAnsi="Times New Roman"/>
            <w:sz w:val="28"/>
            <w:szCs w:val="28"/>
          </w:rPr>
          <w:t>1 м</w:t>
        </w:r>
      </w:smartTag>
      <w:r w:rsidRPr="00E65AA2">
        <w:rPr>
          <w:rFonts w:ascii="Times New Roman" w:hAnsi="Times New Roman"/>
          <w:sz w:val="28"/>
          <w:szCs w:val="28"/>
        </w:rPr>
        <w:t xml:space="preserve"> в высоту, способствовала образованию крон у 52,1% , что оказало не сильное воздействие на ветвление.  А пинцировка в сочетании с  обработкой препаратом,  способствовала образованию кроны у 100 пр</w:t>
      </w:r>
      <w:r w:rsidRPr="00E65AA2">
        <w:rPr>
          <w:rFonts w:ascii="Times New Roman" w:hAnsi="Times New Roman"/>
          <w:sz w:val="28"/>
          <w:szCs w:val="28"/>
        </w:rPr>
        <w:t>о</w:t>
      </w:r>
      <w:r w:rsidRPr="00E65AA2">
        <w:rPr>
          <w:rFonts w:ascii="Times New Roman" w:hAnsi="Times New Roman"/>
          <w:sz w:val="28"/>
          <w:szCs w:val="28"/>
        </w:rPr>
        <w:t>центов саженцев данного сорта</w:t>
      </w:r>
      <w:r>
        <w:rPr>
          <w:rFonts w:ascii="Times New Roman" w:hAnsi="Times New Roman"/>
          <w:sz w:val="28"/>
          <w:szCs w:val="28"/>
        </w:rPr>
        <w:t xml:space="preserve"> (табл. 3)</w:t>
      </w:r>
      <w:r w:rsidRPr="00E65AA2">
        <w:rPr>
          <w:rFonts w:ascii="Times New Roman" w:hAnsi="Times New Roman"/>
          <w:sz w:val="28"/>
          <w:szCs w:val="28"/>
        </w:rPr>
        <w:t>.</w:t>
      </w:r>
    </w:p>
    <w:p w:rsidR="005725AE" w:rsidRDefault="005725AE" w:rsidP="00B87CF7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25AE" w:rsidRPr="00E65AA2" w:rsidRDefault="005725AE" w:rsidP="00B87CF7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25AE" w:rsidRPr="00E65AA2" w:rsidRDefault="005725AE" w:rsidP="00B87CF7">
      <w:pPr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Таблица 3. Результат кронирования однолетних  саженцев сорта Флорина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23"/>
        <w:gridCol w:w="845"/>
        <w:gridCol w:w="898"/>
        <w:gridCol w:w="870"/>
        <w:gridCol w:w="974"/>
        <w:gridCol w:w="1209"/>
        <w:gridCol w:w="1160"/>
        <w:gridCol w:w="1413"/>
      </w:tblGrid>
      <w:tr w:rsidR="005725AE" w:rsidRPr="004A2BEB" w:rsidTr="005C1AB4">
        <w:trPr>
          <w:cantSplit/>
          <w:trHeight w:val="2107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Варианты</w:t>
            </w:r>
          </w:p>
        </w:tc>
        <w:tc>
          <w:tcPr>
            <w:tcW w:w="845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Высота, см</w:t>
            </w:r>
          </w:p>
        </w:tc>
        <w:tc>
          <w:tcPr>
            <w:tcW w:w="898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Диаметр штамба, мм</w:t>
            </w:r>
          </w:p>
        </w:tc>
        <w:tc>
          <w:tcPr>
            <w:tcW w:w="870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Кол-во боковых побегов</w:t>
            </w:r>
          </w:p>
        </w:tc>
        <w:tc>
          <w:tcPr>
            <w:tcW w:w="974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Средняя длина побега, см</w:t>
            </w:r>
          </w:p>
        </w:tc>
        <w:tc>
          <w:tcPr>
            <w:tcW w:w="1209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Высота первой скелетной ветви, см</w:t>
            </w:r>
          </w:p>
        </w:tc>
        <w:tc>
          <w:tcPr>
            <w:tcW w:w="1160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 xml:space="preserve">Угол отхождения ветвей, </w:t>
            </w:r>
          </w:p>
        </w:tc>
        <w:tc>
          <w:tcPr>
            <w:tcW w:w="1413" w:type="dxa"/>
            <w:textDirection w:val="btLr"/>
          </w:tcPr>
          <w:p w:rsidR="005725AE" w:rsidRPr="004A2BEB" w:rsidRDefault="005725AE" w:rsidP="005C1AB4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% разветвившихся саженцев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Контроль 1 (без вмешательства)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35,3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46,7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20,2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48,2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20,1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25,7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48,6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52,1</w:t>
            </w:r>
          </w:p>
        </w:tc>
      </w:tr>
      <w:tr w:rsidR="005725AE" w:rsidRPr="004A2BEB" w:rsidTr="005C1AB4">
        <w:trPr>
          <w:trHeight w:val="52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ка+обработка ФАВ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26,9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44,7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48,1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62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Пинциро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в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ка+ФАВ+обрезка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48,3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48,6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Высокая окул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и</w:t>
            </w:r>
            <w:r w:rsidRPr="004A2BEB">
              <w:rPr>
                <w:rFonts w:ascii="Times New Roman" w:hAnsi="Times New Roman"/>
                <w:sz w:val="28"/>
                <w:szCs w:val="28"/>
              </w:rPr>
              <w:t>ровка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27,9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45,4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70,9</w:t>
            </w:r>
          </w:p>
        </w:tc>
      </w:tr>
      <w:tr w:rsidR="005725AE" w:rsidRPr="004A2BEB" w:rsidTr="005C1AB4">
        <w:trPr>
          <w:trHeight w:val="285"/>
          <w:jc w:val="center"/>
        </w:trPr>
        <w:tc>
          <w:tcPr>
            <w:tcW w:w="232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НСР</w:t>
            </w:r>
          </w:p>
        </w:tc>
        <w:tc>
          <w:tcPr>
            <w:tcW w:w="845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87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974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209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1160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413" w:type="dxa"/>
          </w:tcPr>
          <w:p w:rsidR="005725AE" w:rsidRPr="004A2BEB" w:rsidRDefault="005725AE" w:rsidP="005C1A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BE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725AE" w:rsidRDefault="005725AE" w:rsidP="00B87CF7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725AE" w:rsidRPr="00E65AA2" w:rsidRDefault="005725AE" w:rsidP="009B1F0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65AA2">
        <w:rPr>
          <w:rFonts w:ascii="Times New Roman" w:hAnsi="Times New Roman"/>
          <w:b/>
          <w:sz w:val="28"/>
          <w:szCs w:val="28"/>
        </w:rPr>
        <w:t>Выводы.</w:t>
      </w:r>
    </w:p>
    <w:p w:rsidR="005725AE" w:rsidRPr="00E65AA2" w:rsidRDefault="005725AE" w:rsidP="009B1F0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Из представленных выше данных видно, что действие этих элеме</w:t>
      </w:r>
      <w:r w:rsidRPr="00E65AA2">
        <w:rPr>
          <w:rFonts w:ascii="Times New Roman" w:hAnsi="Times New Roman"/>
          <w:sz w:val="28"/>
          <w:szCs w:val="28"/>
        </w:rPr>
        <w:t>н</w:t>
      </w:r>
      <w:r w:rsidRPr="00E65AA2">
        <w:rPr>
          <w:rFonts w:ascii="Times New Roman" w:hAnsi="Times New Roman"/>
          <w:sz w:val="28"/>
          <w:szCs w:val="28"/>
        </w:rPr>
        <w:t>тов агротехники на рост и развитие саженцев различно, но в конечном р</w:t>
      </w:r>
      <w:r w:rsidRPr="00E65AA2">
        <w:rPr>
          <w:rFonts w:ascii="Times New Roman" w:hAnsi="Times New Roman"/>
          <w:sz w:val="28"/>
          <w:szCs w:val="28"/>
        </w:rPr>
        <w:t>е</w:t>
      </w:r>
      <w:r w:rsidRPr="00E65AA2">
        <w:rPr>
          <w:rFonts w:ascii="Times New Roman" w:hAnsi="Times New Roman"/>
          <w:sz w:val="28"/>
          <w:szCs w:val="28"/>
        </w:rPr>
        <w:t>зультате оказывается можно добиться образования кроны у однолеток. И угол отхождения у саженцев всех сортов  в варианте «пинцировка и обр</w:t>
      </w:r>
      <w:r w:rsidRPr="00E65AA2">
        <w:rPr>
          <w:rFonts w:ascii="Times New Roman" w:hAnsi="Times New Roman"/>
          <w:sz w:val="28"/>
          <w:szCs w:val="28"/>
        </w:rPr>
        <w:t>а</w:t>
      </w:r>
      <w:r w:rsidRPr="00E65AA2">
        <w:rPr>
          <w:rFonts w:ascii="Times New Roman" w:hAnsi="Times New Roman"/>
          <w:sz w:val="28"/>
          <w:szCs w:val="28"/>
        </w:rPr>
        <w:t>ботка препаратом» близок к прямому</w:t>
      </w:r>
      <w:r>
        <w:rPr>
          <w:rFonts w:ascii="Times New Roman" w:hAnsi="Times New Roman"/>
          <w:sz w:val="28"/>
          <w:szCs w:val="28"/>
        </w:rPr>
        <w:t>, что является важным показателем при закладка интенсивных садов</w:t>
      </w:r>
      <w:r w:rsidRPr="00E65AA2">
        <w:rPr>
          <w:rFonts w:ascii="Times New Roman" w:hAnsi="Times New Roman"/>
          <w:sz w:val="28"/>
          <w:szCs w:val="28"/>
        </w:rPr>
        <w:t>.</w:t>
      </w:r>
    </w:p>
    <w:p w:rsidR="005725AE" w:rsidRDefault="005725AE" w:rsidP="009B1F0D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65AA2">
        <w:rPr>
          <w:rFonts w:ascii="Times New Roman" w:hAnsi="Times New Roman"/>
          <w:sz w:val="28"/>
          <w:szCs w:val="28"/>
        </w:rPr>
        <w:t>Сокращение срока выращивания разветвленных саженцев приведет к снижению затрат связанных с уходом за саженцами двухлетнего возра</w:t>
      </w:r>
      <w:r w:rsidRPr="00E65AA2">
        <w:rPr>
          <w:rFonts w:ascii="Times New Roman" w:hAnsi="Times New Roman"/>
          <w:sz w:val="28"/>
          <w:szCs w:val="28"/>
        </w:rPr>
        <w:t>с</w:t>
      </w:r>
      <w:r w:rsidRPr="00E65AA2">
        <w:rPr>
          <w:rFonts w:ascii="Times New Roman" w:hAnsi="Times New Roman"/>
          <w:sz w:val="28"/>
          <w:szCs w:val="28"/>
        </w:rPr>
        <w:t>та.</w:t>
      </w:r>
    </w:p>
    <w:p w:rsidR="005725AE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725AE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725AE" w:rsidRDefault="005725AE" w:rsidP="00B87CF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725AE" w:rsidRPr="00E65AA2" w:rsidRDefault="005725AE" w:rsidP="009B1F0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725AE" w:rsidRDefault="005725AE" w:rsidP="00B362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3629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5725AE" w:rsidRPr="0070759D" w:rsidRDefault="005725AE" w:rsidP="00B362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Факторы, способствующие получению качественных однолетних саженцев я</w:t>
        </w:r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б</w:t>
        </w:r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лони, привитых на слаборослые подвои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 xml:space="preserve">. / Алферов В.А. // </w:t>
      </w:r>
      <w:hyperlink r:id="rId8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Плодоводство и винограда</w:t>
        </w:r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р</w:t>
        </w:r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ство юга России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>.- 2010.</w:t>
      </w:r>
      <w:r w:rsidRPr="00B36294">
        <w:rPr>
          <w:rStyle w:val="apple-converted-space"/>
          <w:rFonts w:ascii="Times New Roman" w:hAnsi="Times New Roman"/>
          <w:color w:val="000000"/>
          <w:sz w:val="24"/>
          <w:szCs w:val="24"/>
        </w:rPr>
        <w:t> -</w:t>
      </w:r>
      <w:hyperlink r:id="rId9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№ 5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>.- С. 19-25.</w:t>
      </w: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36294">
        <w:rPr>
          <w:rFonts w:ascii="Times New Roman" w:hAnsi="Times New Roman"/>
          <w:color w:val="000000"/>
          <w:sz w:val="24"/>
          <w:szCs w:val="24"/>
        </w:rPr>
        <w:t xml:space="preserve">Барабаш И.П. </w:t>
      </w:r>
      <w:hyperlink r:id="rId10" w:history="1"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Фитогормоны. Регуляторы роста (классификация, теория, пра</w:t>
        </w:r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к</w:t>
        </w:r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тика)</w:t>
        </w:r>
      </w:hyperlink>
      <w:r w:rsidRPr="00B36294">
        <w:rPr>
          <w:rFonts w:ascii="Times New Roman" w:hAnsi="Times New Roman"/>
          <w:iCs/>
          <w:color w:val="000000"/>
          <w:sz w:val="24"/>
          <w:szCs w:val="24"/>
        </w:rPr>
        <w:t>. –</w:t>
      </w:r>
      <w:r w:rsidRPr="00B36294">
        <w:rPr>
          <w:rFonts w:ascii="Times New Roman" w:hAnsi="Times New Roman"/>
          <w:color w:val="000000"/>
          <w:sz w:val="24"/>
          <w:szCs w:val="24"/>
        </w:rPr>
        <w:t xml:space="preserve"> Ставрополь, 2009</w:t>
      </w: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Фитогормоны (эндогенные регуляторы) растении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 xml:space="preserve">. / Барабаш И.П. 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//</w:t>
      </w:r>
      <w:r w:rsidRPr="00B36294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hyperlink r:id="rId12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Садоводство и виноградарство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>. - 2008.</w:t>
      </w:r>
      <w:r w:rsidRPr="00B36294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- </w:t>
      </w:r>
      <w:hyperlink r:id="rId13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№ 4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>. - С. 22-23.</w:t>
      </w: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36294">
        <w:rPr>
          <w:rFonts w:ascii="Times New Roman" w:hAnsi="Times New Roman"/>
          <w:iCs/>
          <w:color w:val="000000"/>
          <w:sz w:val="24"/>
          <w:szCs w:val="24"/>
        </w:rPr>
        <w:t>Ветвление однолетних саженцев яблони под влиянием агротехнических при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е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мов./ Каширская О.В. //</w:t>
      </w:r>
      <w:r w:rsidRPr="00B36294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4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Вестник Мичуринского государственного аграрного универс</w:t>
        </w:r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и</w:t>
        </w:r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тета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 xml:space="preserve">.- 2011.- </w:t>
      </w:r>
      <w:hyperlink r:id="rId15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№ 11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>.- С. 55-58.</w:t>
      </w: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36294">
        <w:rPr>
          <w:rFonts w:ascii="Times New Roman" w:hAnsi="Times New Roman"/>
          <w:color w:val="000000"/>
          <w:sz w:val="24"/>
          <w:szCs w:val="24"/>
        </w:rPr>
        <w:t>Программа и методика сортоизучения плодовых,  ягодных и орехоплодных культур./ Под ред. Лобанова Г.А. – Мичуринск. 1973. – 380 с.</w:t>
      </w:r>
    </w:p>
    <w:p w:rsidR="005725AE" w:rsidRPr="00B36294" w:rsidRDefault="005725AE" w:rsidP="00B3629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Pr="00B36294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Ресурсосберегающие технологии выращивания посадочного материала яблони</w:t>
        </w:r>
      </w:hyperlink>
      <w:r w:rsidRPr="00B36294"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А.И. Чернов, С.И.</w:t>
      </w:r>
      <w:r w:rsidRPr="00B362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Рыбальченко</w:t>
      </w:r>
      <w:r w:rsidRPr="00B36294">
        <w:rPr>
          <w:rFonts w:ascii="Times New Roman" w:hAnsi="Times New Roman"/>
          <w:i/>
          <w:iCs/>
          <w:color w:val="000000"/>
          <w:sz w:val="24"/>
          <w:szCs w:val="24"/>
        </w:rPr>
        <w:t xml:space="preserve"> // </w:t>
      </w:r>
      <w:r w:rsidRPr="00B36294">
        <w:rPr>
          <w:rFonts w:ascii="Times New Roman" w:hAnsi="Times New Roman"/>
          <w:iCs/>
          <w:color w:val="000000"/>
          <w:sz w:val="24"/>
          <w:szCs w:val="24"/>
        </w:rPr>
        <w:t>Сборник научных трудов:</w:t>
      </w:r>
      <w:r w:rsidRPr="00B36294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hyperlink r:id="rId17" w:history="1">
        <w:r w:rsidRPr="00B3629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Применение современных ресурсосберегающих инновационных технологий в АПК</w:t>
        </w:r>
      </w:hyperlink>
      <w:r w:rsidRPr="00B3629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36294">
        <w:rPr>
          <w:rFonts w:ascii="Times New Roman" w:hAnsi="Times New Roman"/>
          <w:color w:val="000000"/>
          <w:sz w:val="24"/>
          <w:szCs w:val="24"/>
        </w:rPr>
        <w:t>2013. С. 266-268.</w:t>
      </w:r>
    </w:p>
    <w:p w:rsidR="005725AE" w:rsidRPr="00275118" w:rsidRDefault="005725AE" w:rsidP="00B36294">
      <w:pPr>
        <w:pStyle w:val="ListParagraph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36294">
        <w:rPr>
          <w:rFonts w:ascii="Times New Roman" w:hAnsi="Times New Roman"/>
          <w:sz w:val="24"/>
          <w:szCs w:val="24"/>
        </w:rPr>
        <w:t>7. Стратегия развития виноградарства на базе достижения современной биотехн</w:t>
      </w:r>
      <w:r w:rsidRPr="00B36294">
        <w:rPr>
          <w:rFonts w:ascii="Times New Roman" w:hAnsi="Times New Roman"/>
          <w:sz w:val="24"/>
          <w:szCs w:val="24"/>
        </w:rPr>
        <w:t>о</w:t>
      </w:r>
      <w:r w:rsidRPr="00B36294">
        <w:rPr>
          <w:rFonts w:ascii="Times New Roman" w:hAnsi="Times New Roman"/>
          <w:sz w:val="24"/>
          <w:szCs w:val="24"/>
        </w:rPr>
        <w:t>логии в Ставропольском крае / Брыкалов А.В., Романенко Е.С., Шарипова О.В. // М</w:t>
      </w:r>
      <w:r w:rsidRPr="00B36294">
        <w:rPr>
          <w:rFonts w:ascii="Times New Roman" w:hAnsi="Times New Roman"/>
          <w:sz w:val="24"/>
          <w:szCs w:val="24"/>
        </w:rPr>
        <w:t>о</w:t>
      </w:r>
      <w:r w:rsidRPr="00B36294">
        <w:rPr>
          <w:rFonts w:ascii="Times New Roman" w:hAnsi="Times New Roman"/>
          <w:sz w:val="24"/>
          <w:szCs w:val="24"/>
        </w:rPr>
        <w:t xml:space="preserve">сква, «Виноградарство и виноделие». </w:t>
      </w:r>
      <w:r w:rsidRPr="00275118">
        <w:rPr>
          <w:rFonts w:ascii="Times New Roman" w:hAnsi="Times New Roman"/>
          <w:sz w:val="24"/>
          <w:szCs w:val="24"/>
        </w:rPr>
        <w:t xml:space="preserve">2008. – №1. –  </w:t>
      </w:r>
      <w:r w:rsidRPr="00B36294">
        <w:rPr>
          <w:rFonts w:ascii="Times New Roman" w:hAnsi="Times New Roman"/>
          <w:sz w:val="24"/>
          <w:szCs w:val="24"/>
        </w:rPr>
        <w:t>С</w:t>
      </w:r>
      <w:r w:rsidRPr="00275118">
        <w:rPr>
          <w:rFonts w:ascii="Times New Roman" w:hAnsi="Times New Roman"/>
          <w:sz w:val="24"/>
          <w:szCs w:val="24"/>
        </w:rPr>
        <w:t>.21</w:t>
      </w:r>
    </w:p>
    <w:p w:rsidR="005725AE" w:rsidRDefault="005725AE" w:rsidP="00B362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5725AE" w:rsidRDefault="005725AE" w:rsidP="00B362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5725AE" w:rsidRPr="00275118" w:rsidRDefault="005725AE" w:rsidP="00B362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275118">
        <w:rPr>
          <w:rFonts w:ascii="Times New Roman" w:hAnsi="Times New Roman"/>
          <w:sz w:val="24"/>
          <w:szCs w:val="24"/>
        </w:rPr>
        <w:t>1.</w:t>
      </w:r>
      <w:r w:rsidRPr="00275118">
        <w:rPr>
          <w:rFonts w:ascii="Times New Roman" w:hAnsi="Times New Roman"/>
          <w:sz w:val="24"/>
          <w:szCs w:val="24"/>
        </w:rPr>
        <w:tab/>
      </w:r>
      <w:r w:rsidRPr="00B36294">
        <w:rPr>
          <w:rFonts w:ascii="Times New Roman" w:hAnsi="Times New Roman"/>
          <w:sz w:val="24"/>
          <w:szCs w:val="24"/>
          <w:lang w:val="en-US"/>
        </w:rPr>
        <w:t>Faktory</w:t>
      </w:r>
      <w:r w:rsidRPr="00275118">
        <w:rPr>
          <w:rFonts w:ascii="Times New Roman" w:hAnsi="Times New Roman"/>
          <w:sz w:val="24"/>
          <w:szCs w:val="24"/>
        </w:rPr>
        <w:t xml:space="preserve">, </w:t>
      </w:r>
      <w:r w:rsidRPr="00B36294">
        <w:rPr>
          <w:rFonts w:ascii="Times New Roman" w:hAnsi="Times New Roman"/>
          <w:sz w:val="24"/>
          <w:szCs w:val="24"/>
          <w:lang w:val="en-US"/>
        </w:rPr>
        <w:t>sposobstvujushhie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polucheniju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kachestvennyh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odnoletnih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sazhencev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jab</w:t>
      </w:r>
      <w:r w:rsidRPr="00275118">
        <w:rPr>
          <w:rFonts w:ascii="Times New Roman" w:hAnsi="Times New Roman"/>
          <w:sz w:val="24"/>
          <w:szCs w:val="24"/>
        </w:rPr>
        <w:t>-</w:t>
      </w:r>
      <w:r w:rsidRPr="00B36294">
        <w:rPr>
          <w:rFonts w:ascii="Times New Roman" w:hAnsi="Times New Roman"/>
          <w:sz w:val="24"/>
          <w:szCs w:val="24"/>
          <w:lang w:val="en-US"/>
        </w:rPr>
        <w:t>loni</w:t>
      </w:r>
      <w:r w:rsidRPr="00275118">
        <w:rPr>
          <w:rFonts w:ascii="Times New Roman" w:hAnsi="Times New Roman"/>
          <w:sz w:val="24"/>
          <w:szCs w:val="24"/>
        </w:rPr>
        <w:t xml:space="preserve">, </w:t>
      </w:r>
      <w:r w:rsidRPr="00B36294">
        <w:rPr>
          <w:rFonts w:ascii="Times New Roman" w:hAnsi="Times New Roman"/>
          <w:sz w:val="24"/>
          <w:szCs w:val="24"/>
          <w:lang w:val="en-US"/>
        </w:rPr>
        <w:t>privityh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na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slaboroslye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podvoi</w:t>
      </w:r>
      <w:r w:rsidRPr="00275118">
        <w:rPr>
          <w:rFonts w:ascii="Times New Roman" w:hAnsi="Times New Roman"/>
          <w:sz w:val="24"/>
          <w:szCs w:val="24"/>
        </w:rPr>
        <w:t xml:space="preserve">. / </w:t>
      </w:r>
      <w:r w:rsidRPr="00B36294">
        <w:rPr>
          <w:rFonts w:ascii="Times New Roman" w:hAnsi="Times New Roman"/>
          <w:sz w:val="24"/>
          <w:szCs w:val="24"/>
          <w:lang w:val="en-US"/>
        </w:rPr>
        <w:t>Alferov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V</w:t>
      </w:r>
      <w:r w:rsidRPr="00275118">
        <w:rPr>
          <w:rFonts w:ascii="Times New Roman" w:hAnsi="Times New Roman"/>
          <w:sz w:val="24"/>
          <w:szCs w:val="24"/>
        </w:rPr>
        <w:t>.</w:t>
      </w:r>
      <w:r w:rsidRPr="00B36294">
        <w:rPr>
          <w:rFonts w:ascii="Times New Roman" w:hAnsi="Times New Roman"/>
          <w:sz w:val="24"/>
          <w:szCs w:val="24"/>
          <w:lang w:val="en-US"/>
        </w:rPr>
        <w:t>A</w:t>
      </w:r>
      <w:r w:rsidRPr="00275118">
        <w:rPr>
          <w:rFonts w:ascii="Times New Roman" w:hAnsi="Times New Roman"/>
          <w:sz w:val="24"/>
          <w:szCs w:val="24"/>
        </w:rPr>
        <w:t xml:space="preserve">. // </w:t>
      </w:r>
      <w:r w:rsidRPr="00B36294">
        <w:rPr>
          <w:rFonts w:ascii="Times New Roman" w:hAnsi="Times New Roman"/>
          <w:sz w:val="24"/>
          <w:szCs w:val="24"/>
          <w:lang w:val="en-US"/>
        </w:rPr>
        <w:t>Plodovodstvo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i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vinogradar</w:t>
      </w:r>
      <w:r w:rsidRPr="00275118">
        <w:rPr>
          <w:rFonts w:ascii="Times New Roman" w:hAnsi="Times New Roman"/>
          <w:sz w:val="24"/>
          <w:szCs w:val="24"/>
        </w:rPr>
        <w:t>-</w:t>
      </w:r>
      <w:r w:rsidRPr="00B36294">
        <w:rPr>
          <w:rFonts w:ascii="Times New Roman" w:hAnsi="Times New Roman"/>
          <w:sz w:val="24"/>
          <w:szCs w:val="24"/>
          <w:lang w:val="en-US"/>
        </w:rPr>
        <w:t>stvo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juga</w:t>
      </w:r>
      <w:r w:rsidRPr="00275118">
        <w:rPr>
          <w:rFonts w:ascii="Times New Roman" w:hAnsi="Times New Roman"/>
          <w:sz w:val="24"/>
          <w:szCs w:val="24"/>
        </w:rPr>
        <w:t xml:space="preserve"> </w:t>
      </w:r>
      <w:r w:rsidRPr="00B36294">
        <w:rPr>
          <w:rFonts w:ascii="Times New Roman" w:hAnsi="Times New Roman"/>
          <w:sz w:val="24"/>
          <w:szCs w:val="24"/>
          <w:lang w:val="en-US"/>
        </w:rPr>
        <w:t>Rossii</w:t>
      </w:r>
      <w:r w:rsidRPr="00275118">
        <w:rPr>
          <w:rFonts w:ascii="Times New Roman" w:hAnsi="Times New Roman"/>
          <w:sz w:val="24"/>
          <w:szCs w:val="24"/>
        </w:rPr>
        <w:t xml:space="preserve">.- </w:t>
      </w:r>
      <w:r w:rsidRPr="00B36294">
        <w:rPr>
          <w:rFonts w:ascii="Times New Roman" w:hAnsi="Times New Roman"/>
          <w:sz w:val="24"/>
          <w:szCs w:val="24"/>
          <w:lang w:val="en-US"/>
        </w:rPr>
        <w:t>2010. -№ 5.- S. 19-25.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2.</w:t>
      </w:r>
      <w:r w:rsidRPr="00B36294">
        <w:rPr>
          <w:rFonts w:ascii="Times New Roman" w:hAnsi="Times New Roman"/>
          <w:sz w:val="24"/>
          <w:szCs w:val="24"/>
          <w:lang w:val="en-US"/>
        </w:rPr>
        <w:tab/>
        <w:t>Barabash I.P. Fitogormony. Reguljatory rosta (klassifikacija, teorija, prak-tika). – Stavropol', 2009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3.</w:t>
      </w:r>
      <w:r w:rsidRPr="00B36294">
        <w:rPr>
          <w:rFonts w:ascii="Times New Roman" w:hAnsi="Times New Roman"/>
          <w:sz w:val="24"/>
          <w:szCs w:val="24"/>
          <w:lang w:val="en-US"/>
        </w:rPr>
        <w:tab/>
        <w:t>Fitogormony (jendogennye reguljatory) rastenii. / Barabash I.P. // Sadovodstvo i v</w:t>
      </w:r>
      <w:r w:rsidRPr="00B36294">
        <w:rPr>
          <w:rFonts w:ascii="Times New Roman" w:hAnsi="Times New Roman"/>
          <w:sz w:val="24"/>
          <w:szCs w:val="24"/>
          <w:lang w:val="en-US"/>
        </w:rPr>
        <w:t>i</w:t>
      </w:r>
      <w:r w:rsidRPr="00B36294">
        <w:rPr>
          <w:rFonts w:ascii="Times New Roman" w:hAnsi="Times New Roman"/>
          <w:sz w:val="24"/>
          <w:szCs w:val="24"/>
          <w:lang w:val="en-US"/>
        </w:rPr>
        <w:t>nogradarstvo. - 2008. - № 4. - S. 22-23.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4.</w:t>
      </w:r>
      <w:r w:rsidRPr="00B36294">
        <w:rPr>
          <w:rFonts w:ascii="Times New Roman" w:hAnsi="Times New Roman"/>
          <w:sz w:val="24"/>
          <w:szCs w:val="24"/>
          <w:lang w:val="en-US"/>
        </w:rPr>
        <w:tab/>
        <w:t>Vetvlenie odnoletnih sazhencev jabloni pod vlijaniem agrotehnicheskih prie-mov./ Kashirskaja O.V. // Vestnik Michurinskogo gosudarstvennogo agrarnogo universi-teta.- 2011.- № 11.- S. 55-58.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5.</w:t>
      </w:r>
      <w:r w:rsidRPr="00B36294">
        <w:rPr>
          <w:rFonts w:ascii="Times New Roman" w:hAnsi="Times New Roman"/>
          <w:sz w:val="24"/>
          <w:szCs w:val="24"/>
          <w:lang w:val="en-US"/>
        </w:rPr>
        <w:tab/>
        <w:t>Programma i metodika sortoizuchenija plodovyh,  jagodnyh i orehoplodnyh kul'tur./ Pod red. Lobanova G.A. – Michurinsk. 1973. – 380 s.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6.</w:t>
      </w:r>
      <w:r w:rsidRPr="00B36294">
        <w:rPr>
          <w:rFonts w:ascii="Times New Roman" w:hAnsi="Times New Roman"/>
          <w:sz w:val="24"/>
          <w:szCs w:val="24"/>
          <w:lang w:val="en-US"/>
        </w:rPr>
        <w:tab/>
        <w:t>Resursosberegajushhie tehnologii vyrashhivanija posadochnogo materiala jabloni / A.I. Chernov, S.I. Rybal'chenko // Sbornik nauchnyh trudov: Primenenie sovremennyh resu</w:t>
      </w:r>
      <w:r w:rsidRPr="00B36294">
        <w:rPr>
          <w:rFonts w:ascii="Times New Roman" w:hAnsi="Times New Roman"/>
          <w:sz w:val="24"/>
          <w:szCs w:val="24"/>
          <w:lang w:val="en-US"/>
        </w:rPr>
        <w:t>r</w:t>
      </w:r>
      <w:r w:rsidRPr="00B36294">
        <w:rPr>
          <w:rFonts w:ascii="Times New Roman" w:hAnsi="Times New Roman"/>
          <w:sz w:val="24"/>
          <w:szCs w:val="24"/>
          <w:lang w:val="en-US"/>
        </w:rPr>
        <w:t>sosberegajushhih innovacionnyh tehnologij v APK 2013. S. 266-268.</w:t>
      </w:r>
    </w:p>
    <w:p w:rsidR="005725AE" w:rsidRPr="00B36294" w:rsidRDefault="005725AE" w:rsidP="00B36294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en-US"/>
        </w:rPr>
      </w:pPr>
      <w:r w:rsidRPr="00B36294">
        <w:rPr>
          <w:rFonts w:ascii="Times New Roman" w:hAnsi="Times New Roman"/>
          <w:sz w:val="24"/>
          <w:szCs w:val="24"/>
          <w:lang w:val="en-US"/>
        </w:rPr>
        <w:t>7. Strategija razvitija vinogradarstva na baze dostizhenija sovremennoj biotehno-logii v Stavropol'skom krae / Brykalov A.V., Roman</w:t>
      </w:r>
      <w:r>
        <w:rPr>
          <w:rFonts w:ascii="Times New Roman" w:hAnsi="Times New Roman"/>
          <w:sz w:val="24"/>
          <w:szCs w:val="24"/>
          <w:lang w:val="en-US"/>
        </w:rPr>
        <w:t>enko E.S., Sharipova O.V. // Mo</w:t>
      </w:r>
      <w:r w:rsidRPr="00B36294">
        <w:rPr>
          <w:rFonts w:ascii="Times New Roman" w:hAnsi="Times New Roman"/>
          <w:sz w:val="24"/>
          <w:szCs w:val="24"/>
          <w:lang w:val="en-US"/>
        </w:rPr>
        <w:t>skva, «Vin</w:t>
      </w:r>
      <w:r w:rsidRPr="00B36294">
        <w:rPr>
          <w:rFonts w:ascii="Times New Roman" w:hAnsi="Times New Roman"/>
          <w:sz w:val="24"/>
          <w:szCs w:val="24"/>
          <w:lang w:val="en-US"/>
        </w:rPr>
        <w:t>o</w:t>
      </w:r>
      <w:r w:rsidRPr="00B36294">
        <w:rPr>
          <w:rFonts w:ascii="Times New Roman" w:hAnsi="Times New Roman"/>
          <w:sz w:val="24"/>
          <w:szCs w:val="24"/>
          <w:lang w:val="en-US"/>
        </w:rPr>
        <w:t>gradarstvo i vinodelie». 2008. – №1. –  S.21</w:t>
      </w:r>
    </w:p>
    <w:sectPr w:rsidR="005725AE" w:rsidRPr="00B36294" w:rsidSect="00521CAE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5AE" w:rsidRDefault="005725AE">
      <w:r>
        <w:separator/>
      </w:r>
    </w:p>
  </w:endnote>
  <w:endnote w:type="continuationSeparator" w:id="1">
    <w:p w:rsidR="005725AE" w:rsidRDefault="00572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AE" w:rsidRPr="00C60DE4" w:rsidRDefault="005725AE">
    <w:pPr>
      <w:pStyle w:val="Footer"/>
      <w:rPr>
        <w:rFonts w:ascii="Times New Roman" w:hAnsi="Times New Roman"/>
      </w:rPr>
    </w:pPr>
    <w:r w:rsidRPr="00C60DE4">
      <w:rPr>
        <w:rFonts w:ascii="Times New Roman" w:hAnsi="Times New Roman"/>
        <w:sz w:val="24"/>
        <w:szCs w:val="24"/>
      </w:rPr>
      <w:t>http://ej.kubagro.ru/201</w:t>
    </w:r>
    <w:r w:rsidRPr="00C60DE4">
      <w:rPr>
        <w:rFonts w:ascii="Times New Roman" w:hAnsi="Times New Roman"/>
        <w:sz w:val="24"/>
        <w:szCs w:val="24"/>
        <w:lang w:val="en-US"/>
      </w:rPr>
      <w:t>4</w:t>
    </w:r>
    <w:r w:rsidRPr="00C60DE4">
      <w:rPr>
        <w:rFonts w:ascii="Times New Roman" w:hAnsi="Times New Roman"/>
        <w:sz w:val="24"/>
        <w:szCs w:val="24"/>
      </w:rPr>
      <w:t>/</w:t>
    </w:r>
    <w:r w:rsidRPr="00C60DE4">
      <w:rPr>
        <w:rFonts w:ascii="Times New Roman" w:hAnsi="Times New Roman"/>
        <w:sz w:val="24"/>
        <w:szCs w:val="24"/>
        <w:lang w:val="en-US"/>
      </w:rPr>
      <w:t>04</w:t>
    </w:r>
    <w:r w:rsidRPr="00C60DE4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48</w:t>
    </w:r>
    <w:r w:rsidRPr="00C60DE4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5AE" w:rsidRDefault="005725AE">
      <w:r>
        <w:separator/>
      </w:r>
    </w:p>
  </w:footnote>
  <w:footnote w:type="continuationSeparator" w:id="1">
    <w:p w:rsidR="005725AE" w:rsidRDefault="00572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AE" w:rsidRDefault="005725AE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25AE" w:rsidRDefault="005725AE" w:rsidP="0027511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AE" w:rsidRPr="00275118" w:rsidRDefault="005725AE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75118">
      <w:rPr>
        <w:rStyle w:val="PageNumber"/>
        <w:rFonts w:ascii="Times New Roman" w:hAnsi="Times New Roman"/>
        <w:sz w:val="28"/>
        <w:szCs w:val="28"/>
      </w:rPr>
      <w:fldChar w:fldCharType="begin"/>
    </w:r>
    <w:r w:rsidRPr="0027511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7511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275118">
      <w:rPr>
        <w:rStyle w:val="PageNumber"/>
        <w:rFonts w:ascii="Times New Roman" w:hAnsi="Times New Roman"/>
        <w:sz w:val="28"/>
        <w:szCs w:val="28"/>
      </w:rPr>
      <w:fldChar w:fldCharType="end"/>
    </w:r>
  </w:p>
  <w:p w:rsidR="005725AE" w:rsidRPr="00275118" w:rsidRDefault="005725AE" w:rsidP="00275118">
    <w:pPr>
      <w:pStyle w:val="Header"/>
      <w:ind w:right="360"/>
      <w:rPr>
        <w:rFonts w:ascii="Times New Roman" w:hAnsi="Times New Roman"/>
        <w:sz w:val="24"/>
        <w:szCs w:val="24"/>
      </w:rPr>
    </w:pPr>
    <w:r w:rsidRPr="00275118">
      <w:rPr>
        <w:rFonts w:ascii="Times New Roman" w:hAnsi="Times New Roman"/>
        <w:sz w:val="24"/>
        <w:szCs w:val="24"/>
      </w:rPr>
      <w:t>Научный журнал КубГАУ, №9</w:t>
    </w:r>
    <w:r w:rsidRPr="00275118">
      <w:rPr>
        <w:rFonts w:ascii="Times New Roman" w:hAnsi="Times New Roman"/>
        <w:sz w:val="24"/>
        <w:szCs w:val="24"/>
        <w:lang w:val="en-US"/>
      </w:rPr>
      <w:t>8</w:t>
    </w:r>
    <w:r w:rsidRPr="00275118">
      <w:rPr>
        <w:rFonts w:ascii="Times New Roman" w:hAnsi="Times New Roman"/>
        <w:sz w:val="24"/>
        <w:szCs w:val="24"/>
      </w:rPr>
      <w:t>(</w:t>
    </w:r>
    <w:r w:rsidRPr="00275118">
      <w:rPr>
        <w:rFonts w:ascii="Times New Roman" w:hAnsi="Times New Roman"/>
        <w:sz w:val="24"/>
        <w:szCs w:val="24"/>
        <w:lang w:val="en-US"/>
      </w:rPr>
      <w:t>04</w:t>
    </w:r>
    <w:r w:rsidRPr="00275118">
      <w:rPr>
        <w:rFonts w:ascii="Times New Roman" w:hAnsi="Times New Roman"/>
        <w:sz w:val="24"/>
        <w:szCs w:val="24"/>
      </w:rPr>
      <w:t>), 201</w:t>
    </w:r>
    <w:r w:rsidRPr="00275118">
      <w:rPr>
        <w:rFonts w:ascii="Times New Roman" w:hAnsi="Times New Roman"/>
        <w:sz w:val="24"/>
        <w:szCs w:val="24"/>
        <w:lang w:val="en-US"/>
      </w:rPr>
      <w:t>4</w:t>
    </w:r>
    <w:r w:rsidRPr="00275118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61767"/>
    <w:multiLevelType w:val="hybridMultilevel"/>
    <w:tmpl w:val="D758C93C"/>
    <w:lvl w:ilvl="0" w:tplc="8236DF8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CF7"/>
    <w:rsid w:val="001442B3"/>
    <w:rsid w:val="00275118"/>
    <w:rsid w:val="0032009F"/>
    <w:rsid w:val="00441703"/>
    <w:rsid w:val="00477794"/>
    <w:rsid w:val="004A2BEB"/>
    <w:rsid w:val="0051400C"/>
    <w:rsid w:val="00521CAE"/>
    <w:rsid w:val="005725AE"/>
    <w:rsid w:val="00575CE1"/>
    <w:rsid w:val="0059365F"/>
    <w:rsid w:val="005A794A"/>
    <w:rsid w:val="005C1AB4"/>
    <w:rsid w:val="006C420E"/>
    <w:rsid w:val="006F304F"/>
    <w:rsid w:val="0070759D"/>
    <w:rsid w:val="0071777C"/>
    <w:rsid w:val="007F3ABC"/>
    <w:rsid w:val="008932D1"/>
    <w:rsid w:val="009B1F0D"/>
    <w:rsid w:val="009C3859"/>
    <w:rsid w:val="00A93788"/>
    <w:rsid w:val="00AE21F6"/>
    <w:rsid w:val="00AF1E8E"/>
    <w:rsid w:val="00B36294"/>
    <w:rsid w:val="00B644D2"/>
    <w:rsid w:val="00B87CF7"/>
    <w:rsid w:val="00BE6E95"/>
    <w:rsid w:val="00C26D4D"/>
    <w:rsid w:val="00C60DE4"/>
    <w:rsid w:val="00E47E4A"/>
    <w:rsid w:val="00E65AA2"/>
    <w:rsid w:val="00FD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1F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7CF7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87CF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87CF7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87CF7"/>
    <w:rPr>
      <w:rFonts w:cs="Times New Roman"/>
    </w:rPr>
  </w:style>
  <w:style w:type="paragraph" w:styleId="NormalWeb">
    <w:name w:val="Normal (Web)"/>
    <w:basedOn w:val="Normal"/>
    <w:uiPriority w:val="99"/>
    <w:rsid w:val="00B87C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B87CF7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2751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4965"/>
  </w:style>
  <w:style w:type="paragraph" w:styleId="Footer">
    <w:name w:val="footer"/>
    <w:basedOn w:val="Normal"/>
    <w:link w:val="FooterChar"/>
    <w:uiPriority w:val="99"/>
    <w:rsid w:val="0027511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4965"/>
  </w:style>
  <w:style w:type="character" w:styleId="PageNumber">
    <w:name w:val="page number"/>
    <w:basedOn w:val="DefaultParagraphFont"/>
    <w:uiPriority w:val="99"/>
    <w:rsid w:val="002751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923950" TargetMode="External"/><Relationship Id="rId13" Type="http://schemas.openxmlformats.org/officeDocument/2006/relationships/hyperlink" Target="http://elibrary.ru/contents.asp?issueid=527603&amp;selid=1162830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elibrary.ru/item.asp?id=15523155" TargetMode="External"/><Relationship Id="rId12" Type="http://schemas.openxmlformats.org/officeDocument/2006/relationships/hyperlink" Target="http://elibrary.ru/contents.asp?issueid=527603" TargetMode="External"/><Relationship Id="rId17" Type="http://schemas.openxmlformats.org/officeDocument/2006/relationships/hyperlink" Target="http://elibrary.ru/item.asp?id=18856206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19407145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item.asp?id=116283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979534&amp;selid=17105924" TargetMode="External"/><Relationship Id="rId10" Type="http://schemas.openxmlformats.org/officeDocument/2006/relationships/hyperlink" Target="http://elibrary.ru/item.asp?id=18479519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923950&amp;selid=15523155" TargetMode="External"/><Relationship Id="rId14" Type="http://schemas.openxmlformats.org/officeDocument/2006/relationships/hyperlink" Target="http://elibrary.ru/contents.asp?issueid=9795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7</Pages>
  <Words>1754</Words>
  <Characters>10000</Characters>
  <Application>Microsoft Office Outlook</Application>
  <DocSecurity>0</DocSecurity>
  <Lines>0</Lines>
  <Paragraphs>0</Paragraphs>
  <ScaleCrop>false</ScaleCrop>
  <Company>Ставропольский 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2014-03-18T06:20:00Z</dcterms:created>
  <dcterms:modified xsi:type="dcterms:W3CDTF">2014-04-20T19:30:00Z</dcterms:modified>
</cp:coreProperties>
</file>