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9A04ED" w:rsidRPr="008A268B" w:rsidTr="008D49B0">
        <w:tc>
          <w:tcPr>
            <w:tcW w:w="4643" w:type="dxa"/>
          </w:tcPr>
          <w:p w:rsidR="009A04ED" w:rsidRPr="00110EF5" w:rsidRDefault="009A04ED" w:rsidP="00110EF5">
            <w:pPr>
              <w:spacing w:line="240" w:lineRule="auto"/>
              <w:rPr>
                <w:sz w:val="20"/>
                <w:szCs w:val="20"/>
                <w:lang w:val="en-US" w:eastAsia="ru-RU"/>
              </w:rPr>
            </w:pPr>
            <w:bookmarkStart w:id="0" w:name="_GoBack"/>
            <w:bookmarkEnd w:id="0"/>
            <w:r w:rsidRPr="00110EF5">
              <w:rPr>
                <w:sz w:val="20"/>
                <w:szCs w:val="20"/>
                <w:lang w:eastAsia="ru-RU"/>
              </w:rPr>
              <w:t xml:space="preserve">УДК </w:t>
            </w:r>
            <w:r w:rsidRPr="008A268B">
              <w:rPr>
                <w:sz w:val="20"/>
                <w:szCs w:val="20"/>
              </w:rPr>
              <w:t>332.142.4</w:t>
            </w:r>
          </w:p>
        </w:tc>
        <w:tc>
          <w:tcPr>
            <w:tcW w:w="4643" w:type="dxa"/>
          </w:tcPr>
          <w:p w:rsidR="009A04ED" w:rsidRPr="00110EF5" w:rsidRDefault="009A04ED" w:rsidP="00110EF5">
            <w:pPr>
              <w:spacing w:line="240" w:lineRule="auto"/>
              <w:rPr>
                <w:sz w:val="20"/>
                <w:szCs w:val="20"/>
                <w:lang w:val="en-US" w:eastAsia="ru-RU"/>
              </w:rPr>
            </w:pPr>
            <w:r w:rsidRPr="00110EF5">
              <w:rPr>
                <w:sz w:val="20"/>
                <w:szCs w:val="20"/>
                <w:lang w:val="en-US" w:eastAsia="ru-RU"/>
              </w:rPr>
              <w:t xml:space="preserve">UDC </w:t>
            </w:r>
            <w:r w:rsidRPr="008A268B">
              <w:rPr>
                <w:sz w:val="20"/>
                <w:szCs w:val="20"/>
              </w:rPr>
              <w:t>332.142.4</w:t>
            </w:r>
          </w:p>
        </w:tc>
      </w:tr>
      <w:tr w:rsidR="009A04ED" w:rsidRPr="008A268B" w:rsidTr="008D49B0">
        <w:tc>
          <w:tcPr>
            <w:tcW w:w="4643" w:type="dxa"/>
          </w:tcPr>
          <w:p w:rsidR="009A04ED" w:rsidRPr="00110EF5" w:rsidRDefault="009A04ED" w:rsidP="00110EF5">
            <w:pPr>
              <w:spacing w:line="240" w:lineRule="auto"/>
              <w:rPr>
                <w:sz w:val="20"/>
                <w:szCs w:val="20"/>
                <w:lang w:val="en-US" w:eastAsia="ru-RU"/>
              </w:rPr>
            </w:pPr>
          </w:p>
        </w:tc>
        <w:tc>
          <w:tcPr>
            <w:tcW w:w="4643" w:type="dxa"/>
          </w:tcPr>
          <w:p w:rsidR="009A04ED" w:rsidRPr="00110EF5" w:rsidRDefault="009A04ED" w:rsidP="00110EF5">
            <w:pPr>
              <w:spacing w:line="240" w:lineRule="auto"/>
              <w:rPr>
                <w:sz w:val="20"/>
                <w:szCs w:val="20"/>
                <w:lang w:val="en-US" w:eastAsia="ru-RU"/>
              </w:rPr>
            </w:pPr>
          </w:p>
        </w:tc>
      </w:tr>
      <w:tr w:rsidR="009A04ED" w:rsidRPr="006536B1" w:rsidTr="008D49B0">
        <w:tc>
          <w:tcPr>
            <w:tcW w:w="4643" w:type="dxa"/>
          </w:tcPr>
          <w:p w:rsidR="009A04ED" w:rsidRPr="00D403D0" w:rsidRDefault="009A04ED" w:rsidP="00110EF5">
            <w:pPr>
              <w:spacing w:line="240" w:lineRule="auto"/>
              <w:rPr>
                <w:b/>
                <w:caps/>
                <w:sz w:val="20"/>
                <w:szCs w:val="20"/>
                <w:lang w:eastAsia="ru-RU"/>
              </w:rPr>
            </w:pPr>
            <w:r w:rsidRPr="00110EF5">
              <w:rPr>
                <w:b/>
                <w:caps/>
                <w:sz w:val="20"/>
                <w:szCs w:val="20"/>
                <w:lang w:eastAsia="ru-RU"/>
              </w:rPr>
              <w:t>Классификация и фрагментация целей и задач инвестиционной стратегии региона</w:t>
            </w:r>
          </w:p>
        </w:tc>
        <w:tc>
          <w:tcPr>
            <w:tcW w:w="4643" w:type="dxa"/>
          </w:tcPr>
          <w:p w:rsidR="009A04ED" w:rsidRPr="00723356" w:rsidRDefault="009A04ED" w:rsidP="00110EF5">
            <w:pPr>
              <w:spacing w:line="240" w:lineRule="auto"/>
              <w:rPr>
                <w:b/>
                <w:sz w:val="20"/>
                <w:szCs w:val="20"/>
                <w:lang w:val="en-US" w:eastAsia="ru-RU"/>
              </w:rPr>
            </w:pPr>
            <w:r w:rsidRPr="008A268B">
              <w:rPr>
                <w:b/>
                <w:sz w:val="20"/>
                <w:szCs w:val="20"/>
                <w:lang w:val="en-US"/>
              </w:rPr>
              <w:t>CLASSIFICATION AND FRAGMENTATION OF THE GOALS AND OBJECTIVES OF THE INVESTMENT STRATEGY OF THE REGION</w:t>
            </w:r>
          </w:p>
        </w:tc>
      </w:tr>
      <w:tr w:rsidR="009A04ED" w:rsidRPr="006536B1" w:rsidTr="008D49B0">
        <w:tc>
          <w:tcPr>
            <w:tcW w:w="4643" w:type="dxa"/>
          </w:tcPr>
          <w:p w:rsidR="009A04ED" w:rsidRPr="00110EF5" w:rsidRDefault="009A04ED" w:rsidP="00110EF5">
            <w:pPr>
              <w:spacing w:line="240" w:lineRule="auto"/>
              <w:rPr>
                <w:sz w:val="20"/>
                <w:szCs w:val="20"/>
                <w:highlight w:val="yellow"/>
                <w:lang w:val="en-US" w:eastAsia="ru-RU"/>
              </w:rPr>
            </w:pPr>
          </w:p>
        </w:tc>
        <w:tc>
          <w:tcPr>
            <w:tcW w:w="4643" w:type="dxa"/>
          </w:tcPr>
          <w:p w:rsidR="009A04ED" w:rsidRPr="00110EF5" w:rsidRDefault="009A04ED" w:rsidP="00110EF5">
            <w:pPr>
              <w:spacing w:line="240" w:lineRule="auto"/>
              <w:rPr>
                <w:sz w:val="20"/>
                <w:szCs w:val="20"/>
                <w:lang w:val="en-US" w:eastAsia="ru-RU"/>
              </w:rPr>
            </w:pPr>
          </w:p>
        </w:tc>
      </w:tr>
      <w:tr w:rsidR="009A04ED" w:rsidRPr="006536B1" w:rsidTr="008D49B0">
        <w:tc>
          <w:tcPr>
            <w:tcW w:w="4643" w:type="dxa"/>
          </w:tcPr>
          <w:p w:rsidR="009A04ED" w:rsidRPr="00110EF5" w:rsidRDefault="009A04ED" w:rsidP="00110EF5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110EF5">
              <w:rPr>
                <w:sz w:val="20"/>
                <w:szCs w:val="20"/>
                <w:lang w:eastAsia="ru-RU"/>
              </w:rPr>
              <w:t>Погосов Давид Карленович</w:t>
            </w:r>
          </w:p>
          <w:p w:rsidR="009A04ED" w:rsidRPr="00110EF5" w:rsidRDefault="009A04ED" w:rsidP="00110EF5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110EF5">
              <w:rPr>
                <w:sz w:val="20"/>
                <w:szCs w:val="20"/>
                <w:lang w:eastAsia="ru-RU"/>
              </w:rPr>
              <w:t>аспирант</w:t>
            </w:r>
          </w:p>
        </w:tc>
        <w:tc>
          <w:tcPr>
            <w:tcW w:w="4643" w:type="dxa"/>
          </w:tcPr>
          <w:p w:rsidR="009A04ED" w:rsidRPr="00110EF5" w:rsidRDefault="009A04ED" w:rsidP="00110EF5">
            <w:pPr>
              <w:spacing w:line="240" w:lineRule="auto"/>
              <w:rPr>
                <w:sz w:val="20"/>
                <w:szCs w:val="20"/>
                <w:lang w:val="en-US" w:eastAsia="ru-RU"/>
              </w:rPr>
            </w:pPr>
            <w:r w:rsidRPr="0021504F">
              <w:rPr>
                <w:sz w:val="20"/>
                <w:szCs w:val="20"/>
                <w:lang w:val="en-US" w:eastAsia="ru-RU"/>
              </w:rPr>
              <w:t>Po</w:t>
            </w:r>
            <w:r w:rsidRPr="00110EF5">
              <w:rPr>
                <w:sz w:val="20"/>
                <w:szCs w:val="20"/>
                <w:lang w:val="en-US" w:eastAsia="ru-RU"/>
              </w:rPr>
              <w:t>gosov David Karlenovich</w:t>
            </w:r>
          </w:p>
          <w:p w:rsidR="009A04ED" w:rsidRPr="00110EF5" w:rsidRDefault="009A04ED" w:rsidP="00110EF5">
            <w:pPr>
              <w:spacing w:line="240" w:lineRule="auto"/>
              <w:rPr>
                <w:sz w:val="20"/>
                <w:szCs w:val="20"/>
                <w:lang w:val="en-US" w:eastAsia="ru-RU"/>
              </w:rPr>
            </w:pPr>
            <w:r>
              <w:rPr>
                <w:sz w:val="20"/>
                <w:szCs w:val="20"/>
                <w:lang w:val="en-US" w:eastAsia="ru-RU"/>
              </w:rPr>
              <w:t>p</w:t>
            </w:r>
            <w:r w:rsidRPr="00110EF5">
              <w:rPr>
                <w:sz w:val="20"/>
                <w:szCs w:val="20"/>
                <w:lang w:val="en-US" w:eastAsia="ru-RU"/>
              </w:rPr>
              <w:t>ostgraduate student</w:t>
            </w:r>
          </w:p>
        </w:tc>
      </w:tr>
      <w:tr w:rsidR="009A04ED" w:rsidRPr="006536B1" w:rsidTr="008D49B0">
        <w:tc>
          <w:tcPr>
            <w:tcW w:w="4643" w:type="dxa"/>
          </w:tcPr>
          <w:p w:rsidR="009A04ED" w:rsidRPr="008C756B" w:rsidRDefault="009A04ED" w:rsidP="0021504F">
            <w:pPr>
              <w:spacing w:line="240" w:lineRule="auto"/>
              <w:rPr>
                <w:i/>
                <w:sz w:val="20"/>
                <w:szCs w:val="20"/>
                <w:lang w:eastAsia="ru-RU"/>
              </w:rPr>
            </w:pPr>
            <w:r w:rsidRPr="008C756B">
              <w:rPr>
                <w:i/>
                <w:sz w:val="20"/>
                <w:szCs w:val="20"/>
                <w:lang w:eastAsia="ru-RU"/>
              </w:rPr>
              <w:t>Государственный морской университет имени адмирала Ф.Ф. Ушакова, Новороссийск</w:t>
            </w:r>
          </w:p>
          <w:p w:rsidR="009A04ED" w:rsidRPr="00EA40E7" w:rsidRDefault="009A04ED" w:rsidP="0021504F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  <w:p w:rsidR="009A04ED" w:rsidRPr="00EA40E7" w:rsidRDefault="009A04ED" w:rsidP="0021504F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EA40E7">
              <w:rPr>
                <w:sz w:val="20"/>
                <w:szCs w:val="20"/>
                <w:lang w:eastAsia="ru-RU"/>
              </w:rPr>
              <w:t>Арзамасов Сергей Сергеевич</w:t>
            </w:r>
          </w:p>
          <w:p w:rsidR="009A04ED" w:rsidRPr="00EA40E7" w:rsidRDefault="009A04ED" w:rsidP="00AA76D9">
            <w:pPr>
              <w:tabs>
                <w:tab w:val="left" w:pos="1260"/>
              </w:tabs>
              <w:spacing w:line="240" w:lineRule="auto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а</w:t>
            </w:r>
            <w:r w:rsidRPr="00EA40E7">
              <w:rPr>
                <w:sz w:val="20"/>
                <w:szCs w:val="20"/>
                <w:lang w:eastAsia="ru-RU"/>
              </w:rPr>
              <w:t>спирант</w:t>
            </w:r>
            <w:r w:rsidRPr="00EA40E7">
              <w:rPr>
                <w:sz w:val="20"/>
                <w:szCs w:val="20"/>
                <w:lang w:eastAsia="ru-RU"/>
              </w:rPr>
              <w:tab/>
            </w:r>
          </w:p>
          <w:p w:rsidR="009A04ED" w:rsidRPr="008C756B" w:rsidRDefault="009A04ED" w:rsidP="0021504F">
            <w:pPr>
              <w:spacing w:line="240" w:lineRule="auto"/>
              <w:rPr>
                <w:i/>
                <w:sz w:val="20"/>
                <w:szCs w:val="20"/>
                <w:lang w:eastAsia="ru-RU"/>
              </w:rPr>
            </w:pPr>
            <w:r w:rsidRPr="008C756B">
              <w:rPr>
                <w:i/>
                <w:sz w:val="20"/>
                <w:szCs w:val="20"/>
                <w:lang w:eastAsia="ru-RU"/>
              </w:rPr>
              <w:t>Кубанский государственный технологический университет, Краснодар</w:t>
            </w:r>
          </w:p>
        </w:tc>
        <w:tc>
          <w:tcPr>
            <w:tcW w:w="4643" w:type="dxa"/>
          </w:tcPr>
          <w:p w:rsidR="009A04ED" w:rsidRPr="008C756B" w:rsidRDefault="009A04ED" w:rsidP="00110EF5">
            <w:pPr>
              <w:spacing w:line="240" w:lineRule="auto"/>
              <w:rPr>
                <w:i/>
                <w:sz w:val="20"/>
                <w:szCs w:val="20"/>
                <w:lang w:val="en-US" w:eastAsia="ru-RU"/>
              </w:rPr>
            </w:pPr>
            <w:r w:rsidRPr="008C756B">
              <w:rPr>
                <w:i/>
                <w:sz w:val="20"/>
                <w:szCs w:val="20"/>
                <w:lang w:val="en-US" w:eastAsia="ru-RU"/>
              </w:rPr>
              <w:t xml:space="preserve">Admiral Ushakov Maritime </w:t>
            </w:r>
            <w:smartTag w:uri="urn:schemas-microsoft-com:office:smarttags" w:element="PlaceType">
              <w:r w:rsidRPr="008C756B">
                <w:rPr>
                  <w:i/>
                  <w:sz w:val="20"/>
                  <w:szCs w:val="20"/>
                  <w:lang w:val="en-US" w:eastAsia="ru-RU"/>
                </w:rPr>
                <w:t>State</w:t>
              </w:r>
            </w:smartTag>
            <w:r w:rsidRPr="008C756B">
              <w:rPr>
                <w:i/>
                <w:sz w:val="20"/>
                <w:szCs w:val="20"/>
                <w:lang w:val="en-US" w:eastAsia="ru-RU"/>
              </w:rPr>
              <w:t xml:space="preserve"> </w:t>
            </w:r>
            <w:smartTag w:uri="urn:schemas-microsoft-com:office:smarttags" w:element="PlaceType">
              <w:r w:rsidRPr="008C756B">
                <w:rPr>
                  <w:i/>
                  <w:sz w:val="20"/>
                  <w:szCs w:val="20"/>
                  <w:lang w:val="en-US" w:eastAsia="ru-RU"/>
                </w:rPr>
                <w:t>University</w:t>
              </w:r>
            </w:smartTag>
            <w:r w:rsidRPr="008C756B">
              <w:rPr>
                <w:i/>
                <w:sz w:val="20"/>
                <w:szCs w:val="20"/>
                <w:lang w:val="en-US" w:eastAsia="ru-RU"/>
              </w:rPr>
              <w:t xml:space="preserve">, </w:t>
            </w:r>
            <w:smartTag w:uri="urn:schemas-microsoft-com:office:smarttags" w:element="City">
              <w:smartTag w:uri="urn:schemas-microsoft-com:office:smarttags" w:element="place">
                <w:r w:rsidRPr="008C756B">
                  <w:rPr>
                    <w:i/>
                    <w:sz w:val="20"/>
                    <w:szCs w:val="20"/>
                    <w:lang w:val="en-US" w:eastAsia="ru-RU"/>
                  </w:rPr>
                  <w:t>Novorossiysk</w:t>
                </w:r>
              </w:smartTag>
            </w:smartTag>
          </w:p>
          <w:p w:rsidR="009A04ED" w:rsidRPr="003E4664" w:rsidRDefault="009A04ED" w:rsidP="00110EF5">
            <w:pPr>
              <w:spacing w:line="240" w:lineRule="auto"/>
              <w:rPr>
                <w:sz w:val="20"/>
                <w:szCs w:val="20"/>
                <w:lang w:val="en-US" w:eastAsia="ru-RU"/>
              </w:rPr>
            </w:pPr>
          </w:p>
          <w:p w:rsidR="009A04ED" w:rsidRPr="003E4664" w:rsidRDefault="009A04ED" w:rsidP="00110EF5">
            <w:pPr>
              <w:spacing w:line="240" w:lineRule="auto"/>
              <w:rPr>
                <w:sz w:val="20"/>
                <w:szCs w:val="20"/>
                <w:lang w:val="en-US" w:eastAsia="ru-RU"/>
              </w:rPr>
            </w:pPr>
            <w:r w:rsidRPr="003E4664">
              <w:rPr>
                <w:sz w:val="20"/>
                <w:szCs w:val="20"/>
                <w:lang w:val="en-US" w:eastAsia="ru-RU"/>
              </w:rPr>
              <w:t>Arzamasov</w:t>
            </w:r>
            <w:r>
              <w:rPr>
                <w:sz w:val="20"/>
                <w:szCs w:val="20"/>
                <w:lang w:val="en-US" w:eastAsia="ru-RU"/>
              </w:rPr>
              <w:t xml:space="preserve"> </w:t>
            </w:r>
            <w:r w:rsidRPr="003E4664">
              <w:rPr>
                <w:sz w:val="20"/>
                <w:szCs w:val="20"/>
                <w:lang w:val="en-US" w:eastAsia="ru-RU"/>
              </w:rPr>
              <w:t>Sergey</w:t>
            </w:r>
            <w:r>
              <w:rPr>
                <w:sz w:val="20"/>
                <w:szCs w:val="20"/>
                <w:lang w:val="en-US" w:eastAsia="ru-RU"/>
              </w:rPr>
              <w:t xml:space="preserve"> </w:t>
            </w:r>
            <w:r w:rsidRPr="003E4664">
              <w:rPr>
                <w:sz w:val="20"/>
                <w:szCs w:val="20"/>
                <w:lang w:val="en-US" w:eastAsia="ru-RU"/>
              </w:rPr>
              <w:t>Sergeevich</w:t>
            </w:r>
          </w:p>
          <w:p w:rsidR="009A04ED" w:rsidRPr="003E4664" w:rsidRDefault="009A04ED" w:rsidP="00110EF5">
            <w:pPr>
              <w:spacing w:line="240" w:lineRule="auto"/>
              <w:rPr>
                <w:sz w:val="20"/>
                <w:szCs w:val="20"/>
                <w:lang w:val="en-US" w:eastAsia="ru-RU"/>
              </w:rPr>
            </w:pPr>
            <w:r>
              <w:rPr>
                <w:sz w:val="20"/>
                <w:szCs w:val="20"/>
                <w:lang w:val="en-US" w:eastAsia="ru-RU"/>
              </w:rPr>
              <w:t>p</w:t>
            </w:r>
            <w:r w:rsidRPr="003E4664">
              <w:rPr>
                <w:sz w:val="20"/>
                <w:szCs w:val="20"/>
                <w:lang w:val="en-US" w:eastAsia="ru-RU"/>
              </w:rPr>
              <w:t>ostgraduate student</w:t>
            </w:r>
          </w:p>
          <w:p w:rsidR="009A04ED" w:rsidRPr="008C756B" w:rsidRDefault="009A04ED" w:rsidP="00110EF5">
            <w:pPr>
              <w:spacing w:line="240" w:lineRule="auto"/>
              <w:rPr>
                <w:i/>
                <w:sz w:val="20"/>
                <w:szCs w:val="20"/>
                <w:lang w:val="en-US" w:eastAsia="ru-RU"/>
              </w:rPr>
            </w:pPr>
            <w:r w:rsidRPr="008C756B">
              <w:rPr>
                <w:i/>
                <w:sz w:val="20"/>
                <w:szCs w:val="20"/>
                <w:lang w:val="en-US" w:eastAsia="ru-RU"/>
              </w:rPr>
              <w:t>Kuban state technological University, Krasnodar</w:t>
            </w:r>
          </w:p>
        </w:tc>
      </w:tr>
      <w:tr w:rsidR="009A04ED" w:rsidRPr="006536B1" w:rsidTr="008D49B0">
        <w:tc>
          <w:tcPr>
            <w:tcW w:w="4643" w:type="dxa"/>
          </w:tcPr>
          <w:p w:rsidR="009A04ED" w:rsidRPr="00110EF5" w:rsidRDefault="009A04ED" w:rsidP="00110EF5">
            <w:pPr>
              <w:spacing w:line="240" w:lineRule="auto"/>
              <w:rPr>
                <w:sz w:val="20"/>
                <w:szCs w:val="20"/>
                <w:lang w:val="en-US" w:eastAsia="ru-RU"/>
              </w:rPr>
            </w:pPr>
          </w:p>
        </w:tc>
        <w:tc>
          <w:tcPr>
            <w:tcW w:w="4643" w:type="dxa"/>
          </w:tcPr>
          <w:p w:rsidR="009A04ED" w:rsidRPr="00110EF5" w:rsidRDefault="009A04ED" w:rsidP="00110EF5">
            <w:pPr>
              <w:spacing w:line="240" w:lineRule="auto"/>
              <w:rPr>
                <w:sz w:val="20"/>
                <w:szCs w:val="20"/>
                <w:lang w:val="en-US" w:eastAsia="ru-RU"/>
              </w:rPr>
            </w:pPr>
          </w:p>
        </w:tc>
      </w:tr>
      <w:tr w:rsidR="009A04ED" w:rsidRPr="006536B1" w:rsidTr="008D49B0">
        <w:tc>
          <w:tcPr>
            <w:tcW w:w="4643" w:type="dxa"/>
          </w:tcPr>
          <w:p w:rsidR="009A04ED" w:rsidRPr="002E6466" w:rsidRDefault="009A04ED" w:rsidP="00552CA3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813F51">
              <w:rPr>
                <w:sz w:val="20"/>
                <w:szCs w:val="20"/>
                <w:lang w:eastAsia="ru-RU"/>
              </w:rPr>
              <w:t>Статья посвящена вопросам формирования</w:t>
            </w:r>
            <w:r>
              <w:rPr>
                <w:sz w:val="20"/>
                <w:szCs w:val="20"/>
                <w:lang w:eastAsia="ru-RU"/>
              </w:rPr>
              <w:t xml:space="preserve"> </w:t>
            </w:r>
            <w:r w:rsidRPr="00813F51">
              <w:rPr>
                <w:sz w:val="20"/>
                <w:szCs w:val="20"/>
                <w:lang w:eastAsia="ru-RU"/>
              </w:rPr>
              <w:t>инвестиционной стратегии региона. Акцент в статье сделан на необходимость формирования государством благоприятного инвестиционного климата за счет улучшения факторов инвестиционного потенциала региона. Рассмотрены и классифицированы модели позиционирования регионов, определены цели и задачи государства в процессе формирования региональной ин</w:t>
            </w:r>
            <w:r>
              <w:rPr>
                <w:sz w:val="20"/>
                <w:szCs w:val="20"/>
                <w:lang w:eastAsia="ru-RU"/>
              </w:rPr>
              <w:t>вестиционной стратегии развития</w:t>
            </w:r>
          </w:p>
        </w:tc>
        <w:tc>
          <w:tcPr>
            <w:tcW w:w="4643" w:type="dxa"/>
          </w:tcPr>
          <w:p w:rsidR="009A04ED" w:rsidRPr="00455719" w:rsidRDefault="009A04ED" w:rsidP="00110EF5">
            <w:pPr>
              <w:spacing w:line="240" w:lineRule="auto"/>
              <w:rPr>
                <w:sz w:val="20"/>
                <w:szCs w:val="20"/>
                <w:highlight w:val="yellow"/>
                <w:lang w:val="en-US" w:eastAsia="ru-RU"/>
              </w:rPr>
            </w:pPr>
            <w:r w:rsidRPr="00455719">
              <w:rPr>
                <w:sz w:val="20"/>
                <w:szCs w:val="20"/>
                <w:lang w:val="en-US" w:eastAsia="ru-RU"/>
              </w:rPr>
              <w:t xml:space="preserve">The article is devoted to the issues of forming the investment strategy of the region. Great attention is paid to the necessity of forming a state favorable investment climate by improving the factors of the investment potential of the region. </w:t>
            </w:r>
            <w:r>
              <w:rPr>
                <w:sz w:val="20"/>
                <w:szCs w:val="20"/>
                <w:lang w:val="en-US" w:eastAsia="ru-RU"/>
              </w:rPr>
              <w:t xml:space="preserve">We have </w:t>
            </w:r>
            <w:r w:rsidRPr="00455719">
              <w:rPr>
                <w:sz w:val="20"/>
                <w:szCs w:val="20"/>
                <w:lang w:val="en-US" w:eastAsia="ru-RU"/>
              </w:rPr>
              <w:t>considered and classified model positioning of regions, defined the goals of the state in the process of formation of a regional investment str</w:t>
            </w:r>
            <w:r>
              <w:rPr>
                <w:sz w:val="20"/>
                <w:szCs w:val="20"/>
                <w:lang w:val="en-US" w:eastAsia="ru-RU"/>
              </w:rPr>
              <w:t>ategy development</w:t>
            </w:r>
          </w:p>
        </w:tc>
      </w:tr>
      <w:tr w:rsidR="009A04ED" w:rsidRPr="006536B1" w:rsidTr="008D49B0">
        <w:tc>
          <w:tcPr>
            <w:tcW w:w="4643" w:type="dxa"/>
          </w:tcPr>
          <w:p w:rsidR="009A04ED" w:rsidRPr="00E3025E" w:rsidRDefault="009A04ED" w:rsidP="00110EF5">
            <w:pPr>
              <w:spacing w:line="240" w:lineRule="auto"/>
              <w:rPr>
                <w:sz w:val="20"/>
                <w:szCs w:val="20"/>
                <w:highlight w:val="yellow"/>
                <w:lang w:val="en-US" w:eastAsia="ru-RU"/>
              </w:rPr>
            </w:pPr>
          </w:p>
        </w:tc>
        <w:tc>
          <w:tcPr>
            <w:tcW w:w="4643" w:type="dxa"/>
          </w:tcPr>
          <w:p w:rsidR="009A04ED" w:rsidRPr="00E3025E" w:rsidRDefault="009A04ED" w:rsidP="00110EF5">
            <w:pPr>
              <w:spacing w:line="240" w:lineRule="auto"/>
              <w:rPr>
                <w:sz w:val="20"/>
                <w:szCs w:val="20"/>
                <w:highlight w:val="yellow"/>
                <w:lang w:val="en-US" w:eastAsia="ru-RU"/>
              </w:rPr>
            </w:pPr>
          </w:p>
        </w:tc>
      </w:tr>
      <w:tr w:rsidR="009A04ED" w:rsidRPr="006536B1" w:rsidTr="008D49B0">
        <w:tc>
          <w:tcPr>
            <w:tcW w:w="4643" w:type="dxa"/>
          </w:tcPr>
          <w:p w:rsidR="009A04ED" w:rsidRPr="00DB3E82" w:rsidRDefault="009A04ED" w:rsidP="00B36655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DB3E82">
              <w:rPr>
                <w:sz w:val="20"/>
                <w:szCs w:val="20"/>
                <w:lang w:eastAsia="ru-RU"/>
              </w:rPr>
              <w:t xml:space="preserve">Ключевые слова: ИНВЕСТИЦИОННАЯ </w:t>
            </w:r>
            <w:r w:rsidRPr="00DB3E82">
              <w:rPr>
                <w:caps/>
                <w:sz w:val="20"/>
                <w:szCs w:val="20"/>
                <w:lang w:eastAsia="ru-RU"/>
              </w:rPr>
              <w:t>ПОЛИТИКА РЕГИОНА, стратегия инвестиционного развития региональной экономики, ЦЕЛИ инвестиционной политики региона,</w:t>
            </w:r>
            <w:r w:rsidRPr="00DB3E82">
              <w:rPr>
                <w:sz w:val="20"/>
                <w:szCs w:val="20"/>
                <w:lang w:eastAsia="ru-RU"/>
              </w:rPr>
              <w:t xml:space="preserve"> КОНКУРЕНТОСПОСОБНОСТЬ РЕГИОНАЛЬНОЙ ЭКОНОМИКИ, СОЦИАЛЬНО-ЭКОНОМИЧЕСКИ</w:t>
            </w:r>
            <w:r>
              <w:rPr>
                <w:sz w:val="20"/>
                <w:szCs w:val="20"/>
                <w:lang w:eastAsia="ru-RU"/>
              </w:rPr>
              <w:t>Й ЭФФЕКТ РЕГИОНАЛЬНОГО РАЗВИТИЯ</w:t>
            </w:r>
          </w:p>
        </w:tc>
        <w:tc>
          <w:tcPr>
            <w:tcW w:w="4643" w:type="dxa"/>
          </w:tcPr>
          <w:p w:rsidR="009A04ED" w:rsidRPr="00DB3E82" w:rsidRDefault="009A04ED" w:rsidP="00723356">
            <w:pPr>
              <w:spacing w:line="240" w:lineRule="auto"/>
              <w:rPr>
                <w:sz w:val="20"/>
                <w:szCs w:val="20"/>
                <w:lang w:val="en-US" w:eastAsia="ru-RU"/>
              </w:rPr>
            </w:pPr>
            <w:r w:rsidRPr="00DB3E82">
              <w:rPr>
                <w:sz w:val="20"/>
                <w:szCs w:val="20"/>
                <w:lang w:val="en-US" w:eastAsia="ru-RU"/>
              </w:rPr>
              <w:t xml:space="preserve">Keywords: INVESTMENT POLICY </w:t>
            </w:r>
            <w:r>
              <w:rPr>
                <w:sz w:val="20"/>
                <w:szCs w:val="20"/>
                <w:lang w:val="en-US" w:eastAsia="ru-RU"/>
              </w:rPr>
              <w:t>OF</w:t>
            </w:r>
            <w:r w:rsidRPr="00DB3E82">
              <w:rPr>
                <w:sz w:val="20"/>
                <w:szCs w:val="20"/>
                <w:lang w:val="en-US" w:eastAsia="ru-RU"/>
              </w:rPr>
              <w:t xml:space="preserve"> REGION, STRATEGY OF INVESTMENT DEVELOPMENT OF THE REGIONAL ECONOMY, OBJECTIVES </w:t>
            </w:r>
            <w:r>
              <w:rPr>
                <w:sz w:val="20"/>
                <w:szCs w:val="20"/>
                <w:lang w:val="en-US" w:eastAsia="ru-RU"/>
              </w:rPr>
              <w:t>OF</w:t>
            </w:r>
            <w:r w:rsidRPr="00DB3E82">
              <w:rPr>
                <w:sz w:val="20"/>
                <w:szCs w:val="20"/>
                <w:lang w:val="en-US" w:eastAsia="ru-RU"/>
              </w:rPr>
              <w:t xml:space="preserve"> INVESTMENT POLICY OF REGIONAL ECONOMY, SOCIO-ECONOMIC </w:t>
            </w:r>
            <w:r>
              <w:rPr>
                <w:sz w:val="20"/>
                <w:szCs w:val="20"/>
                <w:lang w:val="en-US" w:eastAsia="ru-RU"/>
              </w:rPr>
              <w:t>IMPACT OF REGIONAL DEVELOPMENT</w:t>
            </w:r>
          </w:p>
        </w:tc>
      </w:tr>
    </w:tbl>
    <w:p w:rsidR="009A04ED" w:rsidRPr="00110EF5" w:rsidRDefault="009A04ED" w:rsidP="00F323ED">
      <w:pPr>
        <w:ind w:firstLine="709"/>
        <w:jc w:val="both"/>
        <w:rPr>
          <w:lang w:val="en-US"/>
        </w:rPr>
      </w:pPr>
    </w:p>
    <w:p w:rsidR="009A04ED" w:rsidRDefault="009A04ED" w:rsidP="00F323ED">
      <w:pPr>
        <w:ind w:firstLine="709"/>
        <w:jc w:val="both"/>
      </w:pPr>
      <w:r>
        <w:t>Современное развитие национальной и региональной социально-экономических систем характеризуется снижением темпов экономического роста и нарастанием риска сворачивания социальных программ. Системное замедление экономического роста формируется под воздействием неблагоприятных факторов как внешней, так и внутренней среды. К внешним негативным воздействиям можно отнести замедление динамики мировой торговли, снижением темпов роста китайской экономики, которая во многом программирует мировую сырьевую конъюнктуру, а также продолжающие набирать динамику экономический интеграционный кризис в Европе. Среди основных внутренних причин можно назвать низкий уровень инвестиционной привлекательности региональных экономик России, некачественную институциональную и инфраструктурную среды, высокие затраты промышленного бизнеса, обусловленные неинновационными технологиями и некачественным персоналом.</w:t>
      </w:r>
    </w:p>
    <w:p w:rsidR="009A04ED" w:rsidRDefault="009A04ED" w:rsidP="00F323ED">
      <w:pPr>
        <w:ind w:firstLine="709"/>
        <w:jc w:val="both"/>
      </w:pPr>
      <w:r>
        <w:t>Все эти причины привели к тому, что отечественная экономика к середине 2013 года стала демонстрировать отрицательную динамику инвестиций в основной капитал промышленных и непромышленных предприятий. Снижение уровня инвестиционного климата в российских регионах приводит к тому, что иностранные инвесторы сворачивают свои инвестиционные программы, объясняя свое решение нежеланием сталкиваться с высокими рисками российской экономики. Причем, исследования подтверждают отсутствие политического риска, ставя на первое место неблагоприятное воздействие на экономику институциональных и инфраструктурных факторов.</w:t>
      </w:r>
    </w:p>
    <w:p w:rsidR="009A04ED" w:rsidRDefault="009A04ED" w:rsidP="00F323ED">
      <w:pPr>
        <w:ind w:firstLine="709"/>
        <w:jc w:val="both"/>
      </w:pPr>
      <w:r>
        <w:t>В связи с этим совершенно очевидным является тот факт, что экономика как на микро -, так и на мезоуровнях нуждается в действенных и эффективных инструментах государственного регулирования инвестиционного развития региональных социально-экономических систем.</w:t>
      </w:r>
    </w:p>
    <w:p w:rsidR="009A04ED" w:rsidRDefault="009A04ED" w:rsidP="00F323ED">
      <w:pPr>
        <w:ind w:firstLine="709"/>
        <w:jc w:val="both"/>
      </w:pPr>
      <w:r>
        <w:t>Стратегия инвестиционного развития региональной экономики должна быть включена в общую социально-экономическую стратегию развития региона и должна давать ответ на вопрос, за счет каких мер и методов государственного регулирования государственная власть рассчитывает привлечь в регион высокопроизводительные инвестиционные ресурсы.</w:t>
      </w:r>
    </w:p>
    <w:p w:rsidR="009A04ED" w:rsidRDefault="009A04ED" w:rsidP="00F323ED">
      <w:pPr>
        <w:ind w:firstLine="709"/>
        <w:jc w:val="both"/>
      </w:pPr>
      <w:r>
        <w:t>При формировании стратегии инвестиционного развития региона в качестве базовой концепции должна быть выбрана одна из теорий равновесия, которая гармонизирует региональный спрос на инвестиции и предложение инвестиционных ресурсов со стороны мирового рынка инвестиционного капитала.</w:t>
      </w:r>
    </w:p>
    <w:p w:rsidR="009A04ED" w:rsidRDefault="009A04ED" w:rsidP="00F323ED">
      <w:pPr>
        <w:ind w:firstLine="709"/>
        <w:jc w:val="both"/>
      </w:pPr>
      <w:r>
        <w:t>Формирование инвестиционной стратегии региона должно быть включено в программно-целевой подход по стратегическому планированию социально-экономического развития региона. Дерево целей и задач, на достижение и решение которых направлена реализация инвестиционной стратегии, приведено на рисунке 1.</w:t>
      </w:r>
    </w:p>
    <w:p w:rsidR="009A04ED" w:rsidRDefault="009A04ED" w:rsidP="00F323ED">
      <w:pPr>
        <w:ind w:firstLine="709"/>
        <w:jc w:val="both"/>
      </w:pPr>
    </w:p>
    <w:p w:rsidR="009A04ED" w:rsidRDefault="009A04ED" w:rsidP="00F323ED">
      <w:pPr>
        <w:jc w:val="both"/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5" o:spid="_x0000_i1025" type="#_x0000_t75" style="width:463.5pt;height:414pt;visibility:visible">
            <v:imagedata r:id="rId7" o:title=""/>
          </v:shape>
        </w:pict>
      </w:r>
    </w:p>
    <w:p w:rsidR="009A04ED" w:rsidRDefault="009A04ED" w:rsidP="00F33CA9">
      <w:pPr>
        <w:ind w:firstLine="709"/>
        <w:jc w:val="center"/>
      </w:pPr>
      <w:r>
        <w:t>Рисунок 1 – Цели и задачи региона в контуре формирования региональной инвестиционной стратегии развития (разработано автором)</w:t>
      </w:r>
    </w:p>
    <w:p w:rsidR="009A04ED" w:rsidRDefault="009A04ED" w:rsidP="00F323ED">
      <w:pPr>
        <w:ind w:firstLine="709"/>
        <w:jc w:val="both"/>
      </w:pPr>
    </w:p>
    <w:p w:rsidR="009A04ED" w:rsidRDefault="009A04ED" w:rsidP="00F33CA9">
      <w:pPr>
        <w:ind w:firstLine="709"/>
        <w:jc w:val="both"/>
      </w:pPr>
      <w:r>
        <w:t xml:space="preserve">На данном рисунке схематично показано дерево целей формирования и реализации инвестиционной стратегии. В отличии от других автором мы считаем, что генеральной целью формирования и реализации инвестиционной стратегии региона является повышение конкурентоспособности региона, которая формируется за счет повышения эффективности использования инвестиций, прироста притока инвестиционного капитала в регион и повышение качества жизни граждан региона как необходимое условие формирования положительного миграционного сальдо наиболее востребованных и конкурентоспособных трудовых ресурсов на территорию региона. </w:t>
      </w:r>
    </w:p>
    <w:p w:rsidR="009A04ED" w:rsidRDefault="009A04ED" w:rsidP="00F323ED">
      <w:pPr>
        <w:ind w:firstLine="709"/>
        <w:jc w:val="both"/>
      </w:pPr>
      <w:r>
        <w:t>Если рассматривать качество жизни региональных резидентов с позиции средств и методов ее повышения, то необходимо иметь в виду то, что инвестиционная стратегия будет направлена на рост комфортности жизни как внешней (но не внутренней) категории. Другими словами</w:t>
      </w:r>
      <w:r w:rsidRPr="00D403D0">
        <w:t xml:space="preserve">, </w:t>
      </w:r>
      <w:r>
        <w:t>реализация качественной инвестиционной стратегии позволит повысить покупательскую способность как категорию некой потребительской свободы индивида, улучшит качество социальных институтов (здравоохранение, образование, социальная защита, безопасность и т.п.), улучшит инфраструктурное окружение (транспорт, информатизация, комфорт, социальная инфраструктура и т.п.), а также улучшит экологию региона как среды обитания.</w:t>
      </w:r>
    </w:p>
    <w:p w:rsidR="009A04ED" w:rsidRDefault="009A04ED" w:rsidP="00F323ED">
      <w:pPr>
        <w:ind w:firstLine="709"/>
        <w:jc w:val="both"/>
      </w:pPr>
      <w:r>
        <w:t>Если рассматривать группу целей, связанную с повышением эффективности использования инвестиций, то в рамках этой цели необходимо решить следующие задачи: повысить долю инновационных проектов в общей величине инвестиционных программ, поскольку инновационные проекты нацелены, прежде всего, на интенсивный рост ценности товаров и услуг, а также существенный рост региональной производительности труда, оцениваемый как отношение регионального валового продукта к численности занятых в экономике региона. Реализация инновационных проектов позволит сформировать драйверы экономического роста региона и выделить региональную инновационную специализацию, что, несомненно, будет содействовать росту конкурентоспособности региональной экономики в рамках реализации этой цели необходимо планировать формирование и развитие инновационной инфраструктуры и институционального обеспечения развития инновационной деятельности – технопарки, инновационные центры, программы государственной поддержки и стимулирования инновационных проектов и т.п.</w:t>
      </w:r>
    </w:p>
    <w:p w:rsidR="009A04ED" w:rsidRDefault="009A04ED" w:rsidP="00F323ED">
      <w:pPr>
        <w:ind w:firstLine="709"/>
        <w:jc w:val="both"/>
      </w:pPr>
      <w:r>
        <w:t>Особое место занимает группа задач, связанных с организацией и повышением эффективности инвестиционного маркетинга – комплекса мер, направленных на выявление благоприятных (с позиции эффективности инвестиционной деятельности) потребительских сегментов и секторов. Безусловно, инвестиционный маркетинг – это зона ответственности региональных акторов – предприятий, анализирующих потенциал реализации инвестиционных проектов в регионе, однако, на наш взгляд, следует обратить внимание на объективную диффузию инвестиционного маркетинга в сферу задач органов государственной власти. Дело в том, что обеспечение прироста инвестиционного капитала в регион не может обходиться без содействия органов государственной власти, перед которыми в том числе стоят задачи продвижения инвестиционных проектов и инвестиционных площадок региона, что невозможно эффективно осуществить без качественного инвестиционного маркетинга.</w:t>
      </w:r>
    </w:p>
    <w:p w:rsidR="009A04ED" w:rsidRDefault="009A04ED" w:rsidP="00F323ED">
      <w:pPr>
        <w:ind w:firstLine="709"/>
        <w:jc w:val="both"/>
      </w:pPr>
      <w:r>
        <w:t>Повышение качества инвестиционной деятельности в регионе невозможно без формирования и развития инструментов государственно-частного партнерства, которые являются интеграторами интересов и действия государственного и корпоративного секторов экономики, следовательно, направление повышения качества используемых инструментов ГЧП – это вектор прироста эффективности инвестиционной деятельности в регионе.</w:t>
      </w:r>
    </w:p>
    <w:p w:rsidR="009A04ED" w:rsidRDefault="009A04ED" w:rsidP="00F323ED">
      <w:pPr>
        <w:ind w:firstLine="709"/>
        <w:jc w:val="both"/>
      </w:pPr>
      <w:r>
        <w:t>Федеральные и региональные целевые программы в сфере инвестиционного развития региона направлены, прежде всего, на развитие инфраструктурного сектора – сектора, который инвестиционно непривлекателен для частного бизнеса (особенно среднего и малого) без участи государства. Развитие инфраструктурного сектора в регионе повышает инвестиционную привлекательность территории этого региона за счет создания, так называемого регионального инфраструктурного потенциала развития региональной экономики.</w:t>
      </w:r>
    </w:p>
    <w:p w:rsidR="009A04ED" w:rsidRDefault="009A04ED" w:rsidP="00F323ED">
      <w:pPr>
        <w:ind w:firstLine="709"/>
        <w:jc w:val="both"/>
      </w:pPr>
      <w:r>
        <w:t>И, наконец, повышение эффективности инвестиционной деятельности региональных акторов – задача, безусловно, внутреннего характера корпоративного сектора региона, однако, роль государства в этом процессе заключается в ликвидации административных барьеров разрешительной деятельности, пропаганде региональной продукции на региональном рынке, а иногда и локальном протекционизме.</w:t>
      </w:r>
    </w:p>
    <w:p w:rsidR="009A04ED" w:rsidRDefault="009A04ED" w:rsidP="00F323ED">
      <w:pPr>
        <w:ind w:firstLine="709"/>
        <w:jc w:val="both"/>
      </w:pPr>
      <w:r>
        <w:t>Комплекс целей и задач в сфере стимулирования притока инвестиционного капитала в регион, то здесь перед государственной властью стоит задача формирования благоприятного инвестиционного климата за счет улучшения факторов инвестиционного потенциала региона.</w:t>
      </w:r>
    </w:p>
    <w:p w:rsidR="009A04ED" w:rsidRDefault="009A04ED" w:rsidP="00F323ED">
      <w:pPr>
        <w:ind w:firstLine="709"/>
        <w:jc w:val="both"/>
      </w:pPr>
      <w:r>
        <w:t>Анализ основных итогов экономического развития Краснодарского края показал, что инвестиционный потенциал региона не может быть полностью раскрыт «накачиванием» инвестициями региональной экономики. Безусловно, прирост количества инвестиций на душу населения в регионе факт положительный, создающий предпосылки для экономического развития и социального совершенствования. Вместе с тем, не всегда объем инвестиций коррелируется с темпами и качеством экономического роста. Как правило, экстенсивная модель экономического регионального развития, основанная на простом приросте инвестиций в регион без улучшения их структуры, программирует рост валового регионального продукта и снижение безработицы, но не может оказать положительного воздействия на качество жизни регионального населения. Это очевидно, поскольку не увеличивается региональная производительность труда, а, следовательно, и не может быть увеличен платежеспособный спрос.</w:t>
      </w:r>
    </w:p>
    <w:p w:rsidR="009A04ED" w:rsidRDefault="009A04ED" w:rsidP="00F323ED">
      <w:pPr>
        <w:ind w:firstLine="709"/>
        <w:jc w:val="both"/>
      </w:pPr>
      <w:r>
        <w:t>Таким образом, для наиболее эффективного инвестиционного развития региона необходимо сформировать и реализовать такую инвестиционную стратегию, которая бы не только положительно влияла на абсолютные индикаторы регионального развития, но и обеспечивала структурные инновационные изменения региональной экономики.</w:t>
      </w:r>
    </w:p>
    <w:p w:rsidR="009A04ED" w:rsidRDefault="009A04ED" w:rsidP="00F323ED">
      <w:pPr>
        <w:ind w:firstLine="709"/>
        <w:jc w:val="both"/>
      </w:pPr>
      <w:r>
        <w:t>Стратегия инвестиционного развития должна предлагать специфический набор программно-целевых мероприятий, востребованный региональной экономикой и мировым рынком капитала в зависимости от типа развития региональных социально-экономических систем. Очевидно, что все региональные социально-экономические системы, объединенные в национальное геоэкономическое пространство</w:t>
      </w:r>
      <w:r w:rsidRPr="00D403D0">
        <w:t>,</w:t>
      </w:r>
      <w:r>
        <w:t xml:space="preserve"> имеют различные потенциалы роста и капитализацию региональных отраслей. В связи с этим использование в практике государственного регулирования инвестиционного развития одинаковых мер и инструментов будет давать различный эффект. Следовательно, при формировании стратегии регионального инвестиционного развития региона необходимо учитывать эти особенности и использовать методы привлечения инвестиций, демонстрирующие максимальную эффективность. Другими словами речь идет о структурировании спроса со стороны региональных социально-экономических систем по критериям их развития.</w:t>
      </w:r>
    </w:p>
    <w:p w:rsidR="009A04ED" w:rsidRDefault="009A04ED" w:rsidP="00F323ED">
      <w:pPr>
        <w:ind w:firstLine="709"/>
        <w:jc w:val="both"/>
      </w:pPr>
      <w:r>
        <w:t>Для типологизации региональных социально-экономических систем следует применять модель позиционирования регионов, которая дает представление о характере экономического развития региона и его конкурентных преимуществах.</w:t>
      </w:r>
    </w:p>
    <w:p w:rsidR="009A04ED" w:rsidRDefault="009A04ED" w:rsidP="00F323ED">
      <w:pPr>
        <w:ind w:firstLine="709"/>
        <w:jc w:val="both"/>
      </w:pPr>
      <w:r>
        <w:t>Для регионов, которые не демонстрируют экономического роста необходимо привлекать инвестиции в сектора с трудоемкими и зарплатоемкими производствами. Дело в том, что, как правило, стагнация региональной экономики приводит к безработице и снижению стоимости трудовых ресурсов. Следовательно, региональная власть на мировом рынке капитала должна демонстрировать именно эти характеристики региона в качестве конкурентных позиций. Параллельно должна быть сформированы предложения инвестиционных площадок в регионе, а также улучшены институциональные и инфраструктурные составляющие.</w:t>
      </w:r>
    </w:p>
    <w:p w:rsidR="009A04ED" w:rsidRDefault="009A04ED" w:rsidP="00F323ED">
      <w:pPr>
        <w:ind w:firstLine="709"/>
        <w:jc w:val="both"/>
      </w:pPr>
      <w:r>
        <w:t>Для регионов с экстенсивным типом развития ориентиром в структурировании инвестиционного спроса является повышение доли инновационных инвестиционных проектов. Это может быть достигнуто за счет формирования особых экономических зон и преференциальной политики для инвесторов в инновационные секторы региональной экономики. Очевидно, что данное направление государственного регулирования должно быть совмещено с мерами эффективной специализации региональной экономики и формированием зон ускоренного экономического роста.</w:t>
      </w:r>
    </w:p>
    <w:p w:rsidR="009A04ED" w:rsidRDefault="009A04ED" w:rsidP="00F323ED">
      <w:pPr>
        <w:ind w:firstLine="709"/>
        <w:jc w:val="both"/>
      </w:pPr>
      <w:r>
        <w:t>И, наконец, для регионов с интенсивным развитием необходимо предусматривать меры трансформации экономического роста в инвестиционную активность самого региона и становления его в качестве игрока, формирующего предложения на мировом рынке капитала. Эти меры предусматривают, прежде всего, развитие сектора производства инновационных продуктов и финансового сектора.</w:t>
      </w:r>
    </w:p>
    <w:p w:rsidR="009A04ED" w:rsidRDefault="009A04ED" w:rsidP="00AA76D9">
      <w:pPr>
        <w:ind w:firstLine="709"/>
        <w:jc w:val="both"/>
        <w:rPr>
          <w:szCs w:val="28"/>
        </w:rPr>
      </w:pPr>
      <w:r>
        <w:rPr>
          <w:szCs w:val="28"/>
        </w:rPr>
        <w:t>Выделим основные гипотезы методического подхода, верификация которых позволит получить существенные научно-практические результаты:</w:t>
      </w:r>
    </w:p>
    <w:p w:rsidR="009A04ED" w:rsidRPr="00413CA3" w:rsidRDefault="009A04ED" w:rsidP="00AA76D9">
      <w:pPr>
        <w:pStyle w:val="ListParagraph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413CA3">
        <w:rPr>
          <w:rFonts w:ascii="Times New Roman" w:hAnsi="Times New Roman"/>
          <w:sz w:val="28"/>
          <w:szCs w:val="28"/>
        </w:rPr>
        <w:t>осударственное регулирование элементов региональной социально-экономической системы должно осуществляться в конкретных направлениях (областях), определенными методами и инструментарием, следовательно, речь идет об ограниченном и органичном государственном регулировании экономических процессов. Таким образом, государственная регулятивная политика будет строит</w:t>
      </w:r>
      <w:r>
        <w:rPr>
          <w:rFonts w:ascii="Times New Roman" w:hAnsi="Times New Roman"/>
          <w:sz w:val="28"/>
          <w:szCs w:val="28"/>
        </w:rPr>
        <w:t>ь</w:t>
      </w:r>
      <w:r w:rsidRPr="00413CA3">
        <w:rPr>
          <w:rFonts w:ascii="Times New Roman" w:hAnsi="Times New Roman"/>
          <w:sz w:val="28"/>
          <w:szCs w:val="28"/>
        </w:rPr>
        <w:t>ся с учетом как «невидимой руки рынка», так и с позиции необходимости государственного вмешательства в региональную экономику и, прежде всего, в инфраструктурный и институциональный секторы.</w:t>
      </w:r>
    </w:p>
    <w:p w:rsidR="009A04ED" w:rsidRDefault="009A04ED" w:rsidP="00AA76D9">
      <w:pPr>
        <w:pStyle w:val="ListParagraph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Основным объектом государственного регулирования инвестиций на региональном уровне должен стать инфраструктурный сектор, поскольку с одной стороны именно качество институциональной среды формирует инвестиционную привлекательность региональной экономики на рынке инвестиций, с другой стороны, частный бизнес не будет финансировать инвестиционные проекты в сфере улучшения инфраструктуры, поскольку такие проекты являются инвестиционно емкими и обладают значительными сроками окупаемости вложенных средств. Следовательно, в задачу государства входит не только и не столько прямое инвестирование инфраструктурных проектов, сколько формирование условий соинвестирования государства и корпоративного сектора – инструментов и форм государственно-частного партнерства и преференциальной политики, направленной на приращение эффективности инвестиций. </w:t>
      </w:r>
    </w:p>
    <w:p w:rsidR="009A04ED" w:rsidRDefault="009A04ED" w:rsidP="00AA76D9">
      <w:pPr>
        <w:pStyle w:val="ListParagraph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Инвестиционная стратегия регионального развития является частью социально-экономической стратегии региона и направлена на приращение конкурентных позиций региона в сфере инвестиционной привлекательности и инновационной активности региональной экономики;</w:t>
      </w:r>
    </w:p>
    <w:p w:rsidR="009A04ED" w:rsidRDefault="009A04ED" w:rsidP="00AA76D9">
      <w:pPr>
        <w:pStyle w:val="ListParagraph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Инвестиционная стратегия регионального развития должна строится с одной стороны с учетом типа регионального развития (депрессивный, инерционный, инновационный) и региональной специализацией в рамках национального и субфедерального геоэкономического национального пространства.</w:t>
      </w:r>
    </w:p>
    <w:p w:rsidR="009A04ED" w:rsidRDefault="009A04ED" w:rsidP="00AA76D9">
      <w:pPr>
        <w:pStyle w:val="ListParagraph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65B25">
        <w:rPr>
          <w:rFonts w:ascii="Times New Roman" w:hAnsi="Times New Roman"/>
          <w:sz w:val="28"/>
          <w:szCs w:val="28"/>
        </w:rPr>
        <w:t>Существуют различные типы бизнеса, типологизация которых дает нам возможность проследить четкую связь между типом производства и комплексом характеристик региональной социально-экономической системы, гармонично подстраивающих территорию региона в качестве площадки для р</w:t>
      </w:r>
      <w:r>
        <w:rPr>
          <w:rFonts w:ascii="Times New Roman" w:hAnsi="Times New Roman"/>
          <w:sz w:val="28"/>
          <w:szCs w:val="28"/>
        </w:rPr>
        <w:t>азмещения производительных сил.</w:t>
      </w:r>
    </w:p>
    <w:p w:rsidR="009A04ED" w:rsidRDefault="009A04ED" w:rsidP="00F323ED">
      <w:pPr>
        <w:ind w:firstLine="709"/>
        <w:jc w:val="both"/>
      </w:pPr>
      <w:r>
        <w:t>Таким образом, дифференцируя модели и методы государственного регулирования в зависимости от типа и характера регионального развития, уровня наличия и использования потенциала социально-экономического развития можно достичь структурированного позиционированного спроса на инновационные продукты, предлагая к обмену нефинансовые факторы производства в качестве предложения.</w:t>
      </w:r>
    </w:p>
    <w:p w:rsidR="009A04ED" w:rsidRDefault="009A04ED" w:rsidP="00F323ED">
      <w:pPr>
        <w:ind w:firstLine="709"/>
        <w:jc w:val="both"/>
      </w:pPr>
      <w:r>
        <w:t xml:space="preserve"> Такая позиция даст возможность структурировать региональную экономику, расставляя в ее развитии акценты на ускоренном росте инновационных и высокопроизводительных секторов.</w:t>
      </w:r>
    </w:p>
    <w:p w:rsidR="009A04ED" w:rsidRDefault="009A04ED" w:rsidP="00F323ED">
      <w:pPr>
        <w:ind w:firstLine="709"/>
        <w:jc w:val="both"/>
      </w:pPr>
    </w:p>
    <w:p w:rsidR="009A04ED" w:rsidRPr="00D403D0" w:rsidRDefault="009A04ED" w:rsidP="009F1D1E">
      <w:pPr>
        <w:spacing w:line="240" w:lineRule="auto"/>
        <w:ind w:firstLine="851"/>
        <w:jc w:val="both"/>
        <w:rPr>
          <w:b/>
          <w:sz w:val="24"/>
          <w:lang w:eastAsia="ru-RU"/>
        </w:rPr>
      </w:pPr>
      <w:r w:rsidRPr="00D403D0">
        <w:rPr>
          <w:b/>
          <w:sz w:val="24"/>
          <w:lang w:eastAsia="ru-RU"/>
        </w:rPr>
        <w:t>Список использованной литературы</w:t>
      </w:r>
    </w:p>
    <w:p w:rsidR="009A04ED" w:rsidRPr="009F1D1E" w:rsidRDefault="009A04ED" w:rsidP="009F1D1E">
      <w:pPr>
        <w:pStyle w:val="ListParagraph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</w:rPr>
      </w:pPr>
      <w:r w:rsidRPr="009F1D1E">
        <w:rPr>
          <w:rFonts w:ascii="Times New Roman" w:hAnsi="Times New Roman"/>
        </w:rPr>
        <w:t>Семидоцкий В.А., Ешугова Р.Н., Шамара Ю.А.. Обоснование мер государственной регулятивной политики в сфере инновационно-модернизационного развития Южного федерального округа. //Экономические науки. 2012. № 89. С. 20-24.</w:t>
      </w:r>
    </w:p>
    <w:p w:rsidR="009A04ED" w:rsidRPr="009F1D1E" w:rsidRDefault="009A04ED" w:rsidP="009F1D1E">
      <w:pPr>
        <w:pStyle w:val="ListParagraph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</w:rPr>
      </w:pPr>
      <w:r w:rsidRPr="00BA3447">
        <w:rPr>
          <w:rFonts w:ascii="Times New Roman" w:hAnsi="Times New Roman"/>
        </w:rPr>
        <w:t>Полиди А.А. Повышение инвестиционной привлекательности региона как важнейшая государственная задача: проблемы и направления (на примере Краснодарского края) /  А.А. Полиди, И.И. Романец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2012. – №03(077). С. 992 – 1005. – Шифр Информрегистра: 0421200012\0263, IDA [article ID]: 0771203084. – Режим доступа: http://ej.kubagro.ru/2012/03/pdf/84.pdf, 0,875 у.п.л.</w:t>
      </w:r>
    </w:p>
    <w:p w:rsidR="009A04ED" w:rsidRDefault="009A04ED" w:rsidP="009F1D1E">
      <w:pPr>
        <w:pStyle w:val="ListParagraph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</w:rPr>
      </w:pPr>
      <w:r w:rsidRPr="009F1D1E">
        <w:rPr>
          <w:rFonts w:ascii="Times New Roman" w:hAnsi="Times New Roman"/>
        </w:rPr>
        <w:t>Полиди А.А., Степанов А.В. Формирование инновационной политики государства: региональный факторный подход. Новые технологии. 2011. № 3. С. 145-149.</w:t>
      </w:r>
    </w:p>
    <w:p w:rsidR="009A04ED" w:rsidRPr="003D3EF0" w:rsidRDefault="009A04ED" w:rsidP="00AA76D9">
      <w:pPr>
        <w:pStyle w:val="ListParagraph"/>
        <w:numPr>
          <w:ilvl w:val="0"/>
          <w:numId w:val="1"/>
        </w:numPr>
        <w:ind w:left="0" w:firstLine="709"/>
        <w:jc w:val="both"/>
        <w:rPr>
          <w:rFonts w:ascii="Times New Roman" w:hAnsi="Times New Roman"/>
        </w:rPr>
      </w:pPr>
      <w:r w:rsidRPr="003D3EF0">
        <w:rPr>
          <w:rFonts w:ascii="Times New Roman" w:hAnsi="Times New Roman"/>
        </w:rPr>
        <w:t>Семидоцкий В.А., Панасенко Д.В., Цветненко Е.Н. Формирование и применение инструментов государственно-частного партнерства в ходе развития курортных территорий Краснодарского края. Экономические науки. 2010. № 68. С. 122-125.</w:t>
      </w:r>
    </w:p>
    <w:p w:rsidR="009A04ED" w:rsidRDefault="009A04ED" w:rsidP="00AA76D9">
      <w:pPr>
        <w:ind w:firstLine="709"/>
        <w:jc w:val="both"/>
        <w:rPr>
          <w:szCs w:val="28"/>
        </w:rPr>
      </w:pPr>
    </w:p>
    <w:p w:rsidR="009A04ED" w:rsidRPr="00D403D0" w:rsidRDefault="009A04ED" w:rsidP="00134924">
      <w:pPr>
        <w:ind w:firstLine="851"/>
        <w:jc w:val="both"/>
        <w:rPr>
          <w:b/>
          <w:sz w:val="24"/>
          <w:lang w:val="en-US"/>
        </w:rPr>
      </w:pPr>
      <w:r w:rsidRPr="00D403D0">
        <w:rPr>
          <w:b/>
          <w:sz w:val="24"/>
          <w:lang w:val="en-US"/>
        </w:rPr>
        <w:t>References</w:t>
      </w:r>
    </w:p>
    <w:p w:rsidR="009A04ED" w:rsidRPr="00D403D0" w:rsidRDefault="009A04ED" w:rsidP="00D403D0">
      <w:pPr>
        <w:spacing w:line="240" w:lineRule="auto"/>
        <w:jc w:val="both"/>
        <w:rPr>
          <w:sz w:val="24"/>
          <w:lang w:val="en-US" w:eastAsia="ru-RU"/>
        </w:rPr>
      </w:pPr>
      <w:r w:rsidRPr="00D403D0">
        <w:rPr>
          <w:sz w:val="24"/>
          <w:lang w:val="en-US" w:eastAsia="ru-RU"/>
        </w:rPr>
        <w:t>1.</w:t>
      </w:r>
      <w:r w:rsidRPr="00D403D0">
        <w:rPr>
          <w:sz w:val="24"/>
          <w:lang w:val="en-US" w:eastAsia="ru-RU"/>
        </w:rPr>
        <w:tab/>
        <w:t>Semidockij V.A., Eshugova R.N., Shamara Ju.A.. Obosnovanie mer gosudarstvennoj reguljativnoj politiki v sfere innovacionno-modernizacionnogo razvitija Juzhnogo federal'nogo okruga. //Jekonomicheskie nauki. 2012. № 89. S. 20-24.</w:t>
      </w:r>
    </w:p>
    <w:p w:rsidR="009A04ED" w:rsidRPr="00D403D0" w:rsidRDefault="009A04ED" w:rsidP="00D403D0">
      <w:pPr>
        <w:spacing w:line="240" w:lineRule="auto"/>
        <w:jc w:val="both"/>
        <w:rPr>
          <w:sz w:val="24"/>
          <w:lang w:val="en-US" w:eastAsia="ru-RU"/>
        </w:rPr>
      </w:pPr>
      <w:r w:rsidRPr="00D403D0">
        <w:rPr>
          <w:sz w:val="24"/>
          <w:lang w:val="en-US" w:eastAsia="ru-RU"/>
        </w:rPr>
        <w:t>2.</w:t>
      </w:r>
      <w:r w:rsidRPr="00D403D0">
        <w:rPr>
          <w:sz w:val="24"/>
          <w:lang w:val="en-US" w:eastAsia="ru-RU"/>
        </w:rPr>
        <w:tab/>
        <w:t>Polidi A.A. Povyshenie investicionnoj privlekatel'nosti regiona kak vazhnejshaja gosudarstvennaja zadacha: problemy i napravlenija (na primere Krasnodarskogo kraja) /  A.A. Polidi, I.I. Romanec // Politematicheskij setevoj jelektronnyj nauchnyj zhurnal Kubanskogo gosudarstvennogo agrarnogo universiteta (Nauchnyj zhurnal KubGAU) [Jelektronnyj resurs]. – Krasnodar: KubGAU, 2012. – №03(077). S. 992 – 1005. – Shifr Informregistra: 0421200012\0263, IDA [article ID]: 0771203084. – Rezhim dostupa: http://ej.kubagro.ru/2012/03/pdf/84.pdf, 0,875 u.p.l.</w:t>
      </w:r>
    </w:p>
    <w:p w:rsidR="009A04ED" w:rsidRPr="00D403D0" w:rsidRDefault="009A04ED" w:rsidP="00D403D0">
      <w:pPr>
        <w:spacing w:line="240" w:lineRule="auto"/>
        <w:jc w:val="both"/>
        <w:rPr>
          <w:sz w:val="24"/>
          <w:lang w:val="en-US" w:eastAsia="ru-RU"/>
        </w:rPr>
      </w:pPr>
      <w:r w:rsidRPr="00D403D0">
        <w:rPr>
          <w:sz w:val="24"/>
          <w:lang w:val="en-US" w:eastAsia="ru-RU"/>
        </w:rPr>
        <w:t>3.</w:t>
      </w:r>
      <w:r w:rsidRPr="00D403D0">
        <w:rPr>
          <w:sz w:val="24"/>
          <w:lang w:val="en-US" w:eastAsia="ru-RU"/>
        </w:rPr>
        <w:tab/>
        <w:t>Polidi A.A., Stepanov A.V. Formirovanie innovacionnoj politiki gosudarstva: regional'nyj faktornyj podhod. Novye tehnologii. 2011. № 3. S. 145-149.</w:t>
      </w:r>
    </w:p>
    <w:p w:rsidR="009A04ED" w:rsidRPr="00D403D0" w:rsidRDefault="009A04ED" w:rsidP="00D403D0">
      <w:pPr>
        <w:spacing w:line="240" w:lineRule="auto"/>
        <w:jc w:val="both"/>
        <w:rPr>
          <w:sz w:val="24"/>
          <w:lang w:val="en-US" w:eastAsia="ru-RU"/>
        </w:rPr>
      </w:pPr>
      <w:r w:rsidRPr="00D403D0">
        <w:rPr>
          <w:sz w:val="24"/>
          <w:lang w:val="en-US" w:eastAsia="ru-RU"/>
        </w:rPr>
        <w:t>4.</w:t>
      </w:r>
      <w:r w:rsidRPr="00D403D0">
        <w:rPr>
          <w:sz w:val="24"/>
          <w:lang w:val="en-US" w:eastAsia="ru-RU"/>
        </w:rPr>
        <w:tab/>
        <w:t>Semidockij V.A., Panasenko D.V., Cvetnenko E.N. Formirovanie i primenenie instrumentov gosudarstvenno-chastnogo partnerstva v hode razvitija kurortnyh territorij Krasnodarskogo kraja. Jekonomicheskie nauki. 2010. № 68. S. 122-125.</w:t>
      </w:r>
    </w:p>
    <w:p w:rsidR="009A04ED" w:rsidRDefault="009A04ED" w:rsidP="00D403D0">
      <w:pPr>
        <w:spacing w:line="240" w:lineRule="auto"/>
        <w:jc w:val="both"/>
        <w:rPr>
          <w:sz w:val="24"/>
          <w:lang w:val="en-US" w:eastAsia="ru-RU"/>
        </w:rPr>
      </w:pPr>
    </w:p>
    <w:sectPr w:rsidR="009A04ED" w:rsidSect="006536B1">
      <w:headerReference w:type="even" r:id="rId8"/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04ED" w:rsidRDefault="009A04ED">
      <w:r>
        <w:separator/>
      </w:r>
    </w:p>
  </w:endnote>
  <w:endnote w:type="continuationSeparator" w:id="0">
    <w:p w:rsidR="009A04ED" w:rsidRDefault="009A04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4ED" w:rsidRDefault="009A04ED">
    <w:pPr>
      <w:pStyle w:val="Footer"/>
    </w:pPr>
    <w:r w:rsidRPr="00853B65">
      <w:rPr>
        <w:sz w:val="24"/>
      </w:rPr>
      <w:t>http://ej.kubagro.ru/201</w:t>
    </w:r>
    <w:r w:rsidRPr="00853B65">
      <w:rPr>
        <w:sz w:val="24"/>
        <w:lang w:val="en-US"/>
      </w:rPr>
      <w:t>4</w:t>
    </w:r>
    <w:r w:rsidRPr="00853B65">
      <w:rPr>
        <w:sz w:val="24"/>
      </w:rPr>
      <w:t>/</w:t>
    </w:r>
    <w:r w:rsidRPr="00853B65">
      <w:rPr>
        <w:sz w:val="24"/>
        <w:lang w:val="en-US"/>
      </w:rPr>
      <w:t>04</w:t>
    </w:r>
    <w:r w:rsidRPr="00853B65">
      <w:rPr>
        <w:sz w:val="24"/>
      </w:rPr>
      <w:t>/pdf/</w:t>
    </w:r>
    <w:r>
      <w:rPr>
        <w:sz w:val="24"/>
        <w:lang w:val="en-US"/>
      </w:rPr>
      <w:t>17</w:t>
    </w:r>
    <w:r w:rsidRPr="00853B65">
      <w:rPr>
        <w:sz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04ED" w:rsidRDefault="009A04ED">
      <w:r>
        <w:separator/>
      </w:r>
    </w:p>
  </w:footnote>
  <w:footnote w:type="continuationSeparator" w:id="0">
    <w:p w:rsidR="009A04ED" w:rsidRDefault="009A04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4ED" w:rsidRDefault="009A04ED" w:rsidP="0012014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A04ED" w:rsidRDefault="009A04ED" w:rsidP="006536B1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4ED" w:rsidRDefault="009A04ED" w:rsidP="0012014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11</w:t>
    </w:r>
    <w:r>
      <w:rPr>
        <w:rStyle w:val="PageNumber"/>
      </w:rPr>
      <w:fldChar w:fldCharType="end"/>
    </w:r>
  </w:p>
  <w:p w:rsidR="009A04ED" w:rsidRPr="006536B1" w:rsidRDefault="009A04ED" w:rsidP="006536B1">
    <w:pPr>
      <w:pStyle w:val="Header"/>
      <w:ind w:right="360"/>
      <w:rPr>
        <w:sz w:val="24"/>
      </w:rPr>
    </w:pPr>
    <w:r w:rsidRPr="006536B1">
      <w:rPr>
        <w:sz w:val="24"/>
      </w:rPr>
      <w:t>Научный журнал КубГАУ, №9</w:t>
    </w:r>
    <w:r w:rsidRPr="006536B1">
      <w:rPr>
        <w:sz w:val="24"/>
        <w:lang w:val="en-US"/>
      </w:rPr>
      <w:t>8</w:t>
    </w:r>
    <w:r w:rsidRPr="006536B1">
      <w:rPr>
        <w:sz w:val="24"/>
      </w:rPr>
      <w:t>(</w:t>
    </w:r>
    <w:r w:rsidRPr="006536B1">
      <w:rPr>
        <w:sz w:val="24"/>
        <w:lang w:val="en-US"/>
      </w:rPr>
      <w:t>04</w:t>
    </w:r>
    <w:r w:rsidRPr="006536B1">
      <w:rPr>
        <w:sz w:val="24"/>
      </w:rPr>
      <w:t>), 201</w:t>
    </w:r>
    <w:r w:rsidRPr="006536B1">
      <w:rPr>
        <w:sz w:val="24"/>
        <w:lang w:val="en-US"/>
      </w:rPr>
      <w:t>4</w:t>
    </w:r>
    <w:r w:rsidRPr="006536B1">
      <w:rPr>
        <w:sz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B2CCD"/>
    <w:multiLevelType w:val="hybridMultilevel"/>
    <w:tmpl w:val="F71CAB36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">
    <w:nsid w:val="213D48CC"/>
    <w:multiLevelType w:val="hybridMultilevel"/>
    <w:tmpl w:val="77126D8C"/>
    <w:lvl w:ilvl="0" w:tplc="FB127BD8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561F271F"/>
    <w:multiLevelType w:val="hybridMultilevel"/>
    <w:tmpl w:val="C34E3592"/>
    <w:lvl w:ilvl="0" w:tplc="A7166A8A">
      <w:start w:val="3"/>
      <w:numFmt w:val="bullet"/>
      <w:lvlText w:val="-"/>
      <w:lvlJc w:val="left"/>
      <w:pPr>
        <w:ind w:left="1629" w:hanging="9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77565E7A"/>
    <w:multiLevelType w:val="hybridMultilevel"/>
    <w:tmpl w:val="876E0DE6"/>
    <w:lvl w:ilvl="0" w:tplc="E43A108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24EF"/>
    <w:rsid w:val="00036D31"/>
    <w:rsid w:val="00110EF5"/>
    <w:rsid w:val="00120142"/>
    <w:rsid w:val="00134924"/>
    <w:rsid w:val="00144C9C"/>
    <w:rsid w:val="001B60B2"/>
    <w:rsid w:val="002045D9"/>
    <w:rsid w:val="0021504F"/>
    <w:rsid w:val="002219E4"/>
    <w:rsid w:val="00265098"/>
    <w:rsid w:val="002D2583"/>
    <w:rsid w:val="002E6466"/>
    <w:rsid w:val="002F5084"/>
    <w:rsid w:val="003D3EF0"/>
    <w:rsid w:val="003E4664"/>
    <w:rsid w:val="00413CA3"/>
    <w:rsid w:val="00432A89"/>
    <w:rsid w:val="00455719"/>
    <w:rsid w:val="00512CD6"/>
    <w:rsid w:val="00552CA3"/>
    <w:rsid w:val="00555279"/>
    <w:rsid w:val="005572A5"/>
    <w:rsid w:val="005D104B"/>
    <w:rsid w:val="006536B1"/>
    <w:rsid w:val="00723356"/>
    <w:rsid w:val="007578B2"/>
    <w:rsid w:val="00767A71"/>
    <w:rsid w:val="00771307"/>
    <w:rsid w:val="007724EF"/>
    <w:rsid w:val="007835DA"/>
    <w:rsid w:val="007A170C"/>
    <w:rsid w:val="007D67E3"/>
    <w:rsid w:val="007D68F0"/>
    <w:rsid w:val="00813F51"/>
    <w:rsid w:val="0082495B"/>
    <w:rsid w:val="00853B65"/>
    <w:rsid w:val="008A268B"/>
    <w:rsid w:val="008C756B"/>
    <w:rsid w:val="008D49B0"/>
    <w:rsid w:val="0095130B"/>
    <w:rsid w:val="009A04ED"/>
    <w:rsid w:val="009A50BB"/>
    <w:rsid w:val="009B206D"/>
    <w:rsid w:val="009C7D15"/>
    <w:rsid w:val="009F1D1E"/>
    <w:rsid w:val="00A135D4"/>
    <w:rsid w:val="00AA76D9"/>
    <w:rsid w:val="00AE4483"/>
    <w:rsid w:val="00AF4714"/>
    <w:rsid w:val="00B03DC3"/>
    <w:rsid w:val="00B36655"/>
    <w:rsid w:val="00BA3447"/>
    <w:rsid w:val="00BF5414"/>
    <w:rsid w:val="00C65B25"/>
    <w:rsid w:val="00CB18D5"/>
    <w:rsid w:val="00D2336B"/>
    <w:rsid w:val="00D403D0"/>
    <w:rsid w:val="00DB3E82"/>
    <w:rsid w:val="00DB5CFC"/>
    <w:rsid w:val="00E01EA2"/>
    <w:rsid w:val="00E3025E"/>
    <w:rsid w:val="00E51F92"/>
    <w:rsid w:val="00E76B0D"/>
    <w:rsid w:val="00EA40E7"/>
    <w:rsid w:val="00F323ED"/>
    <w:rsid w:val="00F33CA9"/>
    <w:rsid w:val="00F707BC"/>
    <w:rsid w:val="00F94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3ED"/>
    <w:pPr>
      <w:spacing w:line="360" w:lineRule="auto"/>
    </w:pPr>
    <w:rPr>
      <w:rFonts w:eastAsia="Times New Roman"/>
      <w:sz w:val="28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03DC3"/>
    <w:pPr>
      <w:spacing w:line="240" w:lineRule="auto"/>
      <w:ind w:left="720"/>
      <w:contextualSpacing/>
    </w:pPr>
    <w:rPr>
      <w:rFonts w:ascii="Calibri" w:hAnsi="Calibri"/>
      <w:sz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F33C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33CA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6536B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eastAsia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536B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eastAsia="Times New Roman" w:cs="Times New Roman"/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rsid w:val="006536B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57</TotalTime>
  <Pages>11</Pages>
  <Words>2775</Words>
  <Characters>15824</Characters>
  <Application>Microsoft Office Outlook</Application>
  <DocSecurity>0</DocSecurity>
  <Lines>0</Lines>
  <Paragraphs>0</Paragraphs>
  <ScaleCrop>false</ScaleCrop>
  <Company>2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dcterms:created xsi:type="dcterms:W3CDTF">2013-12-09T08:06:00Z</dcterms:created>
  <dcterms:modified xsi:type="dcterms:W3CDTF">2014-04-28T18:52:00Z</dcterms:modified>
</cp:coreProperties>
</file>