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0B1CD9" w:rsidRPr="00325C48" w:rsidTr="00CC5D87">
        <w:tc>
          <w:tcPr>
            <w:tcW w:w="4643" w:type="dxa"/>
          </w:tcPr>
          <w:p w:rsidR="000B1CD9" w:rsidRPr="00325C48" w:rsidRDefault="000B1CD9" w:rsidP="005B4B74">
            <w:pPr>
              <w:rPr>
                <w:lang w:val="en-US"/>
              </w:rPr>
            </w:pPr>
            <w:r w:rsidRPr="00325C48">
              <w:t>УДК 685.1</w:t>
            </w:r>
          </w:p>
          <w:p w:rsidR="000B1CD9" w:rsidRPr="00325C48" w:rsidRDefault="000B1CD9" w:rsidP="005B4B74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0B1CD9" w:rsidRPr="00325C48" w:rsidRDefault="000B1CD9" w:rsidP="005B4B74">
            <w:pPr>
              <w:rPr>
                <w:lang w:val="en-US"/>
              </w:rPr>
            </w:pPr>
            <w:r w:rsidRPr="00325C48">
              <w:rPr>
                <w:lang w:val="en-US"/>
              </w:rPr>
              <w:t xml:space="preserve">UDC </w:t>
            </w:r>
            <w:r w:rsidRPr="00325C48">
              <w:t>685.1</w:t>
            </w:r>
          </w:p>
        </w:tc>
      </w:tr>
      <w:tr w:rsidR="000B1CD9" w:rsidRPr="005B4B74" w:rsidTr="00CC5D87">
        <w:tc>
          <w:tcPr>
            <w:tcW w:w="4643" w:type="dxa"/>
          </w:tcPr>
          <w:p w:rsidR="000B1CD9" w:rsidRPr="00325C48" w:rsidRDefault="000B1CD9" w:rsidP="005B4B74">
            <w:pPr>
              <w:rPr>
                <w:b/>
                <w:caps/>
              </w:rPr>
            </w:pPr>
            <w:r w:rsidRPr="00325C48">
              <w:rPr>
                <w:b/>
                <w:caps/>
              </w:rPr>
              <w:t>ПРОГНОЗИРОВАНИЕ ФИНАНСОВОГО СОСТОЯНИЯ СЕЛЬСКОХОЗЯЙСТВЕННЫХ ОРГАНИЗАЦИЙ С ПРИМЕНЕНИЕМ ДИСКРИМИНАНТНО-РЕЙТИНГОВОЙ ЭКСПРЕСС-МОДЕЛИ</w:t>
            </w:r>
          </w:p>
          <w:p w:rsidR="000B1CD9" w:rsidRPr="00325C48" w:rsidRDefault="000B1CD9" w:rsidP="005B4B74">
            <w:pPr>
              <w:rPr>
                <w:b/>
              </w:rPr>
            </w:pPr>
          </w:p>
        </w:tc>
        <w:tc>
          <w:tcPr>
            <w:tcW w:w="4643" w:type="dxa"/>
          </w:tcPr>
          <w:p w:rsidR="000B1CD9" w:rsidRPr="002C10D8" w:rsidRDefault="000B1CD9" w:rsidP="005B4B7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2C10D8">
              <w:rPr>
                <w:b/>
                <w:lang w:val="en-US"/>
              </w:rPr>
              <w:t>PREDICTION OF FINANCIAL CONDITION OF AGRICULTURAL</w:t>
            </w:r>
            <w:r>
              <w:rPr>
                <w:b/>
                <w:lang w:val="en-US"/>
              </w:rPr>
              <w:t xml:space="preserve"> COMPANIES</w:t>
            </w:r>
            <w:r w:rsidRPr="002C10D8">
              <w:rPr>
                <w:b/>
                <w:lang w:val="en-US"/>
              </w:rPr>
              <w:t xml:space="preserve"> USING DISCRIMINANT RATING EXPRESS MODEL</w:t>
            </w:r>
          </w:p>
        </w:tc>
      </w:tr>
      <w:tr w:rsidR="000B1CD9" w:rsidRPr="00B773FD" w:rsidTr="00027176">
        <w:tc>
          <w:tcPr>
            <w:tcW w:w="4643" w:type="dxa"/>
          </w:tcPr>
          <w:p w:rsidR="000B1CD9" w:rsidRDefault="000B1CD9" w:rsidP="00027176">
            <w:bookmarkStart w:id="0" w:name="OLE_LINK29"/>
            <w:bookmarkStart w:id="1" w:name="OLE_LINK30"/>
            <w:r w:rsidRPr="00A518E1">
              <w:t>Жминько</w:t>
            </w:r>
            <w:r>
              <w:t xml:space="preserve"> Надежда Сергеевна</w:t>
            </w:r>
          </w:p>
          <w:p w:rsidR="000B1CD9" w:rsidRPr="00A518E1" w:rsidRDefault="000B1CD9" w:rsidP="00027176">
            <w:r w:rsidRPr="00A518E1">
              <w:t>ассистент кафедры «Теория бухгалтерского учета»</w:t>
            </w:r>
          </w:p>
          <w:p w:rsidR="000B1CD9" w:rsidRPr="00A518E1" w:rsidRDefault="000B1CD9" w:rsidP="00027176">
            <w:pPr>
              <w:rPr>
                <w:i/>
              </w:rPr>
            </w:pPr>
          </w:p>
          <w:p w:rsidR="000B1CD9" w:rsidRDefault="000B1CD9" w:rsidP="00027176">
            <w:r w:rsidRPr="00A518E1">
              <w:t>Сафонов</w:t>
            </w:r>
            <w:r w:rsidRPr="002A2B3B">
              <w:t xml:space="preserve"> </w:t>
            </w:r>
            <w:r w:rsidRPr="00A518E1">
              <w:t>И</w:t>
            </w:r>
            <w:r>
              <w:t>лья</w:t>
            </w:r>
            <w:r w:rsidRPr="00A518E1">
              <w:t xml:space="preserve"> С</w:t>
            </w:r>
            <w:r>
              <w:t>ергеевич</w:t>
            </w:r>
          </w:p>
          <w:p w:rsidR="000B1CD9" w:rsidRPr="00A518E1" w:rsidRDefault="000B1CD9" w:rsidP="00027176">
            <w:pPr>
              <w:rPr>
                <w:i/>
              </w:rPr>
            </w:pPr>
            <w:r w:rsidRPr="00A518E1">
              <w:t>студент учетно-финансового факультета</w:t>
            </w:r>
            <w:r w:rsidRPr="00A518E1">
              <w:rPr>
                <w:i/>
              </w:rPr>
              <w:t xml:space="preserve">, </w:t>
            </w:r>
          </w:p>
          <w:p w:rsidR="000B1CD9" w:rsidRPr="00A518E1" w:rsidRDefault="000B1CD9" w:rsidP="00027176">
            <w:pPr>
              <w:rPr>
                <w:i/>
              </w:rPr>
            </w:pPr>
            <w:r w:rsidRPr="00A518E1">
              <w:rPr>
                <w:i/>
              </w:rPr>
              <w:t>Кубанский государственный аграрный университет, Краснодар, Россия</w:t>
            </w:r>
          </w:p>
          <w:p w:rsidR="000B1CD9" w:rsidRPr="00A518E1" w:rsidRDefault="000B1CD9" w:rsidP="00027176"/>
        </w:tc>
        <w:tc>
          <w:tcPr>
            <w:tcW w:w="4643" w:type="dxa"/>
          </w:tcPr>
          <w:p w:rsidR="000B1CD9" w:rsidRDefault="000B1CD9" w:rsidP="00027176">
            <w:pPr>
              <w:rPr>
                <w:lang w:val="en-US"/>
              </w:rPr>
            </w:pPr>
            <w:r w:rsidRPr="00A518E1">
              <w:rPr>
                <w:lang w:val="en-US"/>
              </w:rPr>
              <w:t>Zhminko N</w:t>
            </w:r>
            <w:r>
              <w:rPr>
                <w:lang w:val="en-US"/>
              </w:rPr>
              <w:t xml:space="preserve">adezhda </w:t>
            </w:r>
            <w:r w:rsidRPr="00A518E1">
              <w:rPr>
                <w:lang w:val="en-US"/>
              </w:rPr>
              <w:t>S</w:t>
            </w:r>
            <w:r>
              <w:rPr>
                <w:lang w:val="en-US"/>
              </w:rPr>
              <w:t>ergeevna</w:t>
            </w:r>
          </w:p>
          <w:p w:rsidR="000B1CD9" w:rsidRPr="00A518E1" w:rsidRDefault="000B1CD9" w:rsidP="00027176">
            <w:pPr>
              <w:rPr>
                <w:lang w:val="en-US"/>
              </w:rPr>
            </w:pPr>
            <w:r w:rsidRPr="00A518E1">
              <w:rPr>
                <w:lang w:val="en-US"/>
              </w:rPr>
              <w:t xml:space="preserve">assistant of </w:t>
            </w:r>
            <w:r>
              <w:rPr>
                <w:lang w:val="en-US"/>
              </w:rPr>
              <w:t>the C</w:t>
            </w:r>
            <w:r w:rsidRPr="00A518E1">
              <w:rPr>
                <w:lang w:val="en-US"/>
              </w:rPr>
              <w:t xml:space="preserve">hair </w:t>
            </w:r>
            <w:r>
              <w:rPr>
                <w:lang w:val="en-US"/>
              </w:rPr>
              <w:t>of accounting theory</w:t>
            </w:r>
          </w:p>
          <w:p w:rsidR="000B1CD9" w:rsidRPr="00A518E1" w:rsidRDefault="000B1CD9" w:rsidP="00027176">
            <w:pPr>
              <w:rPr>
                <w:lang w:val="en-US"/>
              </w:rPr>
            </w:pPr>
          </w:p>
          <w:p w:rsidR="000B1CD9" w:rsidRDefault="000B1CD9" w:rsidP="00027176">
            <w:pPr>
              <w:rPr>
                <w:lang w:val="en-US"/>
              </w:rPr>
            </w:pPr>
            <w:r w:rsidRPr="00A518E1">
              <w:rPr>
                <w:lang w:val="en-US"/>
              </w:rPr>
              <w:t>Safonov I</w:t>
            </w:r>
            <w:r>
              <w:rPr>
                <w:lang w:val="en-US"/>
              </w:rPr>
              <w:t xml:space="preserve">lia </w:t>
            </w:r>
            <w:r w:rsidRPr="00A518E1">
              <w:rPr>
                <w:lang w:val="en-US"/>
              </w:rPr>
              <w:t>S</w:t>
            </w:r>
            <w:r>
              <w:rPr>
                <w:lang w:val="en-US"/>
              </w:rPr>
              <w:t>ergeevich</w:t>
            </w:r>
          </w:p>
          <w:p w:rsidR="000B1CD9" w:rsidRPr="004E01DD" w:rsidRDefault="000B1CD9" w:rsidP="00027176">
            <w:pPr>
              <w:rPr>
                <w:lang w:val="en-US"/>
              </w:rPr>
            </w:pPr>
            <w:r w:rsidRPr="00A518E1">
              <w:rPr>
                <w:lang w:val="en-US"/>
              </w:rPr>
              <w:t>studеnt</w:t>
            </w:r>
            <w:r>
              <w:rPr>
                <w:lang w:val="en-US"/>
              </w:rPr>
              <w:t xml:space="preserve"> </w:t>
            </w:r>
            <w:r w:rsidRPr="00A518E1">
              <w:rPr>
                <w:lang w:val="en-US"/>
              </w:rPr>
              <w:t>оf</w:t>
            </w:r>
            <w:r>
              <w:rPr>
                <w:lang w:val="en-US"/>
              </w:rPr>
              <w:t xml:space="preserve"> </w:t>
            </w:r>
            <w:r w:rsidRPr="00A518E1">
              <w:rPr>
                <w:lang w:val="en-US"/>
              </w:rPr>
              <w:t>thе</w:t>
            </w:r>
            <w:r>
              <w:rPr>
                <w:lang w:val="en-US"/>
              </w:rPr>
              <w:t xml:space="preserve"> </w:t>
            </w:r>
            <w:r w:rsidRPr="00A518E1">
              <w:rPr>
                <w:lang w:val="en-US"/>
              </w:rPr>
              <w:t xml:space="preserve">Accоunting and financial dеpartmеnt </w:t>
            </w:r>
          </w:p>
          <w:p w:rsidR="000B1CD9" w:rsidRPr="00A518E1" w:rsidRDefault="000B1CD9" w:rsidP="00027176">
            <w:pPr>
              <w:rPr>
                <w:lang w:val="en-US"/>
              </w:rPr>
            </w:pPr>
            <w:r w:rsidRPr="00A518E1">
              <w:rPr>
                <w:i/>
                <w:lang w:val="en-US"/>
              </w:rPr>
              <w:t>Kuban State Agrarian University, Krasnodar, Russia</w:t>
            </w:r>
          </w:p>
          <w:p w:rsidR="000B1CD9" w:rsidRPr="00A518E1" w:rsidRDefault="000B1CD9" w:rsidP="00027176">
            <w:pPr>
              <w:rPr>
                <w:lang w:val="en-US"/>
              </w:rPr>
            </w:pPr>
          </w:p>
        </w:tc>
      </w:tr>
      <w:tr w:rsidR="000B1CD9" w:rsidRPr="005B4B74" w:rsidTr="00CC5D87">
        <w:trPr>
          <w:trHeight w:val="1940"/>
        </w:trPr>
        <w:tc>
          <w:tcPr>
            <w:tcW w:w="4643" w:type="dxa"/>
          </w:tcPr>
          <w:p w:rsidR="000B1CD9" w:rsidRPr="00917E08" w:rsidRDefault="000B1CD9" w:rsidP="005B4B74">
            <w:bookmarkStart w:id="2" w:name="OLE_LINK39"/>
            <w:bookmarkStart w:id="3" w:name="OLE_LINK40"/>
            <w:bookmarkStart w:id="4" w:name="OLE_LINK41"/>
            <w:bookmarkEnd w:id="0"/>
            <w:bookmarkEnd w:id="1"/>
            <w:r w:rsidRPr="00BC3D6F">
              <w:t>Предопределение перспектив финансовой деятельности хозяйствующих субъектов на сегодняшний день является необходимым и широко используемым инструментом менеджмента в целях увеличения инвестиционной привлекательности, а так же, для укрепления финансового положения, платежеспособности, деловой активности и рентабельности сельхозтоваропроизводителя</w:t>
            </w:r>
            <w:bookmarkEnd w:id="2"/>
            <w:bookmarkEnd w:id="3"/>
            <w:bookmarkEnd w:id="4"/>
          </w:p>
          <w:p w:rsidR="000B1CD9" w:rsidRPr="00BC3D6F" w:rsidRDefault="000B1CD9" w:rsidP="005B4B74"/>
        </w:tc>
        <w:tc>
          <w:tcPr>
            <w:tcW w:w="4643" w:type="dxa"/>
          </w:tcPr>
          <w:p w:rsidR="000B1CD9" w:rsidRPr="00BC3D6F" w:rsidRDefault="000B1CD9" w:rsidP="005B4B74">
            <w:pPr>
              <w:rPr>
                <w:lang w:val="en-US"/>
              </w:rPr>
            </w:pPr>
            <w:r w:rsidRPr="00BC3D6F">
              <w:rPr>
                <w:lang w:val="en-US"/>
              </w:rPr>
              <w:t xml:space="preserve">Predestination </w:t>
            </w:r>
            <w:r>
              <w:rPr>
                <w:lang w:val="en-US"/>
              </w:rPr>
              <w:t xml:space="preserve">of the </w:t>
            </w:r>
            <w:r w:rsidRPr="00BC3D6F">
              <w:rPr>
                <w:lang w:val="en-US"/>
              </w:rPr>
              <w:t xml:space="preserve">prospects </w:t>
            </w:r>
            <w:r>
              <w:rPr>
                <w:lang w:val="en-US"/>
              </w:rPr>
              <w:t xml:space="preserve">of </w:t>
            </w:r>
            <w:r w:rsidRPr="00BC3D6F">
              <w:rPr>
                <w:lang w:val="en-US"/>
              </w:rPr>
              <w:t>financial activities of businesses today is a necessary and widely used management tool in order to increase the investment attractiveness, as well as to strengthen the financial position, solvency, business activity and profitab</w:t>
            </w:r>
            <w:r>
              <w:rPr>
                <w:lang w:val="en-US"/>
              </w:rPr>
              <w:t>ility of agrarian organizations</w:t>
            </w:r>
          </w:p>
        </w:tc>
      </w:tr>
      <w:tr w:rsidR="000B1CD9" w:rsidRPr="005B4B74" w:rsidTr="00CC5D87">
        <w:tc>
          <w:tcPr>
            <w:tcW w:w="4643" w:type="dxa"/>
          </w:tcPr>
          <w:p w:rsidR="000B1CD9" w:rsidRPr="00325C48" w:rsidRDefault="000B1CD9" w:rsidP="005B4B74">
            <w:r w:rsidRPr="00325C48">
              <w:t xml:space="preserve">Ключевые слова: </w:t>
            </w:r>
            <w:r w:rsidRPr="00325C48">
              <w:rPr>
                <w:caps/>
              </w:rPr>
              <w:t>сельскохозяйственная деятельность, анализ финансового состояния, БАНКРОТСТВО</w:t>
            </w:r>
          </w:p>
          <w:p w:rsidR="000B1CD9" w:rsidRPr="00325C48" w:rsidRDefault="000B1CD9" w:rsidP="005B4B74"/>
        </w:tc>
        <w:tc>
          <w:tcPr>
            <w:tcW w:w="4643" w:type="dxa"/>
          </w:tcPr>
          <w:p w:rsidR="000B1CD9" w:rsidRPr="00325C48" w:rsidRDefault="000B1CD9" w:rsidP="005B4B74">
            <w:pPr>
              <w:rPr>
                <w:lang w:val="en-US"/>
              </w:rPr>
            </w:pPr>
            <w:r w:rsidRPr="00325C48">
              <w:rPr>
                <w:lang w:val="en-US"/>
              </w:rPr>
              <w:t xml:space="preserve">Keywords: </w:t>
            </w:r>
            <w:r w:rsidRPr="00325C48">
              <w:rPr>
                <w:caps/>
                <w:lang w:val="en-US"/>
              </w:rPr>
              <w:t>agricultural, analysis of financial performance, BANKR</w:t>
            </w:r>
            <w:r>
              <w:rPr>
                <w:caps/>
                <w:lang w:val="en-US"/>
              </w:rPr>
              <w:t>UPTCY</w:t>
            </w:r>
          </w:p>
        </w:tc>
      </w:tr>
    </w:tbl>
    <w:p w:rsidR="000B1CD9" w:rsidRPr="00BE32FF" w:rsidRDefault="000B1CD9" w:rsidP="00BE32F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Уверенное понимание тенденций и перспектив развития организации и условий изменения экономической среды, в которой осуществляется деятельность экономического субъекта, является основополагающим фактором формирования управленческой инициативы руководящего персонала. Усиление интеграционных процессов в экономической среде влечет за собою необходимость законодательной инициативы, формирующей принципиально новые условия хозяйствования организаций аграрного сектора экономики. В ситуации изменения тенденций развития аграрной отрасли, процесса переориентации структурных межхозяйственных связей и, как следствие, постоянной трансформации политики ценообразования на выпускаемую продукцию</w:t>
      </w:r>
      <w:r w:rsidRPr="00917E08">
        <w:rPr>
          <w:sz w:val="28"/>
          <w:szCs w:val="28"/>
        </w:rPr>
        <w:t>,</w:t>
      </w:r>
      <w:r w:rsidRPr="00325C48">
        <w:rPr>
          <w:sz w:val="28"/>
          <w:szCs w:val="28"/>
        </w:rPr>
        <w:t xml:space="preserve"> в основе аналитического обоснования принятия оптимальных решений в области управления хозяйственной деятельностью аграрного формирования должны применятся методики анализа, позволяющие не только производить достоверную оценку финансово-хозяйственной деятельности экономического субъекта, но позволять осуществлять ее прогноз на ближайшую и дальнейшую перспективу.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Применение линейного, рейтингового и дискриминантного моделирования является традиционным подходом в выявлении категориальной зависимости между фактами хозяйственной деятельности анализируемого экономического субъекта и возможными тенденциями его дальнейшего развития. Следует отметить, что отдельное использование дискриминантных методов прогнозирования дает лишь дискретную возможность прогноза на конкретно небольшой и заранее установленный период времени, в то время как, методы рейтингового моделирования в современных условиях используется отечественными экономистами исключительно для текущей оценки финансового положения отдельной организации или группы организаций. Необходимость наличия достаточной репрезентативной внутриотраслевой выборки организаций является препятствием для выявления и диагностики прогнозных свойств дискретных рейтинговых моделей.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В сложившихся условиях</w:t>
      </w:r>
      <w:r w:rsidRPr="00917E08">
        <w:rPr>
          <w:sz w:val="28"/>
          <w:szCs w:val="28"/>
        </w:rPr>
        <w:t>,</w:t>
      </w:r>
      <w:r w:rsidRPr="00325C48">
        <w:rPr>
          <w:sz w:val="28"/>
          <w:szCs w:val="28"/>
        </w:rPr>
        <w:t xml:space="preserve"> для оценки перспектив развития финансово-хозяйственной деяте</w:t>
      </w:r>
      <w:r>
        <w:rPr>
          <w:sz w:val="28"/>
          <w:szCs w:val="28"/>
        </w:rPr>
        <w:t>льности экономического субъекта</w:t>
      </w:r>
      <w:r w:rsidRPr="00917E08">
        <w:rPr>
          <w:sz w:val="28"/>
          <w:szCs w:val="28"/>
        </w:rPr>
        <w:t xml:space="preserve">, </w:t>
      </w:r>
      <w:r w:rsidRPr="00325C48">
        <w:rPr>
          <w:sz w:val="28"/>
          <w:szCs w:val="28"/>
        </w:rPr>
        <w:t xml:space="preserve">аналитик вынужден использовать сомнительные прогнозные методики, разработанные в экономических условиях, отличных от отечественных, верификация уровня достоверности прогноза которых в условиях российской экономики не проводилась.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Результаты проеденного нами исследования, основанного на дискриминантно-рейтинговом подходе, позволяет говорить о возможности исследования прогнозных свойств полученной </w:t>
      </w:r>
      <w:r w:rsidRPr="00325C48">
        <w:rPr>
          <w:sz w:val="28"/>
          <w:szCs w:val="28"/>
          <w:lang w:val="en-US"/>
        </w:rPr>
        <w:t>R</w:t>
      </w:r>
      <w:r w:rsidRPr="00325C48">
        <w:rPr>
          <w:sz w:val="28"/>
          <w:szCs w:val="28"/>
        </w:rPr>
        <w:t>-модели в условиях экономики аграрного сектора. Наличие достаточной репрезентативной выборки позволяет произвести оценку прогнозных свойств предлагаемой методики как на ближайший временной интервал (один-два года) таки и на дальнейшую перспективу в форме потенциальной вероятности снижения или повышения уровня финансового состояния.</w:t>
      </w:r>
    </w:p>
    <w:p w:rsidR="000B1CD9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Для  выявления свойств модели определять априорную вероятность (прогноз) наступления кризисного состояния каждой отдельной организации воспользуемся методикой</w:t>
      </w:r>
      <w:r>
        <w:rPr>
          <w:sz w:val="28"/>
          <w:szCs w:val="28"/>
        </w:rPr>
        <w:t xml:space="preserve"> о</w:t>
      </w:r>
      <w:r w:rsidRPr="00325C48">
        <w:rPr>
          <w:sz w:val="28"/>
          <w:szCs w:val="28"/>
        </w:rPr>
        <w:t>пределени</w:t>
      </w:r>
      <w:r>
        <w:rPr>
          <w:sz w:val="28"/>
          <w:szCs w:val="28"/>
        </w:rPr>
        <w:t>я</w:t>
      </w:r>
      <w:r w:rsidRPr="00325C48">
        <w:rPr>
          <w:sz w:val="28"/>
          <w:szCs w:val="28"/>
        </w:rPr>
        <w:t xml:space="preserve"> потенциальной возможности экономического кризиса организаций, вошедших в выборку, производилось нами на основании значений разработанной </w:t>
      </w:r>
      <w:r w:rsidRPr="00325C48">
        <w:rPr>
          <w:sz w:val="28"/>
          <w:szCs w:val="28"/>
          <w:lang w:val="en-US"/>
        </w:rPr>
        <w:t>R</w:t>
      </w:r>
      <w:r w:rsidRPr="00325C48">
        <w:rPr>
          <w:sz w:val="28"/>
          <w:szCs w:val="28"/>
        </w:rPr>
        <w:t xml:space="preserve">-модели, рассчитанных по каждой исследуемой организации. Полученный массив значений был подвержен выравниванию при помощи нормального распределения (рисунок </w:t>
      </w:r>
      <w:r>
        <w:rPr>
          <w:sz w:val="28"/>
          <w:szCs w:val="28"/>
        </w:rPr>
        <w:t>1</w:t>
      </w:r>
      <w:r w:rsidRPr="00325C48">
        <w:rPr>
          <w:sz w:val="28"/>
          <w:szCs w:val="28"/>
        </w:rPr>
        <w:t>).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</w:p>
    <w:p w:rsidR="000B1CD9" w:rsidRPr="00325C48" w:rsidRDefault="000B1CD9" w:rsidP="00325C48">
      <w:pPr>
        <w:jc w:val="center"/>
        <w:rPr>
          <w:sz w:val="28"/>
          <w:szCs w:val="28"/>
        </w:rPr>
      </w:pPr>
      <w:r w:rsidRPr="00325C48">
        <w:rPr>
          <w:sz w:val="28"/>
          <w:szCs w:val="28"/>
        </w:rPr>
        <w:object w:dxaOrig="9361" w:dyaOrig="7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1pt" o:ole="">
            <v:imagedata r:id="rId7" o:title=""/>
          </v:shape>
          <o:OLEObject Type="Embed" ProgID="STATISTICA.Graph" ShapeID="_x0000_i1025" DrawAspect="Content" ObjectID="_1456589703" r:id="rId8">
            <o:FieldCodes>\s</o:FieldCodes>
          </o:OLEObject>
        </w:object>
      </w:r>
      <w:r w:rsidRPr="00325C48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Pr="00325C48">
        <w:rPr>
          <w:sz w:val="28"/>
          <w:szCs w:val="28"/>
        </w:rPr>
        <w:t xml:space="preserve"> – Кривая нормального распределения по данным </w:t>
      </w:r>
      <w:r w:rsidRPr="00325C48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–модели ор</w:t>
      </w:r>
      <w:r w:rsidRPr="00325C48">
        <w:rPr>
          <w:sz w:val="28"/>
          <w:szCs w:val="28"/>
        </w:rPr>
        <w:t>ганизаций Центральной зоны Краснодарского края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Подверженность значений дискриминантно-рейтинговой функции нормальному распределению, позволяет рассчитать степень вероятности попадания каждого отдельного значения модели в заданный интервал. Если принять значения границ интервала в виде  (-</w:t>
      </w:r>
      <w:r w:rsidRPr="00325C48">
        <w:rPr>
          <w:sz w:val="28"/>
          <w:szCs w:val="28"/>
        </w:rPr>
        <w:sym w:font="Symbol" w:char="F0A5"/>
      </w:r>
      <w:r w:rsidRPr="00325C48">
        <w:rPr>
          <w:sz w:val="28"/>
          <w:szCs w:val="28"/>
        </w:rPr>
        <w:t>; х), где х – полученное значение функции, то вероятность попадания значения в заданную область распределения с экономической точки зрения будет характеризовать потенциальную вероятность наступления критической ситуации  в организации. В этом случае расчет возможности попадания значения функции в интервал (х; +</w:t>
      </w:r>
      <w:r w:rsidRPr="00325C48">
        <w:rPr>
          <w:sz w:val="28"/>
          <w:szCs w:val="28"/>
        </w:rPr>
        <w:sym w:font="Symbol" w:char="F0A5"/>
      </w:r>
      <w:r w:rsidRPr="00325C48">
        <w:rPr>
          <w:sz w:val="28"/>
          <w:szCs w:val="28"/>
        </w:rPr>
        <w:t xml:space="preserve">) характеризует потенциальную вероятность отсутствия кризисный явлений. Следовательно, чем выше значение функции, тем меньше вероятность банкротства. </w:t>
      </w:r>
    </w:p>
    <w:p w:rsidR="000B1CD9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Полученная статистика распределения имеет</w:t>
      </w:r>
      <w:r w:rsidRPr="00432804">
        <w:rPr>
          <w:sz w:val="28"/>
          <w:szCs w:val="28"/>
        </w:rPr>
        <w:t xml:space="preserve"> хорошую дифференциацию наблюдений, которая в совокупности со статистикой наблюдаемые и ожидаемые частот свидетельствует о подверженности значений предлагаемой модели по исследуемой выборке условиям апроксимации нормальным распределением. Такой подход позволит определить степень соответствия теоретического распределения с наблюдаемым, которая в нашем случае является достаточно высокой. Об этом свидетельствует исследование значений статистик: значение хи-квадрат, равное 27,05203, при уровне р</w:t>
      </w:r>
      <w:r>
        <w:rPr>
          <w:sz w:val="28"/>
          <w:szCs w:val="28"/>
        </w:rPr>
        <w:t> </w:t>
      </w:r>
      <w:r w:rsidRPr="00432804">
        <w:rPr>
          <w:sz w:val="28"/>
          <w:szCs w:val="28"/>
        </w:rPr>
        <w:t>=</w:t>
      </w:r>
      <w:r>
        <w:rPr>
          <w:sz w:val="28"/>
          <w:szCs w:val="28"/>
        </w:rPr>
        <w:t> </w:t>
      </w:r>
      <w:r w:rsidRPr="00432804">
        <w:rPr>
          <w:sz w:val="28"/>
          <w:szCs w:val="28"/>
        </w:rPr>
        <w:t>0,00001, указывает на незначимость отклонений от нормального распределения.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Следовательно, рассчитанные на базе выборки статистические константы: среднее значение функции (равное 1,94) и значение стандартного отклонения (</w:t>
      </w:r>
      <w:r w:rsidRPr="00325C48">
        <w:rPr>
          <w:sz w:val="28"/>
          <w:szCs w:val="28"/>
        </w:rPr>
        <w:sym w:font="Symbol" w:char="F073"/>
      </w:r>
      <w:r w:rsidRPr="00325C48">
        <w:rPr>
          <w:sz w:val="28"/>
          <w:szCs w:val="28"/>
        </w:rPr>
        <w:t xml:space="preserve"> = 35,01) будут качественно характеризовать нормальное распределение организаций исследуемой совокупности. А это значит, что с помощью констант, используя закон нормального распределения, можно рассчитать потенциальную вероятность наступления кризисных ситуаций для любого аналогичного сельскохозяйственного предприятия, не вошедшего в исследуемую выборку.</w:t>
      </w:r>
    </w:p>
    <w:p w:rsidR="000B1CD9" w:rsidRDefault="000B1CD9" w:rsidP="00432804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Алгоритм исчисления потенциальной вероятности экономического кризиса, на базе закона нормального распределения и найденных констант представлен на рисунке </w:t>
      </w:r>
      <w:r>
        <w:rPr>
          <w:sz w:val="28"/>
          <w:szCs w:val="28"/>
        </w:rPr>
        <w:t>2</w:t>
      </w:r>
      <w:r w:rsidRPr="00325C48">
        <w:rPr>
          <w:sz w:val="28"/>
          <w:szCs w:val="28"/>
        </w:rPr>
        <w:t>.</w:t>
      </w:r>
    </w:p>
    <w:p w:rsidR="000B1CD9" w:rsidRDefault="000B1CD9" w:rsidP="00432804">
      <w:pPr>
        <w:spacing w:line="360" w:lineRule="auto"/>
        <w:ind w:firstLine="709"/>
        <w:jc w:val="both"/>
        <w:rPr>
          <w:sz w:val="28"/>
          <w:szCs w:val="28"/>
        </w:rPr>
      </w:pPr>
      <w:r w:rsidRPr="00791AFC">
        <w:rPr>
          <w:noProof/>
          <w:sz w:val="28"/>
          <w:szCs w:val="28"/>
        </w:rPr>
        <w:pict>
          <v:shape id="Рисунок 19" o:spid="_x0000_i1026" type="#_x0000_t75" style="width:357pt;height:264pt;visibility:visible">
            <v:imagedata r:id="rId9" o:title=""/>
          </v:shape>
        </w:pict>
      </w:r>
    </w:p>
    <w:p w:rsidR="000B1CD9" w:rsidRPr="00325C48" w:rsidRDefault="000B1CD9" w:rsidP="00432804">
      <w:pPr>
        <w:ind w:firstLine="709"/>
        <w:jc w:val="center"/>
        <w:rPr>
          <w:sz w:val="28"/>
          <w:szCs w:val="28"/>
        </w:rPr>
      </w:pPr>
      <w:r w:rsidRPr="00325C48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2</w:t>
      </w:r>
      <w:r w:rsidRPr="00325C48">
        <w:rPr>
          <w:sz w:val="28"/>
          <w:szCs w:val="28"/>
        </w:rPr>
        <w:t>– Алгоритм расчета потенциальной вероятности несостоятельности</w:t>
      </w:r>
      <w:r w:rsidRPr="00917E08">
        <w:rPr>
          <w:sz w:val="28"/>
          <w:szCs w:val="28"/>
        </w:rPr>
        <w:t xml:space="preserve"> </w:t>
      </w:r>
      <w:r w:rsidRPr="00325C48">
        <w:rPr>
          <w:sz w:val="28"/>
          <w:szCs w:val="28"/>
        </w:rPr>
        <w:t>организации с использованием предлагаемых статистических констант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Свидетельством высокой эффективности дискриминантно - рейтинговой модели служит ее апробация (таблица </w:t>
      </w:r>
      <w:r>
        <w:rPr>
          <w:sz w:val="28"/>
          <w:szCs w:val="28"/>
        </w:rPr>
        <w:t>2</w:t>
      </w:r>
      <w:r w:rsidRPr="00325C48">
        <w:rPr>
          <w:sz w:val="28"/>
          <w:szCs w:val="28"/>
        </w:rPr>
        <w:t>).</w:t>
      </w: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sz w:val="28"/>
          <w:szCs w:val="28"/>
          <w:lang w:val="en-US"/>
        </w:rPr>
      </w:pPr>
    </w:p>
    <w:p w:rsidR="000B1CD9" w:rsidRDefault="000B1CD9" w:rsidP="00432804">
      <w:pPr>
        <w:jc w:val="center"/>
        <w:rPr>
          <w:bCs/>
          <w:sz w:val="28"/>
          <w:szCs w:val="28"/>
        </w:rPr>
      </w:pPr>
      <w:r w:rsidRPr="00325C48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 xml:space="preserve">2 </w:t>
      </w:r>
      <w:r w:rsidRPr="00325C48">
        <w:rPr>
          <w:sz w:val="28"/>
          <w:szCs w:val="28"/>
        </w:rPr>
        <w:t>–</w:t>
      </w:r>
      <w:r w:rsidRPr="00325C48">
        <w:rPr>
          <w:bCs/>
          <w:sz w:val="28"/>
          <w:szCs w:val="28"/>
        </w:rPr>
        <w:t>Оценка и прогнозирование финансового состояния сельскохозяйственных организаций Краснодарского края</w:t>
      </w:r>
    </w:p>
    <w:p w:rsidR="000B1CD9" w:rsidRPr="00325C48" w:rsidRDefault="000B1CD9" w:rsidP="00432804">
      <w:pPr>
        <w:jc w:val="center"/>
        <w:rPr>
          <w:bCs/>
          <w:sz w:val="28"/>
          <w:szCs w:val="28"/>
        </w:rPr>
      </w:pPr>
    </w:p>
    <w:tbl>
      <w:tblPr>
        <w:tblW w:w="5303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547"/>
        <w:gridCol w:w="1278"/>
        <w:gridCol w:w="2551"/>
        <w:gridCol w:w="2549"/>
      </w:tblGrid>
      <w:tr w:rsidR="000B1CD9" w:rsidRPr="00432804" w:rsidTr="002C10D8">
        <w:trPr>
          <w:cantSplit/>
          <w:trHeight w:val="279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Название организации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R-значение</w:t>
            </w:r>
          </w:p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функции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Вероятность</w:t>
            </w:r>
          </w:p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потенциальной несостоятельности, %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Экспертная оценка уровня финансового состояния</w:t>
            </w:r>
          </w:p>
        </w:tc>
      </w:tr>
      <w:tr w:rsidR="000B1CD9" w:rsidRPr="00432804" w:rsidTr="002C10D8">
        <w:trPr>
          <w:cantSplit/>
          <w:trHeight w:val="27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ООО «Венцы-Заря» Гулькевичский район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-2,0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 xml:space="preserve">96,4 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Кризисное</w:t>
            </w:r>
          </w:p>
        </w:tc>
      </w:tr>
      <w:tr w:rsidR="000B1CD9" w:rsidRPr="00432804" w:rsidTr="002C10D8">
        <w:trPr>
          <w:cantSplit/>
          <w:trHeight w:val="12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 xml:space="preserve">ЗАО «Воронцовское» </w:t>
            </w:r>
          </w:p>
          <w:p w:rsidR="000B1CD9" w:rsidRPr="00432804" w:rsidRDefault="000B1CD9" w:rsidP="00432804">
            <w:pPr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Динской район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-0,3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84,6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432804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Кризисное</w:t>
            </w:r>
          </w:p>
        </w:tc>
      </w:tr>
      <w:tr w:rsidR="000B1CD9" w:rsidRPr="00432804" w:rsidTr="00B152B2">
        <w:trPr>
          <w:cantSplit/>
          <w:trHeight w:val="12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B152B2">
            <w:pPr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ООО СПФ «Юбилейное-Кавказ» г. Армавир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B152B2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0,9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B152B2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54,8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432804" w:rsidRDefault="000B1CD9" w:rsidP="00B152B2">
            <w:pPr>
              <w:jc w:val="center"/>
              <w:rPr>
                <w:sz w:val="24"/>
                <w:szCs w:val="24"/>
              </w:rPr>
            </w:pPr>
            <w:r w:rsidRPr="00432804">
              <w:rPr>
                <w:sz w:val="24"/>
                <w:szCs w:val="24"/>
              </w:rPr>
              <w:t>Низкое</w:t>
            </w:r>
          </w:p>
        </w:tc>
      </w:tr>
      <w:tr w:rsidR="000B1CD9" w:rsidRPr="009404AF" w:rsidTr="00B152B2">
        <w:trPr>
          <w:cantSplit/>
          <w:trHeight w:val="12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9404AF" w:rsidRDefault="000B1CD9" w:rsidP="00B152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404AF">
              <w:rPr>
                <w:rFonts w:ascii="Times New Roman" w:hAnsi="Times New Roman"/>
                <w:sz w:val="24"/>
                <w:szCs w:val="24"/>
              </w:rPr>
              <w:t>ООО «Краснодар-агроальянс»</w:t>
            </w:r>
          </w:p>
          <w:p w:rsidR="000B1CD9" w:rsidRPr="009404AF" w:rsidRDefault="000B1CD9" w:rsidP="00B152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404AF">
              <w:rPr>
                <w:rFonts w:ascii="Times New Roman" w:hAnsi="Times New Roman"/>
                <w:sz w:val="24"/>
                <w:szCs w:val="24"/>
              </w:rPr>
              <w:t>Динской район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9404AF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4AF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9404AF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9404AF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</w:tr>
      <w:tr w:rsidR="000B1CD9" w:rsidRPr="00027652" w:rsidTr="00B152B2">
        <w:trPr>
          <w:cantSplit/>
          <w:trHeight w:val="12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027652" w:rsidRDefault="000B1CD9" w:rsidP="00B152B2">
            <w:pPr>
              <w:pStyle w:val="NoSpacing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ОНО ОПХ «Кореновское»</w:t>
            </w:r>
          </w:p>
          <w:p w:rsidR="000B1CD9" w:rsidRPr="00027652" w:rsidRDefault="000B1CD9" w:rsidP="00B152B2">
            <w:pPr>
              <w:pStyle w:val="NoSpacing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Кореновского района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027652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5E4663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F40F7C">
              <w:rPr>
                <w:rFonts w:ascii="Times New Roman" w:hAnsi="Times New Roman"/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027652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Высокое</w:t>
            </w:r>
          </w:p>
        </w:tc>
      </w:tr>
      <w:tr w:rsidR="000B1CD9" w:rsidRPr="00027652" w:rsidTr="00B152B2">
        <w:trPr>
          <w:cantSplit/>
          <w:trHeight w:val="12"/>
          <w:jc w:val="center"/>
        </w:trPr>
        <w:tc>
          <w:tcPr>
            <w:tcW w:w="1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027652" w:rsidRDefault="000B1CD9" w:rsidP="00B152B2">
            <w:pPr>
              <w:pStyle w:val="NoSpacing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ООО  «АПК Кубань-Агро»</w:t>
            </w:r>
          </w:p>
          <w:p w:rsidR="000B1CD9" w:rsidRPr="00027652" w:rsidRDefault="000B1CD9" w:rsidP="00B152B2">
            <w:pPr>
              <w:pStyle w:val="NoSpacing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Брюховецкого района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027652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5E4663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F40F7C">
              <w:rPr>
                <w:rFonts w:ascii="Times New Roman" w:hAnsi="Times New Roman"/>
                <w:sz w:val="24"/>
                <w:szCs w:val="24"/>
                <w:lang w:eastAsia="en-US"/>
              </w:rPr>
              <w:t>34,9</w:t>
            </w:r>
          </w:p>
        </w:tc>
        <w:tc>
          <w:tcPr>
            <w:tcW w:w="1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1CD9" w:rsidRPr="00027652" w:rsidRDefault="000B1CD9" w:rsidP="00B152B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652">
              <w:rPr>
                <w:rFonts w:ascii="Times New Roman" w:hAnsi="Times New Roman"/>
                <w:sz w:val="24"/>
                <w:szCs w:val="24"/>
                <w:lang w:eastAsia="en-US"/>
              </w:rPr>
              <w:t>Высокое</w:t>
            </w:r>
          </w:p>
        </w:tc>
      </w:tr>
    </w:tbl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Так, рассматриваемые в таблице </w:t>
      </w:r>
      <w:r>
        <w:rPr>
          <w:sz w:val="28"/>
          <w:szCs w:val="28"/>
        </w:rPr>
        <w:t xml:space="preserve">2 </w:t>
      </w:r>
      <w:r w:rsidRPr="00325C48">
        <w:rPr>
          <w:sz w:val="28"/>
          <w:szCs w:val="28"/>
        </w:rPr>
        <w:t>организации показали, что находящиеся по данным модели в кризисном состоянии: ООО «Венцы-Заря» Гулькевичского района и ЗАО «Воронцовское» Динского района Краснодарского края, имеют потенциальную вероятность прекращения деятельности в 96,4 % и 84,6 % случаев соответственно.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Полученная вероятность подтверждается реальным финансовым положением в организациях, где на сегодняшний день актуален вопрос о начале юридической процедуры банкротства. В то же время рост показателей модели свидетельствует об улучшения финансового состояния сельхозорганизации, так примерами анализируемой тенденции служат значения модели, характеризующие низкую вероятность негативных экономических тенденций в ООО «АПК Кубань-Агро» Брюховецкого района и ОНО ОПХ «Кореновское» Кореновского района.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В качестве диагностики конкурентоспособности в прогнозных свойствах модели на однолетний период, проведем сравнительный анализ разрабатываемой модели и существующих, наиболее часто используемых моделей в сельскохозяйственных организациях аналитиками. За основу исследования приняты данные бухгалтерской (финансовой) отчетности за 2010 г. исследуемых 79 организаций Краснодарского края. Результаты тестирования прогнозной точности модели представлены в таблице </w:t>
      </w:r>
      <w:r w:rsidRPr="00BC3D6F">
        <w:rPr>
          <w:sz w:val="28"/>
          <w:szCs w:val="28"/>
        </w:rPr>
        <w:t>3</w:t>
      </w:r>
      <w:r w:rsidRPr="00325C48">
        <w:rPr>
          <w:sz w:val="28"/>
          <w:szCs w:val="28"/>
        </w:rPr>
        <w:t>.</w:t>
      </w:r>
    </w:p>
    <w:p w:rsidR="000B1CD9" w:rsidRDefault="000B1CD9" w:rsidP="002C10D8">
      <w:pPr>
        <w:ind w:firstLine="709"/>
        <w:jc w:val="center"/>
        <w:rPr>
          <w:sz w:val="28"/>
          <w:szCs w:val="28"/>
        </w:rPr>
      </w:pPr>
      <w:r w:rsidRPr="00325C48">
        <w:rPr>
          <w:sz w:val="28"/>
          <w:szCs w:val="28"/>
        </w:rPr>
        <w:t>Таблица 3 – Сравнительный анализ прогнозной точности экспресс-моделей анализа финансового состояния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4644"/>
        <w:gridCol w:w="134"/>
        <w:gridCol w:w="1434"/>
        <w:gridCol w:w="1705"/>
        <w:gridCol w:w="130"/>
        <w:gridCol w:w="1239"/>
      </w:tblGrid>
      <w:tr w:rsidR="000B1CD9" w:rsidRPr="002C10D8" w:rsidTr="002C10D8">
        <w:trPr>
          <w:trHeight w:val="330"/>
          <w:jc w:val="center"/>
        </w:trPr>
        <w:tc>
          <w:tcPr>
            <w:tcW w:w="2573" w:type="pct"/>
            <w:gridSpan w:val="2"/>
            <w:vMerge w:val="restar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Показатель</w:t>
            </w:r>
          </w:p>
        </w:tc>
        <w:tc>
          <w:tcPr>
            <w:tcW w:w="1690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Прогноз по модели</w:t>
            </w:r>
          </w:p>
        </w:tc>
        <w:tc>
          <w:tcPr>
            <w:tcW w:w="737" w:type="pct"/>
            <w:gridSpan w:val="2"/>
            <w:vMerge w:val="restar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Точность прогноза, %</w:t>
            </w:r>
          </w:p>
        </w:tc>
      </w:tr>
      <w:tr w:rsidR="000B1CD9" w:rsidRPr="002C10D8" w:rsidTr="002C10D8">
        <w:trPr>
          <w:trHeight w:val="222"/>
          <w:jc w:val="center"/>
        </w:trPr>
        <w:tc>
          <w:tcPr>
            <w:tcW w:w="2573" w:type="pct"/>
            <w:gridSpan w:val="2"/>
            <w:vMerge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Устойчивое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Кризисное или предкризисное</w:t>
            </w:r>
          </w:p>
        </w:tc>
        <w:tc>
          <w:tcPr>
            <w:tcW w:w="737" w:type="pct"/>
            <w:gridSpan w:val="2"/>
            <w:vMerge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</w:p>
        </w:tc>
      </w:tr>
      <w:tr w:rsidR="000B1CD9" w:rsidRPr="002C10D8" w:rsidTr="00B152B2">
        <w:trPr>
          <w:trHeight w:val="315"/>
          <w:jc w:val="center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Пятифакторная модель Альтмана, 1983 г., нормативное значение</w:t>
            </w:r>
          </w:p>
        </w:tc>
      </w:tr>
      <w:tr w:rsidR="000B1CD9" w:rsidRPr="002C10D8" w:rsidTr="00B152B2">
        <w:trPr>
          <w:trHeight w:val="330"/>
          <w:jc w:val="center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Z &gt; 2,99; 1,81 - 2,99 - зона неопределенности</w:t>
            </w:r>
          </w:p>
        </w:tc>
      </w:tr>
      <w:tr w:rsidR="000B1CD9" w:rsidRPr="002C10D8" w:rsidTr="002C10D8">
        <w:trPr>
          <w:trHeight w:val="60"/>
          <w:jc w:val="center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52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100,00</w:t>
            </w:r>
          </w:p>
        </w:tc>
      </w:tr>
      <w:tr w:rsidR="000B1CD9" w:rsidRPr="002C10D8" w:rsidTr="002C10D8">
        <w:trPr>
          <w:trHeight w:val="60"/>
          <w:jc w:val="center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16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11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40,74</w:t>
            </w:r>
          </w:p>
        </w:tc>
      </w:tr>
      <w:tr w:rsidR="000B1CD9" w:rsidRPr="002C10D8" w:rsidTr="002C10D8">
        <w:trPr>
          <w:trHeight w:val="60"/>
          <w:jc w:val="center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70,37</w:t>
            </w:r>
          </w:p>
        </w:tc>
      </w:tr>
      <w:tr w:rsidR="000B1CD9" w:rsidRPr="002C10D8" w:rsidTr="00B152B2">
        <w:trPr>
          <w:trHeight w:val="60"/>
          <w:jc w:val="center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Четырехфакторная модель Лиса, 1972 г., Z&gt; 0,037 – нормативное значение</w:t>
            </w:r>
          </w:p>
        </w:tc>
      </w:tr>
      <w:tr w:rsidR="000B1CD9" w:rsidRPr="002C10D8" w:rsidTr="002C10D8">
        <w:trPr>
          <w:trHeight w:val="70"/>
          <w:jc w:val="center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46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6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88,46</w:t>
            </w:r>
          </w:p>
        </w:tc>
      </w:tr>
      <w:tr w:rsidR="000B1CD9" w:rsidRPr="002C10D8" w:rsidTr="002C10D8">
        <w:trPr>
          <w:trHeight w:val="70"/>
          <w:jc w:val="center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15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12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44,44</w:t>
            </w:r>
          </w:p>
        </w:tc>
      </w:tr>
      <w:tr w:rsidR="000B1CD9" w:rsidRPr="002C10D8" w:rsidTr="002C10D8">
        <w:trPr>
          <w:trHeight w:val="60"/>
          <w:jc w:val="center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66,45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Четырехфакторная модель Теффлера, 1997 г., нормативное значение Z&gt; 0,3</w:t>
            </w:r>
          </w:p>
        </w:tc>
      </w:tr>
      <w:tr w:rsidR="000B1CD9" w:rsidRPr="002C10D8" w:rsidTr="002C10D8">
        <w:tblPrEx>
          <w:jc w:val="left"/>
        </w:tblPrEx>
        <w:trPr>
          <w:trHeight w:val="7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47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90,38</w:t>
            </w:r>
          </w:p>
        </w:tc>
      </w:tr>
      <w:tr w:rsidR="000B1CD9" w:rsidRPr="002C10D8" w:rsidTr="002C10D8">
        <w:tblPrEx>
          <w:jc w:val="left"/>
        </w:tblPrEx>
        <w:trPr>
          <w:trHeight w:val="7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6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21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77,78</w:t>
            </w:r>
          </w:p>
        </w:tc>
      </w:tr>
      <w:tr w:rsidR="000B1CD9" w:rsidRPr="002C10D8" w:rsidTr="002C10D8">
        <w:tblPrEx>
          <w:jc w:val="left"/>
        </w:tblPrEx>
        <w:trPr>
          <w:trHeight w:val="6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84,08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Пятифакторная модель Савицкой Г. В., 1999 г., Z &gt; 8 – нормативное значение</w:t>
            </w:r>
          </w:p>
        </w:tc>
      </w:tr>
      <w:tr w:rsidR="000B1CD9" w:rsidRPr="002C10D8" w:rsidTr="002C10D8">
        <w:tblPrEx>
          <w:jc w:val="left"/>
        </w:tblPrEx>
        <w:trPr>
          <w:trHeight w:val="7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51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98,08</w:t>
            </w:r>
          </w:p>
        </w:tc>
      </w:tr>
      <w:tr w:rsidR="000B1CD9" w:rsidRPr="002C10D8" w:rsidTr="002C10D8">
        <w:tblPrEx>
          <w:jc w:val="left"/>
        </w:tblPrEx>
        <w:trPr>
          <w:trHeight w:val="7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8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19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70,37</w:t>
            </w:r>
          </w:p>
        </w:tc>
      </w:tr>
      <w:tr w:rsidR="000B1CD9" w:rsidRPr="002C10D8" w:rsidTr="002C10D8">
        <w:tblPrEx>
          <w:jc w:val="left"/>
        </w:tblPrEx>
        <w:trPr>
          <w:trHeight w:val="6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84,22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Шестифакторная модель Кучеренко С. А., 2008 г., Z  &gt; 11,6 - нормативное значение</w:t>
            </w:r>
          </w:p>
        </w:tc>
      </w:tr>
      <w:tr w:rsidR="000B1CD9" w:rsidRPr="002C10D8" w:rsidTr="002C10D8">
        <w:tblPrEx>
          <w:jc w:val="left"/>
        </w:tblPrEx>
        <w:trPr>
          <w:trHeight w:val="7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22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42,31</w:t>
            </w:r>
          </w:p>
        </w:tc>
      </w:tr>
      <w:tr w:rsidR="000B1CD9" w:rsidRPr="002C10D8" w:rsidTr="002C10D8">
        <w:tblPrEx>
          <w:jc w:val="left"/>
        </w:tblPrEx>
        <w:trPr>
          <w:trHeight w:val="7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30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27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100,00</w:t>
            </w:r>
          </w:p>
        </w:tc>
      </w:tr>
      <w:tr w:rsidR="000B1CD9" w:rsidRPr="002C10D8" w:rsidTr="002C10D8">
        <w:tblPrEx>
          <w:jc w:val="left"/>
        </w:tblPrEx>
        <w:trPr>
          <w:trHeight w:val="60"/>
        </w:trPr>
        <w:tc>
          <w:tcPr>
            <w:tcW w:w="2573" w:type="pct"/>
            <w:gridSpan w:val="2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772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18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737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71,15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5000" w:type="pct"/>
            <w:gridSpan w:val="6"/>
            <w:noWrap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Модель Р. С. Сайфуллина и Г. Г. Кадыкова, 1999 г, нормативное значение R &gt;1</w:t>
            </w:r>
          </w:p>
        </w:tc>
      </w:tr>
      <w:tr w:rsidR="000B1CD9" w:rsidRPr="002C10D8" w:rsidTr="002C10D8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844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36</w:t>
            </w:r>
          </w:p>
        </w:tc>
        <w:tc>
          <w:tcPr>
            <w:tcW w:w="988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16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69,23</w:t>
            </w:r>
          </w:p>
        </w:tc>
      </w:tr>
      <w:tr w:rsidR="000B1CD9" w:rsidRPr="002C10D8" w:rsidTr="002C10D8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844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988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27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100,00</w:t>
            </w:r>
          </w:p>
        </w:tc>
      </w:tr>
      <w:tr w:rsidR="000B1CD9" w:rsidRPr="002C10D8" w:rsidTr="002C10D8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2C10D8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844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88" w:type="pct"/>
            <w:gridSpan w:val="2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2C10D8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84,61</w:t>
            </w:r>
          </w:p>
        </w:tc>
      </w:tr>
    </w:tbl>
    <w:p w:rsidR="000B1CD9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таблицы 3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4644"/>
        <w:gridCol w:w="1562"/>
        <w:gridCol w:w="6"/>
        <w:gridCol w:w="1835"/>
        <w:gridCol w:w="1239"/>
      </w:tblGrid>
      <w:tr w:rsidR="000B1CD9" w:rsidRPr="002C10D8" w:rsidTr="00B152B2">
        <w:trPr>
          <w:trHeight w:val="330"/>
          <w:jc w:val="center"/>
        </w:trPr>
        <w:tc>
          <w:tcPr>
            <w:tcW w:w="2501" w:type="pct"/>
            <w:vMerge w:val="restar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Показатель</w:t>
            </w:r>
          </w:p>
        </w:tc>
        <w:tc>
          <w:tcPr>
            <w:tcW w:w="1832" w:type="pct"/>
            <w:gridSpan w:val="3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Прогноз по модели</w:t>
            </w:r>
          </w:p>
        </w:tc>
        <w:tc>
          <w:tcPr>
            <w:tcW w:w="667" w:type="pct"/>
            <w:vMerge w:val="restar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Точность прогноза, %</w:t>
            </w:r>
          </w:p>
        </w:tc>
      </w:tr>
      <w:tr w:rsidR="000B1CD9" w:rsidRPr="002C10D8" w:rsidTr="00B152B2">
        <w:trPr>
          <w:trHeight w:val="222"/>
          <w:jc w:val="center"/>
        </w:trPr>
        <w:tc>
          <w:tcPr>
            <w:tcW w:w="2501" w:type="pct"/>
            <w:vMerge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Устойчивое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Кризисное или предкризисное</w:t>
            </w:r>
          </w:p>
        </w:tc>
        <w:tc>
          <w:tcPr>
            <w:tcW w:w="667" w:type="pct"/>
            <w:vMerge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5000" w:type="pct"/>
            <w:gridSpan w:val="5"/>
            <w:noWrap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Модель Зайцевой О. П., нормативное значение R &gt;1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844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52</w:t>
            </w:r>
          </w:p>
        </w:tc>
        <w:tc>
          <w:tcPr>
            <w:tcW w:w="988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100,00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844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27</w:t>
            </w:r>
          </w:p>
        </w:tc>
        <w:tc>
          <w:tcPr>
            <w:tcW w:w="988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0,00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844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88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50,00</w:t>
            </w:r>
          </w:p>
        </w:tc>
      </w:tr>
      <w:tr w:rsidR="000B1CD9" w:rsidRPr="002C10D8" w:rsidTr="00B152B2">
        <w:tblPrEx>
          <w:jc w:val="left"/>
        </w:tblPrEx>
        <w:trPr>
          <w:trHeight w:val="56"/>
        </w:trPr>
        <w:tc>
          <w:tcPr>
            <w:tcW w:w="5000" w:type="pct"/>
            <w:gridSpan w:val="5"/>
            <w:noWrap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Модель ученых Иркутской ГЭА,1997 г нормативное значение R &gt; 0,42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Устойчивое и с запасом финансовой</w:t>
            </w:r>
          </w:p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52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100,00</w:t>
            </w:r>
          </w:p>
        </w:tc>
      </w:tr>
      <w:tr w:rsidR="000B1CD9" w:rsidRPr="002C10D8" w:rsidTr="00B152B2">
        <w:tblPrEx>
          <w:jc w:val="left"/>
        </w:tblPrEx>
        <w:trPr>
          <w:trHeight w:val="56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27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0,00</w:t>
            </w:r>
          </w:p>
        </w:tc>
      </w:tr>
      <w:tr w:rsidR="000B1CD9" w:rsidRPr="002C10D8" w:rsidTr="00B152B2">
        <w:tblPrEx>
          <w:jc w:val="left"/>
        </w:tblPrEx>
        <w:trPr>
          <w:trHeight w:val="6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667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50,00</w:t>
            </w:r>
          </w:p>
        </w:tc>
      </w:tr>
      <w:tr w:rsidR="000B1CD9" w:rsidRPr="002C10D8" w:rsidTr="00B152B2">
        <w:tblPrEx>
          <w:jc w:val="left"/>
        </w:tblPrEx>
        <w:trPr>
          <w:trHeight w:val="330"/>
        </w:trPr>
        <w:tc>
          <w:tcPr>
            <w:tcW w:w="5000" w:type="pct"/>
            <w:gridSpan w:val="5"/>
            <w:noWrap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Дискриминантно-рейтинговая модель, нормативное значение R &gt; 1,01</w:t>
            </w:r>
          </w:p>
        </w:tc>
      </w:tr>
      <w:tr w:rsidR="000B1CD9" w:rsidRPr="002C10D8" w:rsidTr="00B152B2">
        <w:tblPrEx>
          <w:jc w:val="left"/>
        </w:tblPrEx>
        <w:trPr>
          <w:trHeight w:val="33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 xml:space="preserve">Устойчивое и с запасом финансовой </w:t>
            </w:r>
          </w:p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устойчивости</w:t>
            </w: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48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4</w:t>
            </w:r>
          </w:p>
        </w:tc>
        <w:tc>
          <w:tcPr>
            <w:tcW w:w="668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92,31</w:t>
            </w:r>
          </w:p>
        </w:tc>
      </w:tr>
      <w:tr w:rsidR="000B1CD9" w:rsidRPr="002C10D8" w:rsidTr="00B152B2">
        <w:tblPrEx>
          <w:jc w:val="left"/>
        </w:tblPrEx>
        <w:trPr>
          <w:trHeight w:val="33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Признаки ухудшения финансового состояния и кризисное, предкризисное</w:t>
            </w: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0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27</w:t>
            </w:r>
          </w:p>
        </w:tc>
        <w:tc>
          <w:tcPr>
            <w:tcW w:w="668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100,00</w:t>
            </w:r>
          </w:p>
        </w:tc>
      </w:tr>
      <w:tr w:rsidR="000B1CD9" w:rsidRPr="002C10D8" w:rsidTr="00B152B2">
        <w:tblPrEx>
          <w:jc w:val="left"/>
        </w:tblPrEx>
        <w:trPr>
          <w:trHeight w:val="330"/>
        </w:trPr>
        <w:tc>
          <w:tcPr>
            <w:tcW w:w="2501" w:type="pct"/>
            <w:vAlign w:val="center"/>
          </w:tcPr>
          <w:p w:rsidR="000B1CD9" w:rsidRPr="002C10D8" w:rsidRDefault="000B1CD9" w:rsidP="00B152B2">
            <w:pPr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Общая точность прогноза модели</w:t>
            </w:r>
          </w:p>
        </w:tc>
        <w:tc>
          <w:tcPr>
            <w:tcW w:w="841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991" w:type="pct"/>
            <w:gridSpan w:val="2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Х</w:t>
            </w:r>
          </w:p>
        </w:tc>
        <w:tc>
          <w:tcPr>
            <w:tcW w:w="668" w:type="pct"/>
            <w:vAlign w:val="center"/>
          </w:tcPr>
          <w:p w:rsidR="000B1CD9" w:rsidRPr="002C10D8" w:rsidRDefault="000B1CD9" w:rsidP="00B152B2">
            <w:pPr>
              <w:jc w:val="center"/>
              <w:rPr>
                <w:sz w:val="24"/>
                <w:szCs w:val="24"/>
              </w:rPr>
            </w:pPr>
            <w:r w:rsidRPr="002C10D8">
              <w:rPr>
                <w:sz w:val="24"/>
                <w:szCs w:val="24"/>
              </w:rPr>
              <w:t>96,15</w:t>
            </w:r>
          </w:p>
        </w:tc>
      </w:tr>
    </w:tbl>
    <w:p w:rsidR="000B1CD9" w:rsidRPr="00BC3D6F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Анализируя результаты, полученные в ходе исследования прогнозной способности, наиболее широко используемых экспресс-методик диагностики финансового состояния и прогнозирования банкротства, следует отметить невозможность применения в условиях экономики аграрной отрасли методик Зайцевой О.П. и ученых Иркутской ГЭА. Об этом свидетельствуют результаты сравнения распределения организаций по моделям, заявленным авторами и действительными тенденциями развития экономических субъектов. Так, согласно данным методикам, все организации, составляющие исследуемую совокупность в период 2010-2011 гг. должны были улучшить свое финансовое состояние, в то время как действительное  улучшение (как минимум - не снижение) уровня финансового положения произошло лишь в 52 случаях из 79. Подобное распределение значений свидетельствует о заниженном уровне разделительных критериев относительно применения данных методик в целях анализа экономических субъектов аграрной отрасли.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Соответственно, применение методик Зайцевой О.П. и ученых Иркутской ГЭА для прогнозирования финансового состояния сельхозпроизводителей не целесообразно без проведения дополнительной диагностики этих рейтинговых моделей с целью установления их прогнозной способности и разработки межгрупповых разделительных критериев, адекватных существующему экономическому положению аграрных формирований.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Исследование зарубежных дискриминантных методик (модели Альтмана, Лиса, Теффелера, Савицкой) показало наличие их прогнозных способностей в условиях экономики агроформирований. Тем не менее, выявленный уровень достоверности прогноза, полученный в ходе исследования</w:t>
      </w:r>
      <w:r w:rsidRPr="00917E08">
        <w:rPr>
          <w:sz w:val="28"/>
          <w:szCs w:val="28"/>
        </w:rPr>
        <w:t>,</w:t>
      </w:r>
      <w:r w:rsidRPr="00325C48">
        <w:rPr>
          <w:sz w:val="28"/>
          <w:szCs w:val="28"/>
        </w:rPr>
        <w:t xml:space="preserve"> не является достаточным для уверенного утверждения о достоверности результатов анализа, проведенных исключительно с использованием этих методик без применения дополнительных аналитических процедур.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Так, согласно полученным в ходе работы данным, общая предуктивная способность модели Альтмана для производственных организаций составила 70,37 %, что в шкале от 50% (отсутствие предсказательной способности) до 100 % (стопроцентное соответствие предсказанного распределения случаям, произошедшим фактически) является средней величиной, явно недостаточной для получения достоверных результатов анализа. В ходе диагностики модели Альтмана также отмечено смещение прогнозной классификации в сторону организаций-потенциальных не банкротов, что также свидетельствует о заниженной планке разделительного критерия.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Анализ четырехфакторной модели Лиса на базе сельскохозяйственных предприятий показал, наличие прогнозных свойств низкого уровня. Так модель способно прогнозировать изменение финансового состояния с достоверностью до 66,45 %. Этого значения явно не достаточно для использования рассматриваемой экспресс-методики в качестве инструмента анализа, способного приносить конкретные достоверные результаты. Из полученного распределения мы видим слабую дискриминантную составляющую, что характеризуется неспособностью показателей, включенных в модель качественно разделять сельскохозяйственные организации по уровню их финансового положения, дифференцировать потенциальных банкротов и организации в хорошем финансовом состоянии.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Аналогичная ситуация наблюдается в моделях Теффлера и Савицкой Г.В. Несмотря на более высокий уровень прогнозной достоверности (модель Теффлера – 84,08 %, модель Савицкой – 84,22 %) в данных методиках отмечается недостаточный уровень дискриминирующих свойств отобранных авторами показателей. Об этом свидетельствует разброс значений, представленных в классификационной матрице, демонстрирующий несоответствие результатов распределения по модели и действительного распределения. Подобные обстоятельства позволяют делать выводы о непригодности использования данных моделей в условиях сельскохозяйственной экономики без подтверждения результатов полученного в ходе их использования анализа другими аналитическими методами диагностики финансово-хозяйственной деятельности организации.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Модель Р. С. Сайфуллина и Г. Г. Кадыкова представляет собой результат моделирования с использованием рейтинговых технологий, целью которого явилось создание инструмента диагностики финансово-хозяйственного положения экономического субъекта. Не смотря на то, что авторами не было заявлено о прогнозной способности модели, многие аналитики применяют ее в качестве инструмента прогнозирования экономического положения, используя в качестве разделительного критерия математическую единицу. Такой подход, являясь крайне сомнительным, тем не менее, имеет место быть, что предопределило необходимость исследования реальных прогнозных свойств этой методики в условиях современной экономики сельскохозяйственной отрасли.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>Проведенные исследования показали совпадение результатов классификации по модели и действительных тенденций организаций отрасли на 84,61 %, что является средним результатом. Однако, следует отметить, смещение значений распределения по модели в сторону классификации организаций с ухудшением уровня финансового состояния. Это свидетельствует о завышенном значении разделительного критерия для целей оценки тенденций финансово-хозяйственной деятельности агроформирований и позволяет делать выводы о непригодности использования данной методики в целях прогнозирования экономической несостоятельности и, как следствие, банкротства.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Исследование прогнозной способности предлагаемой нами методики на однолетний период показало достаточно высокие результаты. Так предложенная модель со стопроцентной вероятностью выявила все организации, показавшие в ходе тестируемого периода ухудшение финансового состояния и с вероятностью 92,31 % диагностировала организации с отсутствием тенденций к снижению уровня финансово-хозяйственной деятельности. Общая предсказательная возможность модели по результатам исследования составила 96,15 %, что представляет собою высокий уровень, обусловленный хорошей дискриминантной способностью отобранных показателей дифференцировать сельскохозяйственные организации по степени финансового состояния и качественным подходом к разработке разделительных критериев. </w:t>
      </w:r>
    </w:p>
    <w:p w:rsidR="000B1CD9" w:rsidRPr="00325C48" w:rsidRDefault="000B1CD9" w:rsidP="00325C48">
      <w:pPr>
        <w:spacing w:line="360" w:lineRule="auto"/>
        <w:ind w:firstLine="709"/>
        <w:jc w:val="both"/>
        <w:rPr>
          <w:sz w:val="28"/>
          <w:szCs w:val="28"/>
        </w:rPr>
      </w:pPr>
      <w:r w:rsidRPr="00325C48">
        <w:rPr>
          <w:sz w:val="28"/>
          <w:szCs w:val="28"/>
        </w:rPr>
        <w:t xml:space="preserve">Проведенные нами исследования указывают на точность и достоверность полученных статистических констант методом нормального распределения значений, в высокий уровень прогнозной способности дискриминантно-рейтинговой модели в целом, позволяет осуществлять прогноз финансовой устойчивости, платежеспособности и уровня собственных оборотных средств качественно, оперативно и без дополнительных трудовых и временных затрат. </w:t>
      </w:r>
    </w:p>
    <w:p w:rsidR="000B1CD9" w:rsidRPr="00BE32FF" w:rsidRDefault="000B1CD9" w:rsidP="00BE32FF">
      <w:pPr>
        <w:spacing w:line="360" w:lineRule="auto"/>
        <w:ind w:firstLine="709"/>
        <w:jc w:val="both"/>
        <w:rPr>
          <w:sz w:val="28"/>
          <w:szCs w:val="28"/>
        </w:rPr>
      </w:pPr>
    </w:p>
    <w:p w:rsidR="000B1CD9" w:rsidRPr="00917E08" w:rsidRDefault="000B1CD9" w:rsidP="00CC5D87">
      <w:pPr>
        <w:pStyle w:val="NoSpacing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17E08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0B1CD9" w:rsidRPr="00BE32FF" w:rsidRDefault="000B1CD9" w:rsidP="00CC5D87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Бочаров В.П.,  Рисин   И . Е .,  Трещевский   Ю . И . Политика социально-экономического развития региона: учебное пособие / под ред.  И . Е .  Рисина,  Ю . И .  Трещевского . – Воронеж: ИПБ ВГУ, 2007. – 187с.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Давыдова Г. В. Методика количественной оценки риска банкротства предприятий / Г. В. Давыдова, А. Ю. Беликов // Управление риском. – 1999. - № 3. – С. 13-20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Жминько, Н. С. Применение мультипликативного анализа и аддитивного рейтингового подхода в целях оценки финансового состояния организаций аграрного сектора /Н. С. Жминько// Экономический анализ: теория и практика. – № 8(263) – 2012 - с. 57-64.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Жминько, Н. С. Несостоятельность и банкротство как независимые экономические категории / Н. С. Жминько // Политематический сетевой электронный научный журнал Кубанского государственного аграрного университета. – № 92 (08) – 2013.– с. 1037 - 1057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Жминько, Н. С. Экспресс-метод оценки финансового состояния сельскохозяйственных организаций // Политематический сетевой электронный научный журнал Кубанского государственного аграрного университета. – № 91 (09) – 2013.– с. 1028 - 1046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Крившич Е.  Контрагент под колпаком: оценить финансовое состояние партнера //Консультант , 2009. №11.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Любушин Н.П. Экономический анализ: учебник для студентов вузов, обучающихся по специальностям «Бухгалтерский учет, анализ и аудит, и «Финансы и кредит». / Н.П.Любушин.- 3-е изд., перераб. и доп. М.: ЮНИТИ-ДАНА, 2010.- 575с.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>Савицкая Г.В. Анализ хозяйственной деятельности. Учебное пособие. М.: ИНФРА-М, 2004.</w:t>
      </w:r>
    </w:p>
    <w:p w:rsidR="000B1CD9" w:rsidRPr="00795EA8" w:rsidRDefault="000B1CD9" w:rsidP="00CC5D87">
      <w:pPr>
        <w:pStyle w:val="NoSpacing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EA8">
        <w:rPr>
          <w:rFonts w:ascii="Times New Roman" w:hAnsi="Times New Roman"/>
          <w:sz w:val="24"/>
          <w:szCs w:val="24"/>
        </w:rPr>
        <w:t xml:space="preserve">Шеремет А.Д., Сайфулин Р.С., Негашев Е.В. Методика финансового анализа: Учебное пособие. – М.: ИНФРА-М, 2005. </w:t>
      </w:r>
    </w:p>
    <w:p w:rsidR="000B1CD9" w:rsidRPr="005B4B74" w:rsidRDefault="000B1CD9" w:rsidP="00CC5D87">
      <w:pPr>
        <w:ind w:firstLine="709"/>
        <w:jc w:val="both"/>
        <w:rPr>
          <w:sz w:val="28"/>
          <w:szCs w:val="28"/>
        </w:rPr>
      </w:pPr>
    </w:p>
    <w:p w:rsidR="000B1CD9" w:rsidRPr="00917E08" w:rsidRDefault="000B1CD9" w:rsidP="00CC5D87">
      <w:pPr>
        <w:ind w:firstLine="709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0B1CD9" w:rsidRPr="00F1036A" w:rsidRDefault="000B1CD9" w:rsidP="00CC5D87">
      <w:pPr>
        <w:ind w:firstLine="709"/>
        <w:jc w:val="center"/>
        <w:rPr>
          <w:b/>
          <w:sz w:val="24"/>
          <w:szCs w:val="24"/>
          <w:lang w:val="en-US"/>
        </w:rPr>
      </w:pP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1.</w:t>
      </w:r>
      <w:r w:rsidRPr="00F1036A">
        <w:rPr>
          <w:sz w:val="24"/>
          <w:szCs w:val="24"/>
          <w:lang w:val="en-US"/>
        </w:rPr>
        <w:tab/>
        <w:t>Bocharov V.P.,  Risin   I . E .,  Treshhevskij   Ju . I . Politika social'no-jekonomicheskogo razvitija regiona: uchebnoe posobie / pod red.  I . E .  Risina,  Ju . I .  Treshhevskogo . – Voronezh: IPB VGU, 2007. – 187s.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2.</w:t>
      </w:r>
      <w:r w:rsidRPr="00F1036A">
        <w:rPr>
          <w:sz w:val="24"/>
          <w:szCs w:val="24"/>
          <w:lang w:val="en-US"/>
        </w:rPr>
        <w:tab/>
        <w:t>Davydova G. V. Metodika kolichestvennoj ocenki riska bankrotstva predprijatij / G. V. Davydova, A. Ju. Belikov // Upravlenie riskom. – 1999. - № 3. – S. 13-20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3.</w:t>
      </w:r>
      <w:r w:rsidRPr="00F1036A">
        <w:rPr>
          <w:sz w:val="24"/>
          <w:szCs w:val="24"/>
          <w:lang w:val="en-US"/>
        </w:rPr>
        <w:tab/>
        <w:t>Zhmin'ko, N. S. Primenenie mul'tiplikativnogo analiza i additivnogo rejtingovogo podhoda v celjah ocenki finansovogo sostojanija organizacij agrarnogo sektora /N. S. Zhmin'ko// Jekonomicheskij analiz: teorija i praktika. – № 8(263) – 2012 - s. 57-64.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4.</w:t>
      </w:r>
      <w:r w:rsidRPr="00F1036A">
        <w:rPr>
          <w:sz w:val="24"/>
          <w:szCs w:val="24"/>
          <w:lang w:val="en-US"/>
        </w:rPr>
        <w:tab/>
        <w:t>Zhmin'ko, N. S. Nesostojatel'nost' i bankrotstvo kak nezavisimye jekonomicheskie kategorii / N. S. Zhmin'ko // Politematicheskij setevoj jelektronnyj nauchnyj zhurnal Kubanskogo gosudarstvennogo agrarnogo universiteta. – № 92 (08) – 2013.– s. 1037 - 1057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5.</w:t>
      </w:r>
      <w:r w:rsidRPr="00F1036A">
        <w:rPr>
          <w:sz w:val="24"/>
          <w:szCs w:val="24"/>
          <w:lang w:val="en-US"/>
        </w:rPr>
        <w:tab/>
        <w:t>Zhmin'ko, N. S. Jekspress-metod ocenki finansovogo sostojanija sel'skohozjajstvennyh organizacij // Politematicheskij setevoj jelektronnyj nauchnyj zhurnal Kubanskogo gosudarstvennogo agrarnogo universiteta. – № 91 (09) – 2013.– s. 1028 - 1046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6.</w:t>
      </w:r>
      <w:r w:rsidRPr="00F1036A">
        <w:rPr>
          <w:sz w:val="24"/>
          <w:szCs w:val="24"/>
          <w:lang w:val="en-US"/>
        </w:rPr>
        <w:tab/>
        <w:t>Krivshich E.  Kontragent pod kolpakom: ocenit' finansovoe sostojanie partnera //Konsul'tant , 2009. №11.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7.</w:t>
      </w:r>
      <w:r w:rsidRPr="00F1036A">
        <w:rPr>
          <w:sz w:val="24"/>
          <w:szCs w:val="24"/>
          <w:lang w:val="en-US"/>
        </w:rPr>
        <w:tab/>
        <w:t>Ljubushin N.P. Jekonomicheskij analiz: uchebnik dlja studentov vuzov, obuchajushhihsja po special'nostjam «Buhgalterskij uchet, analiz i audit, i «Finansy i kredit». / N.P.Ljubushin.- 3-e izd., pererab. i dop. M.: JuNITI-DANA, 2010.- 575s.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8.</w:t>
      </w:r>
      <w:r w:rsidRPr="00F1036A">
        <w:rPr>
          <w:sz w:val="24"/>
          <w:szCs w:val="24"/>
          <w:lang w:val="en-US"/>
        </w:rPr>
        <w:tab/>
        <w:t>Savickaja G.V. Analiz hozjajstvennoj dejatel'nosti. Uchebnoe posobie. M.: INFRA-M, 2004.</w:t>
      </w:r>
    </w:p>
    <w:p w:rsidR="000B1CD9" w:rsidRPr="00F1036A" w:rsidRDefault="000B1CD9" w:rsidP="00F1036A">
      <w:pPr>
        <w:ind w:firstLine="709"/>
        <w:jc w:val="both"/>
        <w:rPr>
          <w:sz w:val="24"/>
          <w:szCs w:val="24"/>
          <w:lang w:val="en-US"/>
        </w:rPr>
      </w:pPr>
      <w:r w:rsidRPr="00F1036A">
        <w:rPr>
          <w:sz w:val="24"/>
          <w:szCs w:val="24"/>
          <w:lang w:val="en-US"/>
        </w:rPr>
        <w:t>9.</w:t>
      </w:r>
      <w:r w:rsidRPr="00F1036A">
        <w:rPr>
          <w:sz w:val="24"/>
          <w:szCs w:val="24"/>
          <w:lang w:val="en-US"/>
        </w:rPr>
        <w:tab/>
        <w:t>Sheremet A.D., Sajfulin R.S., Negashev E.V. Metodika finansovogo analiza: Uchebnoe posobie. – M.: INFRA-M, 2005.</w:t>
      </w:r>
    </w:p>
    <w:sectPr w:rsidR="000B1CD9" w:rsidRPr="00F1036A" w:rsidSect="00325C48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CD9" w:rsidRDefault="000B1CD9" w:rsidP="00795EA8">
      <w:r>
        <w:separator/>
      </w:r>
    </w:p>
  </w:endnote>
  <w:endnote w:type="continuationSeparator" w:id="1">
    <w:p w:rsidR="000B1CD9" w:rsidRDefault="000B1CD9" w:rsidP="00795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D9" w:rsidRDefault="000B1CD9">
    <w:pPr>
      <w:pStyle w:val="Footer"/>
    </w:pPr>
    <w:bookmarkStart w:id="5" w:name="OLE_LINK331"/>
    <w:bookmarkStart w:id="6" w:name="OLE_LINK332"/>
    <w:r w:rsidRPr="004D66D9">
      <w:rPr>
        <w:rFonts w:ascii="Times New Roman" w:hAnsi="Times New Roman"/>
        <w:sz w:val="24"/>
      </w:rPr>
      <w:t>http://ej.kubagro.ru/201</w:t>
    </w:r>
    <w:r w:rsidRPr="004D66D9">
      <w:rPr>
        <w:rFonts w:ascii="Times New Roman" w:hAnsi="Times New Roman"/>
        <w:sz w:val="24"/>
        <w:lang w:val="en-US"/>
      </w:rPr>
      <w:t>4</w:t>
    </w:r>
    <w:r w:rsidRPr="004D66D9">
      <w:rPr>
        <w:rFonts w:ascii="Times New Roman" w:hAnsi="Times New Roman"/>
        <w:sz w:val="24"/>
      </w:rPr>
      <w:t>/</w:t>
    </w:r>
    <w:r w:rsidRPr="004D66D9">
      <w:rPr>
        <w:rFonts w:ascii="Times New Roman" w:hAnsi="Times New Roman"/>
        <w:sz w:val="24"/>
        <w:lang w:val="en-US"/>
      </w:rPr>
      <w:t>03</w:t>
    </w:r>
    <w:r w:rsidRPr="004D66D9">
      <w:rPr>
        <w:rFonts w:ascii="Times New Roman" w:hAnsi="Times New Roman"/>
        <w:sz w:val="24"/>
      </w:rPr>
      <w:t>/pdf/</w:t>
    </w:r>
    <w:r>
      <w:rPr>
        <w:rFonts w:ascii="Times New Roman" w:hAnsi="Times New Roman"/>
        <w:sz w:val="24"/>
      </w:rPr>
      <w:t>7</w:t>
    </w:r>
    <w:r>
      <w:rPr>
        <w:rFonts w:ascii="Times New Roman" w:hAnsi="Times New Roman"/>
        <w:sz w:val="24"/>
        <w:lang w:val="en-US"/>
      </w:rPr>
      <w:t>7</w:t>
    </w:r>
    <w:r w:rsidRPr="004D66D9">
      <w:rPr>
        <w:rFonts w:ascii="Times New Roman" w:hAnsi="Times New Roman"/>
        <w:sz w:val="24"/>
      </w:rPr>
      <w:t>.pdf</w:t>
    </w:r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CD9" w:rsidRDefault="000B1CD9" w:rsidP="00795EA8">
      <w:r>
        <w:separator/>
      </w:r>
    </w:p>
  </w:footnote>
  <w:footnote w:type="continuationSeparator" w:id="1">
    <w:p w:rsidR="000B1CD9" w:rsidRDefault="000B1CD9" w:rsidP="00795E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D9" w:rsidRDefault="000B1CD9" w:rsidP="00D663E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1CD9" w:rsidRDefault="000B1CD9" w:rsidP="005B4B7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D9" w:rsidRPr="005B4B74" w:rsidRDefault="000B1CD9" w:rsidP="00D663E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B4B74">
      <w:rPr>
        <w:rStyle w:val="PageNumber"/>
        <w:rFonts w:ascii="Times New Roman" w:hAnsi="Times New Roman"/>
        <w:sz w:val="28"/>
        <w:szCs w:val="28"/>
      </w:rPr>
      <w:fldChar w:fldCharType="begin"/>
    </w:r>
    <w:r w:rsidRPr="005B4B7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B4B7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5B4B74">
      <w:rPr>
        <w:rStyle w:val="PageNumber"/>
        <w:rFonts w:ascii="Times New Roman" w:hAnsi="Times New Roman"/>
        <w:sz w:val="28"/>
        <w:szCs w:val="28"/>
      </w:rPr>
      <w:fldChar w:fldCharType="end"/>
    </w:r>
  </w:p>
  <w:p w:rsidR="000B1CD9" w:rsidRPr="005B4B74" w:rsidRDefault="000B1CD9" w:rsidP="005B4B74">
    <w:pPr>
      <w:pStyle w:val="Header"/>
      <w:ind w:right="360"/>
      <w:rPr>
        <w:lang w:val="en-US"/>
      </w:rPr>
    </w:pPr>
    <w:r w:rsidRPr="006E3C04">
      <w:rPr>
        <w:rFonts w:ascii="Times New Roman" w:hAnsi="Times New Roman"/>
        <w:sz w:val="24"/>
        <w:szCs w:val="24"/>
      </w:rPr>
      <w:t>Научный журнал КубГАУ, №9</w:t>
    </w:r>
    <w:r w:rsidRPr="00DB1E21">
      <w:rPr>
        <w:rFonts w:ascii="Times New Roman" w:hAnsi="Times New Roman"/>
        <w:sz w:val="24"/>
        <w:szCs w:val="24"/>
      </w:rPr>
      <w:t>7</w:t>
    </w:r>
    <w:r w:rsidRPr="006E3C04">
      <w:rPr>
        <w:rFonts w:ascii="Times New Roman" w:hAnsi="Times New Roman"/>
        <w:sz w:val="24"/>
        <w:szCs w:val="24"/>
      </w:rPr>
      <w:t>(</w:t>
    </w:r>
    <w:r w:rsidRPr="00DB1E21">
      <w:rPr>
        <w:rFonts w:ascii="Times New Roman" w:hAnsi="Times New Roman"/>
        <w:sz w:val="24"/>
        <w:szCs w:val="24"/>
      </w:rPr>
      <w:t>03</w:t>
    </w:r>
    <w:r w:rsidRPr="006E3C04">
      <w:rPr>
        <w:rFonts w:ascii="Times New Roman" w:hAnsi="Times New Roman"/>
        <w:sz w:val="24"/>
        <w:szCs w:val="24"/>
      </w:rPr>
      <w:t>), 201</w:t>
    </w:r>
    <w:r w:rsidRPr="00DB1E21">
      <w:rPr>
        <w:rFonts w:ascii="Times New Roman" w:hAnsi="Times New Roman"/>
        <w:sz w:val="24"/>
        <w:szCs w:val="24"/>
      </w:rPr>
      <w:t>4</w:t>
    </w:r>
    <w:r w:rsidRPr="006E3C04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4B91"/>
    <w:multiLevelType w:val="hybridMultilevel"/>
    <w:tmpl w:val="6396D8A4"/>
    <w:lvl w:ilvl="0" w:tplc="B5FCFD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17045"/>
    <w:multiLevelType w:val="multilevel"/>
    <w:tmpl w:val="A3C681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123F28BD"/>
    <w:multiLevelType w:val="hybridMultilevel"/>
    <w:tmpl w:val="26E43D1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351508C"/>
    <w:multiLevelType w:val="multilevel"/>
    <w:tmpl w:val="7602844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 w:hint="default"/>
      </w:rPr>
    </w:lvl>
  </w:abstractNum>
  <w:abstractNum w:abstractNumId="4">
    <w:nsid w:val="15B85CF8"/>
    <w:multiLevelType w:val="hybridMultilevel"/>
    <w:tmpl w:val="E3E4461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AAE37AF"/>
    <w:multiLevelType w:val="hybridMultilevel"/>
    <w:tmpl w:val="F1804D40"/>
    <w:lvl w:ilvl="0" w:tplc="9D5424C8">
      <w:start w:val="1"/>
      <w:numFmt w:val="bullet"/>
      <w:lvlText w:val=""/>
      <w:lvlJc w:val="left"/>
      <w:pPr>
        <w:tabs>
          <w:tab w:val="num" w:pos="1659"/>
        </w:tabs>
        <w:ind w:left="16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1BD31F14"/>
    <w:multiLevelType w:val="hybridMultilevel"/>
    <w:tmpl w:val="F9E6B75C"/>
    <w:lvl w:ilvl="0" w:tplc="4A040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EF72F7B"/>
    <w:multiLevelType w:val="hybridMultilevel"/>
    <w:tmpl w:val="9DCE6AB8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373D1B"/>
    <w:multiLevelType w:val="hybridMultilevel"/>
    <w:tmpl w:val="10E235E4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FD2ADF"/>
    <w:multiLevelType w:val="hybridMultilevel"/>
    <w:tmpl w:val="AA6A3746"/>
    <w:lvl w:ilvl="0" w:tplc="9D542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56105"/>
    <w:multiLevelType w:val="hybridMultilevel"/>
    <w:tmpl w:val="824E7D26"/>
    <w:lvl w:ilvl="0" w:tplc="076C03F4">
      <w:start w:val="1"/>
      <w:numFmt w:val="russianLow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6580E21"/>
    <w:multiLevelType w:val="hybridMultilevel"/>
    <w:tmpl w:val="EE8C2D42"/>
    <w:lvl w:ilvl="0" w:tplc="0354FF5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2">
    <w:nsid w:val="37F56827"/>
    <w:multiLevelType w:val="multilevel"/>
    <w:tmpl w:val="BF20A7B6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 w:hint="default"/>
      </w:rPr>
    </w:lvl>
  </w:abstractNum>
  <w:abstractNum w:abstractNumId="13">
    <w:nsid w:val="3D2E5E73"/>
    <w:multiLevelType w:val="hybridMultilevel"/>
    <w:tmpl w:val="5C405B2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362F2B"/>
    <w:multiLevelType w:val="hybridMultilevel"/>
    <w:tmpl w:val="95E61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4A249F"/>
    <w:multiLevelType w:val="hybridMultilevel"/>
    <w:tmpl w:val="0054168E"/>
    <w:lvl w:ilvl="0" w:tplc="79644DC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F00599"/>
    <w:multiLevelType w:val="hybridMultilevel"/>
    <w:tmpl w:val="C2AA8C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EF12FC"/>
    <w:multiLevelType w:val="multilevel"/>
    <w:tmpl w:val="FDC0426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 w:hint="default"/>
      </w:rPr>
    </w:lvl>
  </w:abstractNum>
  <w:abstractNum w:abstractNumId="18">
    <w:nsid w:val="4A2F27ED"/>
    <w:multiLevelType w:val="hybridMultilevel"/>
    <w:tmpl w:val="BE322AD6"/>
    <w:lvl w:ilvl="0" w:tplc="60D64B3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4C495732"/>
    <w:multiLevelType w:val="multilevel"/>
    <w:tmpl w:val="30A82C6C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56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3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1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192" w:hanging="2160"/>
      </w:pPr>
      <w:rPr>
        <w:rFonts w:cs="Times New Roman" w:hint="default"/>
      </w:rPr>
    </w:lvl>
  </w:abstractNum>
  <w:abstractNum w:abstractNumId="20">
    <w:nsid w:val="4EFC4F1B"/>
    <w:multiLevelType w:val="hybridMultilevel"/>
    <w:tmpl w:val="264A5182"/>
    <w:lvl w:ilvl="0" w:tplc="E24032E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121343"/>
    <w:multiLevelType w:val="hybridMultilevel"/>
    <w:tmpl w:val="70B08C38"/>
    <w:lvl w:ilvl="0" w:tplc="B1663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3A7597"/>
    <w:multiLevelType w:val="multilevel"/>
    <w:tmpl w:val="CA780AB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3">
    <w:nsid w:val="565428FA"/>
    <w:multiLevelType w:val="hybridMultilevel"/>
    <w:tmpl w:val="598A775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B60490D"/>
    <w:multiLevelType w:val="hybridMultilevel"/>
    <w:tmpl w:val="79EA7B04"/>
    <w:lvl w:ilvl="0" w:tplc="9D5424C8">
      <w:start w:val="1"/>
      <w:numFmt w:val="bullet"/>
      <w:lvlText w:val=""/>
      <w:lvlJc w:val="left"/>
      <w:pPr>
        <w:ind w:left="23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25">
    <w:nsid w:val="5D251228"/>
    <w:multiLevelType w:val="hybridMultilevel"/>
    <w:tmpl w:val="0ED2E376"/>
    <w:lvl w:ilvl="0" w:tplc="EF8465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>
    <w:nsid w:val="5D264DA2"/>
    <w:multiLevelType w:val="hybridMultilevel"/>
    <w:tmpl w:val="2FF8ABB4"/>
    <w:lvl w:ilvl="0" w:tplc="C228ECD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642063EE"/>
    <w:multiLevelType w:val="hybridMultilevel"/>
    <w:tmpl w:val="C2862C2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0917FF"/>
    <w:multiLevelType w:val="hybridMultilevel"/>
    <w:tmpl w:val="9CFAB4EA"/>
    <w:lvl w:ilvl="0" w:tplc="6672C4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6AF4678B"/>
    <w:multiLevelType w:val="hybridMultilevel"/>
    <w:tmpl w:val="9CFAB4EA"/>
    <w:lvl w:ilvl="0" w:tplc="6672C4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6D6A53F3"/>
    <w:multiLevelType w:val="hybridMultilevel"/>
    <w:tmpl w:val="BBD45E4C"/>
    <w:lvl w:ilvl="0" w:tplc="9D5424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48C6311"/>
    <w:multiLevelType w:val="hybridMultilevel"/>
    <w:tmpl w:val="8DFEEE02"/>
    <w:lvl w:ilvl="0" w:tplc="B16632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4018FC"/>
    <w:multiLevelType w:val="hybridMultilevel"/>
    <w:tmpl w:val="664029E8"/>
    <w:lvl w:ilvl="0" w:tplc="7166D78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C91DDB"/>
    <w:multiLevelType w:val="hybridMultilevel"/>
    <w:tmpl w:val="938286D6"/>
    <w:lvl w:ilvl="0" w:tplc="80E2EF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BBC2841"/>
    <w:multiLevelType w:val="multilevel"/>
    <w:tmpl w:val="121E5A2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5">
    <w:nsid w:val="7D0F6F9C"/>
    <w:multiLevelType w:val="hybridMultilevel"/>
    <w:tmpl w:val="9A3686E0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7"/>
  </w:num>
  <w:num w:numId="5">
    <w:abstractNumId w:val="14"/>
  </w:num>
  <w:num w:numId="6">
    <w:abstractNumId w:val="5"/>
  </w:num>
  <w:num w:numId="7">
    <w:abstractNumId w:val="30"/>
  </w:num>
  <w:num w:numId="8">
    <w:abstractNumId w:val="9"/>
  </w:num>
  <w:num w:numId="9">
    <w:abstractNumId w:val="18"/>
  </w:num>
  <w:num w:numId="10">
    <w:abstractNumId w:val="15"/>
  </w:num>
  <w:num w:numId="11">
    <w:abstractNumId w:val="6"/>
  </w:num>
  <w:num w:numId="12">
    <w:abstractNumId w:val="21"/>
  </w:num>
  <w:num w:numId="13">
    <w:abstractNumId w:val="31"/>
  </w:num>
  <w:num w:numId="14">
    <w:abstractNumId w:val="20"/>
  </w:num>
  <w:num w:numId="15">
    <w:abstractNumId w:val="34"/>
  </w:num>
  <w:num w:numId="16">
    <w:abstractNumId w:val="22"/>
  </w:num>
  <w:num w:numId="17">
    <w:abstractNumId w:val="28"/>
  </w:num>
  <w:num w:numId="18">
    <w:abstractNumId w:val="25"/>
  </w:num>
  <w:num w:numId="19">
    <w:abstractNumId w:val="26"/>
  </w:num>
  <w:num w:numId="20">
    <w:abstractNumId w:val="29"/>
  </w:num>
  <w:num w:numId="21">
    <w:abstractNumId w:val="35"/>
  </w:num>
  <w:num w:numId="22">
    <w:abstractNumId w:val="24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4"/>
  </w:num>
  <w:num w:numId="28">
    <w:abstractNumId w:val="23"/>
  </w:num>
  <w:num w:numId="29">
    <w:abstractNumId w:val="32"/>
  </w:num>
  <w:num w:numId="30">
    <w:abstractNumId w:val="8"/>
  </w:num>
  <w:num w:numId="31">
    <w:abstractNumId w:val="16"/>
  </w:num>
  <w:num w:numId="32">
    <w:abstractNumId w:val="33"/>
  </w:num>
  <w:num w:numId="33">
    <w:abstractNumId w:val="0"/>
  </w:num>
  <w:num w:numId="34">
    <w:abstractNumId w:val="11"/>
  </w:num>
  <w:num w:numId="35">
    <w:abstractNumId w:val="13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73F"/>
    <w:rsid w:val="000051FA"/>
    <w:rsid w:val="00010276"/>
    <w:rsid w:val="00027176"/>
    <w:rsid w:val="00027652"/>
    <w:rsid w:val="0006729A"/>
    <w:rsid w:val="000B1CD9"/>
    <w:rsid w:val="00157272"/>
    <w:rsid w:val="00212DB4"/>
    <w:rsid w:val="00272950"/>
    <w:rsid w:val="002A2B3B"/>
    <w:rsid w:val="002C10D8"/>
    <w:rsid w:val="00325C48"/>
    <w:rsid w:val="00374E81"/>
    <w:rsid w:val="00432804"/>
    <w:rsid w:val="00483E97"/>
    <w:rsid w:val="004D66D9"/>
    <w:rsid w:val="004E01DD"/>
    <w:rsid w:val="00575103"/>
    <w:rsid w:val="005B4B74"/>
    <w:rsid w:val="005D2338"/>
    <w:rsid w:val="005E4663"/>
    <w:rsid w:val="006A09D7"/>
    <w:rsid w:val="006B073F"/>
    <w:rsid w:val="006E3C04"/>
    <w:rsid w:val="00791AFC"/>
    <w:rsid w:val="00795EA8"/>
    <w:rsid w:val="00917E08"/>
    <w:rsid w:val="009404AF"/>
    <w:rsid w:val="0095745D"/>
    <w:rsid w:val="009A46D0"/>
    <w:rsid w:val="00A518E1"/>
    <w:rsid w:val="00A61719"/>
    <w:rsid w:val="00AA00D1"/>
    <w:rsid w:val="00B152B2"/>
    <w:rsid w:val="00B773FD"/>
    <w:rsid w:val="00BC3D6F"/>
    <w:rsid w:val="00BE32FF"/>
    <w:rsid w:val="00CC5D87"/>
    <w:rsid w:val="00D663E2"/>
    <w:rsid w:val="00DB1E21"/>
    <w:rsid w:val="00F1036A"/>
    <w:rsid w:val="00F40F7C"/>
    <w:rsid w:val="00FB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6729A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06729A"/>
    <w:pPr>
      <w:jc w:val="center"/>
    </w:pPr>
    <w:rPr>
      <w:rFonts w:ascii="Calibri" w:hAnsi="Calibri"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06729A"/>
    <w:rPr>
      <w:rFonts w:ascii="Calibri" w:eastAsia="Times New Roman" w:hAnsi="Calibri" w:cs="Times New Roman"/>
      <w:sz w:val="28"/>
      <w:lang w:eastAsia="ru-RU"/>
    </w:rPr>
  </w:style>
  <w:style w:type="paragraph" w:styleId="NoSpacing">
    <w:name w:val="No Spacing"/>
    <w:link w:val="NoSpacingChar1"/>
    <w:uiPriority w:val="99"/>
    <w:qFormat/>
    <w:rsid w:val="006B073F"/>
    <w:rPr>
      <w:rFonts w:ascii="Calibri" w:eastAsia="Times New Roman" w:hAnsi="Calibri"/>
    </w:rPr>
  </w:style>
  <w:style w:type="character" w:customStyle="1" w:styleId="NoSpacingChar1">
    <w:name w:val="No Spacing Char1"/>
    <w:link w:val="NoSpacing"/>
    <w:uiPriority w:val="99"/>
    <w:locked/>
    <w:rsid w:val="006B073F"/>
    <w:rPr>
      <w:rFonts w:ascii="Calibri" w:hAnsi="Calibri"/>
      <w:sz w:val="22"/>
      <w:lang w:eastAsia="ru-RU"/>
    </w:rPr>
  </w:style>
  <w:style w:type="paragraph" w:styleId="NormalWeb">
    <w:name w:val="Normal (Web)"/>
    <w:basedOn w:val="Normal"/>
    <w:uiPriority w:val="99"/>
    <w:rsid w:val="00BE32F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E32FF"/>
    <w:pPr>
      <w:tabs>
        <w:tab w:val="center" w:pos="4677"/>
        <w:tab w:val="right" w:pos="9355"/>
      </w:tabs>
    </w:pPr>
    <w:rPr>
      <w:rFonts w:ascii="Calibri" w:eastAsia="Times New Roman" w:hAnsi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32FF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BE32FF"/>
    <w:pPr>
      <w:tabs>
        <w:tab w:val="center" w:pos="4677"/>
        <w:tab w:val="right" w:pos="9355"/>
      </w:tabs>
    </w:pPr>
    <w:rPr>
      <w:rFonts w:ascii="Calibri" w:eastAsia="Times New Roman" w:hAnsi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32FF"/>
    <w:rPr>
      <w:rFonts w:ascii="Calibri" w:hAnsi="Calibri" w:cs="Times New Roman"/>
      <w:lang w:eastAsia="ru-RU"/>
    </w:rPr>
  </w:style>
  <w:style w:type="paragraph" w:customStyle="1" w:styleId="1">
    <w:name w:val="Абзац списка1"/>
    <w:basedOn w:val="Normal"/>
    <w:uiPriority w:val="99"/>
    <w:rsid w:val="00BE32FF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0">
    <w:name w:val="Без интервала1"/>
    <w:link w:val="NoSpacingChar"/>
    <w:uiPriority w:val="99"/>
    <w:rsid w:val="00BE32FF"/>
    <w:rPr>
      <w:rFonts w:ascii="Calibri" w:eastAsia="Times New Roman" w:hAnsi="Calibri"/>
      <w:szCs w:val="20"/>
    </w:rPr>
  </w:style>
  <w:style w:type="character" w:customStyle="1" w:styleId="NoSpacingChar">
    <w:name w:val="No Spacing Char"/>
    <w:link w:val="10"/>
    <w:uiPriority w:val="99"/>
    <w:locked/>
    <w:rsid w:val="00BE32FF"/>
    <w:rPr>
      <w:rFonts w:ascii="Calibri" w:hAnsi="Calibri"/>
      <w:sz w:val="22"/>
    </w:rPr>
  </w:style>
  <w:style w:type="character" w:customStyle="1" w:styleId="FontStyle75">
    <w:name w:val="Font Style75"/>
    <w:uiPriority w:val="99"/>
    <w:rsid w:val="00BE32FF"/>
    <w:rPr>
      <w:rFonts w:ascii="Times New Roman" w:hAnsi="Times New Roman"/>
      <w:sz w:val="22"/>
    </w:rPr>
  </w:style>
  <w:style w:type="character" w:customStyle="1" w:styleId="FontStyle47">
    <w:name w:val="Font Style47"/>
    <w:uiPriority w:val="99"/>
    <w:rsid w:val="00BE32FF"/>
    <w:rPr>
      <w:rFonts w:ascii="Times New Roman" w:hAnsi="Times New Roman"/>
      <w:b/>
      <w:sz w:val="22"/>
    </w:rPr>
  </w:style>
  <w:style w:type="character" w:customStyle="1" w:styleId="FontStyle53">
    <w:name w:val="Font Style53"/>
    <w:uiPriority w:val="99"/>
    <w:rsid w:val="00BE32FF"/>
    <w:rPr>
      <w:rFonts w:ascii="Cambria" w:hAnsi="Cambria"/>
      <w:i/>
      <w:sz w:val="30"/>
    </w:rPr>
  </w:style>
  <w:style w:type="character" w:customStyle="1" w:styleId="FontStyle76">
    <w:name w:val="Font Style76"/>
    <w:uiPriority w:val="99"/>
    <w:rsid w:val="00BE32FF"/>
    <w:rPr>
      <w:rFonts w:ascii="Georgia" w:hAnsi="Georgia"/>
      <w:sz w:val="20"/>
    </w:rPr>
  </w:style>
  <w:style w:type="character" w:customStyle="1" w:styleId="FontStyle78">
    <w:name w:val="Font Style78"/>
    <w:uiPriority w:val="99"/>
    <w:rsid w:val="00BE32FF"/>
    <w:rPr>
      <w:rFonts w:ascii="Times New Roman" w:hAnsi="Times New Roman"/>
      <w:b/>
      <w:i/>
      <w:sz w:val="22"/>
    </w:rPr>
  </w:style>
  <w:style w:type="paragraph" w:styleId="Caption">
    <w:name w:val="caption"/>
    <w:basedOn w:val="Normal"/>
    <w:next w:val="Normal"/>
    <w:uiPriority w:val="99"/>
    <w:qFormat/>
    <w:rsid w:val="00BE32FF"/>
    <w:pPr>
      <w:spacing w:after="200" w:line="276" w:lineRule="auto"/>
    </w:pPr>
    <w:rPr>
      <w:rFonts w:ascii="Calibri" w:eastAsia="Times New Roman" w:hAnsi="Calibri"/>
      <w:b/>
      <w:bCs/>
    </w:rPr>
  </w:style>
  <w:style w:type="character" w:customStyle="1" w:styleId="BalloonTextChar">
    <w:name w:val="Balloon Text Char"/>
    <w:link w:val="BalloonText"/>
    <w:uiPriority w:val="99"/>
    <w:semiHidden/>
    <w:locked/>
    <w:rsid w:val="00BE32FF"/>
    <w:rPr>
      <w:rFonts w:ascii="Tahoma" w:hAnsi="Tahoma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E32FF"/>
    <w:rPr>
      <w:rFonts w:ascii="Tahoma" w:eastAsia="Times New Roman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E6841"/>
    <w:rPr>
      <w:sz w:val="0"/>
      <w:szCs w:val="0"/>
    </w:rPr>
  </w:style>
  <w:style w:type="character" w:customStyle="1" w:styleId="11">
    <w:name w:val="Текст выноски Знак1"/>
    <w:basedOn w:val="DefaultParagraphFont"/>
    <w:uiPriority w:val="99"/>
    <w:semiHidden/>
    <w:rsid w:val="00BE32FF"/>
    <w:rPr>
      <w:rFonts w:ascii="Tahoma" w:hAnsi="Tahoma" w:cs="Tahoma"/>
      <w:sz w:val="16"/>
      <w:szCs w:val="16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32FF"/>
    <w:rPr>
      <w:rFonts w:ascii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BE32FF"/>
    <w:rPr>
      <w:rFonts w:ascii="Calibri" w:eastAsia="Times New Roman" w:hAnsi="Calibri"/>
      <w:lang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4E6841"/>
    <w:rPr>
      <w:sz w:val="20"/>
      <w:szCs w:val="20"/>
    </w:rPr>
  </w:style>
  <w:style w:type="character" w:customStyle="1" w:styleId="12">
    <w:name w:val="Текст сноски Знак1"/>
    <w:basedOn w:val="DefaultParagraphFont"/>
    <w:uiPriority w:val="99"/>
    <w:semiHidden/>
    <w:rsid w:val="00BE32FF"/>
    <w:rPr>
      <w:rFonts w:cs="Times New Roman"/>
      <w:lang w:eastAsia="ru-RU"/>
    </w:rPr>
  </w:style>
  <w:style w:type="character" w:styleId="Hyperlink">
    <w:name w:val="Hyperlink"/>
    <w:basedOn w:val="DefaultParagraphFont"/>
    <w:uiPriority w:val="99"/>
    <w:rsid w:val="00BE32F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BE32FF"/>
    <w:rPr>
      <w:rFonts w:cs="Times New Roman"/>
      <w:i/>
    </w:rPr>
  </w:style>
  <w:style w:type="character" w:customStyle="1" w:styleId="apple-converted-space">
    <w:name w:val="apple-converted-space"/>
    <w:uiPriority w:val="99"/>
    <w:rsid w:val="00BE32FF"/>
  </w:style>
  <w:style w:type="character" w:customStyle="1" w:styleId="citation">
    <w:name w:val="citation"/>
    <w:uiPriority w:val="99"/>
    <w:rsid w:val="00BE32FF"/>
  </w:style>
  <w:style w:type="paragraph" w:customStyle="1" w:styleId="Style15">
    <w:name w:val="Style15"/>
    <w:basedOn w:val="Normal"/>
    <w:uiPriority w:val="99"/>
    <w:rsid w:val="00BE32FF"/>
    <w:pPr>
      <w:widowControl w:val="0"/>
      <w:autoSpaceDE w:val="0"/>
      <w:autoSpaceDN w:val="0"/>
      <w:adjustRightInd w:val="0"/>
      <w:spacing w:line="485" w:lineRule="exact"/>
      <w:ind w:hanging="413"/>
    </w:pPr>
    <w:rPr>
      <w:rFonts w:eastAsia="Times New Roman"/>
      <w:sz w:val="24"/>
      <w:szCs w:val="24"/>
    </w:rPr>
  </w:style>
  <w:style w:type="character" w:customStyle="1" w:styleId="FontStyle70">
    <w:name w:val="Font Style70"/>
    <w:uiPriority w:val="99"/>
    <w:rsid w:val="00BE32FF"/>
    <w:rPr>
      <w:rFonts w:ascii="Times New Roman" w:hAnsi="Times New Roman"/>
      <w:sz w:val="26"/>
    </w:rPr>
  </w:style>
  <w:style w:type="paragraph" w:customStyle="1" w:styleId="13">
    <w:name w:val="Обычный1"/>
    <w:uiPriority w:val="99"/>
    <w:rsid w:val="00BE32FF"/>
    <w:pPr>
      <w:widowControl w:val="0"/>
      <w:spacing w:line="360" w:lineRule="auto"/>
      <w:ind w:firstLine="720"/>
      <w:jc w:val="both"/>
    </w:pPr>
    <w:rPr>
      <w:rFonts w:eastAsia="Times New Roman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E32FF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E32FF"/>
    <w:rPr>
      <w:rFonts w:eastAsia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BE32FF"/>
    <w:rPr>
      <w:rFonts w:cs="Times New Roman"/>
      <w:b/>
    </w:rPr>
  </w:style>
  <w:style w:type="character" w:customStyle="1" w:styleId="apple-style-span">
    <w:name w:val="apple-style-span"/>
    <w:uiPriority w:val="99"/>
    <w:rsid w:val="00BE32FF"/>
  </w:style>
  <w:style w:type="paragraph" w:customStyle="1" w:styleId="leftauthor">
    <w:name w:val="left_author"/>
    <w:basedOn w:val="Normal"/>
    <w:uiPriority w:val="99"/>
    <w:rsid w:val="00BE32FF"/>
    <w:pPr>
      <w:spacing w:after="168"/>
    </w:pPr>
    <w:rPr>
      <w:rFonts w:eastAsia="Times New Roman"/>
      <w:b/>
      <w:bCs/>
      <w:color w:val="C5C5C5"/>
      <w:sz w:val="24"/>
      <w:szCs w:val="24"/>
    </w:rPr>
  </w:style>
  <w:style w:type="paragraph" w:styleId="ListParagraph">
    <w:name w:val="List Paragraph"/>
    <w:basedOn w:val="Normal"/>
    <w:uiPriority w:val="99"/>
    <w:qFormat/>
    <w:rsid w:val="00BE32FF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BE32FF"/>
    <w:rPr>
      <w:rFonts w:ascii="Times New Roman" w:hAnsi="Times New Roman"/>
      <w:sz w:val="28"/>
    </w:rPr>
  </w:style>
  <w:style w:type="character" w:styleId="PlaceholderText">
    <w:name w:val="Placeholder Text"/>
    <w:basedOn w:val="DefaultParagraphFont"/>
    <w:uiPriority w:val="99"/>
    <w:semiHidden/>
    <w:rsid w:val="00BE32FF"/>
    <w:rPr>
      <w:rFonts w:cs="Times New Roman"/>
      <w:color w:val="808080"/>
    </w:rPr>
  </w:style>
  <w:style w:type="paragraph" w:customStyle="1" w:styleId="ConsNormal">
    <w:name w:val="ConsNormal"/>
    <w:uiPriority w:val="99"/>
    <w:rsid w:val="00BE32F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BE32F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PageNumber">
    <w:name w:val="page number"/>
    <w:basedOn w:val="DefaultParagraphFont"/>
    <w:uiPriority w:val="99"/>
    <w:rsid w:val="00BE32F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BE32FF"/>
    <w:pPr>
      <w:shd w:val="clear" w:color="auto" w:fill="FFFFFF"/>
      <w:spacing w:line="360" w:lineRule="auto"/>
      <w:ind w:left="6" w:firstLine="851"/>
      <w:jc w:val="both"/>
    </w:pPr>
    <w:rPr>
      <w:rFonts w:eastAsia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E32FF"/>
    <w:rPr>
      <w:rFonts w:eastAsia="Times New Roman" w:cs="Times New Roman"/>
      <w:sz w:val="24"/>
      <w:szCs w:val="24"/>
      <w:shd w:val="clear" w:color="auto" w:fill="FFFFFF"/>
      <w:lang w:eastAsia="ru-RU"/>
    </w:rPr>
  </w:style>
  <w:style w:type="table" w:styleId="TableGrid">
    <w:name w:val="Table Grid"/>
    <w:basedOn w:val="TableNormal"/>
    <w:uiPriority w:val="99"/>
    <w:rsid w:val="00BE32FF"/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uiPriority w:val="99"/>
    <w:semiHidden/>
    <w:rsid w:val="00BE32F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0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</TotalTime>
  <Pages>13</Pages>
  <Words>3191</Words>
  <Characters>18193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2014-02-05T13:00:00Z</dcterms:created>
  <dcterms:modified xsi:type="dcterms:W3CDTF">2014-03-17T15:29:00Z</dcterms:modified>
</cp:coreProperties>
</file>