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83206B" w:rsidRPr="005525F2" w:rsidTr="007608DD">
        <w:tc>
          <w:tcPr>
            <w:tcW w:w="2500" w:type="pct"/>
          </w:tcPr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5F2">
              <w:rPr>
                <w:rFonts w:ascii="Times New Roman" w:hAnsi="Times New Roman"/>
                <w:sz w:val="20"/>
                <w:szCs w:val="20"/>
              </w:rPr>
              <w:t xml:space="preserve">УДК 636.4.084.52 </w:t>
            </w:r>
          </w:p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5F2">
              <w:rPr>
                <w:rFonts w:ascii="Times New Roman" w:hAnsi="Times New Roman"/>
                <w:sz w:val="20"/>
                <w:szCs w:val="20"/>
              </w:rPr>
              <w:t>UDC 636.4.084.52</w:t>
            </w:r>
          </w:p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206B" w:rsidRPr="005525F2" w:rsidTr="007608DD">
        <w:tc>
          <w:tcPr>
            <w:tcW w:w="2500" w:type="pct"/>
          </w:tcPr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5F2"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  <w:t>СПОСО</w:t>
            </w:r>
            <w:bookmarkStart w:id="0" w:name="_GoBack"/>
            <w:bookmarkEnd w:id="0"/>
            <w:r w:rsidRPr="005525F2">
              <w:rPr>
                <w:rFonts w:ascii="Times New Roman" w:eastAsia="TimesNewRoman,Bold" w:hAnsi="Times New Roman"/>
                <w:b/>
                <w:bCs/>
                <w:sz w:val="20"/>
                <w:szCs w:val="20"/>
              </w:rPr>
              <w:t>Б ОПТИМИЗАЦИИ ПРОЦЕССОВ ПИЩЕВАРИТЕЛЬНОГО ОБМЕНА БРОЙЛЕРОВ ПРИ СНИЖЕНИИ РИСКА АФЛАТОКСИКОЗА</w:t>
            </w:r>
          </w:p>
        </w:tc>
        <w:tc>
          <w:tcPr>
            <w:tcW w:w="2500" w:type="pct"/>
          </w:tcPr>
          <w:p w:rsidR="0083206B" w:rsidRPr="005525F2" w:rsidRDefault="0083206B" w:rsidP="00552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525F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 METHOD FOR OPTIMIZING DIGESTIVE PROCESSES EXCHANGE BROILER WHILE REDUCING THE RISK AFLATOXICOSIS</w:t>
            </w:r>
          </w:p>
        </w:tc>
      </w:tr>
      <w:tr w:rsidR="0083206B" w:rsidRPr="00AF3CBF" w:rsidTr="007608DD">
        <w:tc>
          <w:tcPr>
            <w:tcW w:w="2500" w:type="pct"/>
          </w:tcPr>
          <w:p w:rsidR="0083206B" w:rsidRPr="00AF3CBF" w:rsidRDefault="0083206B" w:rsidP="005525F2">
            <w:pPr>
              <w:tabs>
                <w:tab w:val="left" w:pos="9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3206B" w:rsidRPr="00AF3CBF" w:rsidRDefault="0083206B" w:rsidP="005525F2">
            <w:pPr>
              <w:tabs>
                <w:tab w:val="left" w:pos="92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Emphasis"/>
                <w:rFonts w:ascii="Times New Roman" w:hAnsi="Times New Roman"/>
                <w:i w:val="0"/>
                <w:caps/>
                <w:sz w:val="20"/>
                <w:szCs w:val="20"/>
              </w:rPr>
            </w:pPr>
            <w:r w:rsidRPr="00AF3CBF">
              <w:rPr>
                <w:rFonts w:ascii="Times New Roman" w:hAnsi="Times New Roman"/>
                <w:sz w:val="20"/>
                <w:szCs w:val="20"/>
              </w:rPr>
              <w:t>Темираев Рустем Борисович</w:t>
            </w:r>
          </w:p>
          <w:p w:rsidR="0083206B" w:rsidRPr="00AF3CBF" w:rsidRDefault="0083206B" w:rsidP="005525F2">
            <w:pPr>
              <w:tabs>
                <w:tab w:val="left" w:pos="9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</w:pPr>
            <w:r w:rsidRPr="00AF3CBF">
              <w:rPr>
                <w:rFonts w:ascii="Times New Roman" w:hAnsi="Times New Roman"/>
                <w:sz w:val="20"/>
                <w:szCs w:val="20"/>
              </w:rPr>
              <w:t>д.с.-х.н., профессор</w:t>
            </w:r>
          </w:p>
        </w:tc>
        <w:tc>
          <w:tcPr>
            <w:tcW w:w="2500" w:type="pct"/>
          </w:tcPr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Temiraev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stem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Borisovich</w:t>
            </w:r>
          </w:p>
          <w:p w:rsidR="0083206B" w:rsidRPr="00AF3CBF" w:rsidRDefault="0083206B" w:rsidP="00552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Dr.Sci.Agr.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professor</w:t>
            </w:r>
          </w:p>
        </w:tc>
      </w:tr>
      <w:tr w:rsidR="0083206B" w:rsidRPr="00AF3CBF" w:rsidTr="007608DD">
        <w:tc>
          <w:tcPr>
            <w:tcW w:w="2500" w:type="pct"/>
          </w:tcPr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AF3CBF">
              <w:rPr>
                <w:rFonts w:ascii="Times New Roman" w:hAnsi="Times New Roman"/>
                <w:sz w:val="20"/>
                <w:szCs w:val="20"/>
              </w:rPr>
              <w:t>Баева Анжелика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F3CBF">
              <w:rPr>
                <w:rFonts w:ascii="Times New Roman" w:hAnsi="Times New Roman"/>
                <w:sz w:val="20"/>
                <w:szCs w:val="20"/>
              </w:rPr>
              <w:t>Ахсарбековна</w:t>
            </w: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3CBF">
              <w:rPr>
                <w:rFonts w:ascii="Times New Roman" w:hAnsi="Times New Roman"/>
                <w:sz w:val="20"/>
                <w:szCs w:val="20"/>
              </w:rPr>
              <w:t>д.с.-х.н., доцент</w:t>
            </w:r>
          </w:p>
        </w:tc>
        <w:tc>
          <w:tcPr>
            <w:tcW w:w="2500" w:type="pct"/>
          </w:tcPr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Baeva</w:t>
            </w:r>
            <w:r w:rsidRPr="00AF3C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Anjelika</w:t>
            </w:r>
            <w:r w:rsidRPr="00AF3C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Akhsarbekovna</w:t>
            </w:r>
            <w:r w:rsidRPr="00AF3CB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Agr.,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83206B" w:rsidRPr="00AF3CBF" w:rsidTr="007608DD">
        <w:tc>
          <w:tcPr>
            <w:tcW w:w="2500" w:type="pct"/>
          </w:tcPr>
          <w:p w:rsidR="0083206B" w:rsidRPr="00AF3CBF" w:rsidRDefault="0083206B" w:rsidP="005525F2">
            <w:pPr>
              <w:pStyle w:val="BodyTextIndent"/>
              <w:spacing w:after="0"/>
              <w:ind w:left="0"/>
              <w:rPr>
                <w:caps/>
                <w:sz w:val="20"/>
                <w:szCs w:val="20"/>
                <w:lang w:val="en-US"/>
              </w:rPr>
            </w:pPr>
          </w:p>
          <w:p w:rsidR="0083206B" w:rsidRPr="00AF3CBF" w:rsidRDefault="0083206B" w:rsidP="005525F2">
            <w:pPr>
              <w:pStyle w:val="BodyTextIndent"/>
              <w:spacing w:after="0"/>
              <w:ind w:left="0"/>
              <w:rPr>
                <w:sz w:val="20"/>
                <w:szCs w:val="20"/>
              </w:rPr>
            </w:pPr>
            <w:r w:rsidRPr="00AF3CBF">
              <w:rPr>
                <w:caps/>
                <w:sz w:val="20"/>
                <w:szCs w:val="20"/>
              </w:rPr>
              <w:t>Б</w:t>
            </w:r>
            <w:r w:rsidRPr="00AF3CBF">
              <w:rPr>
                <w:sz w:val="20"/>
                <w:szCs w:val="20"/>
              </w:rPr>
              <w:t xml:space="preserve">азаева </w:t>
            </w:r>
            <w:r w:rsidRPr="00AF3CBF">
              <w:rPr>
                <w:caps/>
                <w:sz w:val="20"/>
                <w:szCs w:val="20"/>
              </w:rPr>
              <w:t>Л</w:t>
            </w:r>
            <w:r w:rsidRPr="00AF3CBF">
              <w:rPr>
                <w:sz w:val="20"/>
                <w:szCs w:val="20"/>
              </w:rPr>
              <w:t>урина Михайловна</w:t>
            </w:r>
          </w:p>
          <w:p w:rsidR="0083206B" w:rsidRPr="00AF3CBF" w:rsidRDefault="0083206B" w:rsidP="005525F2">
            <w:pPr>
              <w:pStyle w:val="BodyTextIndent"/>
              <w:spacing w:after="0"/>
              <w:ind w:left="0"/>
              <w:rPr>
                <w:rFonts w:eastAsia="TimesNewRoman,Bold"/>
                <w:sz w:val="20"/>
                <w:szCs w:val="20"/>
              </w:rPr>
            </w:pPr>
            <w:r w:rsidRPr="00AF3CBF">
              <w:rPr>
                <w:sz w:val="20"/>
                <w:szCs w:val="20"/>
              </w:rPr>
              <w:t>аспирант.</w:t>
            </w:r>
          </w:p>
        </w:tc>
        <w:tc>
          <w:tcPr>
            <w:tcW w:w="2500" w:type="pct"/>
          </w:tcPr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Bazaeva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Lurin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Mikha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lovna</w:t>
            </w:r>
          </w:p>
          <w:p w:rsidR="0083206B" w:rsidRPr="00AF3CBF" w:rsidRDefault="0083206B" w:rsidP="00552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83206B" w:rsidRPr="00AF3CBF" w:rsidTr="007608DD">
        <w:tc>
          <w:tcPr>
            <w:tcW w:w="2500" w:type="pct"/>
          </w:tcPr>
          <w:p w:rsidR="0083206B" w:rsidRPr="00AF3CBF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</w:pPr>
            <w:r w:rsidRPr="00AF3CBF">
              <w:rPr>
                <w:rFonts w:ascii="Times New Roman" w:eastAsia="TimesNewRoman,Bold" w:hAnsi="Times New Roman"/>
                <w:i/>
                <w:iCs/>
                <w:sz w:val="20"/>
                <w:szCs w:val="20"/>
              </w:rPr>
              <w:t>Горский государственный аграрный университет</w:t>
            </w:r>
          </w:p>
        </w:tc>
        <w:tc>
          <w:tcPr>
            <w:tcW w:w="2500" w:type="pct"/>
          </w:tcPr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F3CB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Gorsky State Agrarian University</w:t>
            </w:r>
          </w:p>
        </w:tc>
      </w:tr>
      <w:tr w:rsidR="0083206B" w:rsidRPr="00AF3CBF" w:rsidTr="007608DD">
        <w:tc>
          <w:tcPr>
            <w:tcW w:w="2500" w:type="pct"/>
          </w:tcPr>
          <w:p w:rsidR="0083206B" w:rsidRPr="00AF3CBF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</w:rPr>
            </w:pPr>
          </w:p>
          <w:p w:rsidR="0083206B" w:rsidRPr="00AF3CBF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</w:rPr>
            </w:pPr>
            <w:r w:rsidRPr="00AF3CBF">
              <w:rPr>
                <w:rFonts w:ascii="Times New Roman" w:eastAsia="TimesNewRoman,Bold" w:hAnsi="Times New Roman"/>
                <w:iCs/>
                <w:sz w:val="20"/>
                <w:szCs w:val="20"/>
              </w:rPr>
              <w:t>Витюк Лада Александровна</w:t>
            </w:r>
          </w:p>
          <w:p w:rsidR="0083206B" w:rsidRPr="00AF3CBF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</w:rPr>
            </w:pPr>
            <w:r w:rsidRPr="00AF3CBF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</w:tc>
        <w:tc>
          <w:tcPr>
            <w:tcW w:w="2500" w:type="pct"/>
          </w:tcPr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Vityuk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Aleksandrovna</w:t>
            </w:r>
          </w:p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nd.Tech.Sci.,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ociate </w:t>
            </w:r>
            <w:r w:rsidRPr="00AF3CBF">
              <w:rPr>
                <w:rFonts w:ascii="Times New Roman" w:hAnsi="Times New Roman"/>
                <w:sz w:val="20"/>
                <w:szCs w:val="20"/>
                <w:lang w:val="en-US"/>
              </w:rPr>
              <w:t>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83206B" w:rsidRPr="005525F2" w:rsidTr="007608DD">
        <w:tc>
          <w:tcPr>
            <w:tcW w:w="2500" w:type="pct"/>
          </w:tcPr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</w:pPr>
          </w:p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</w:rPr>
            </w:pPr>
            <w:r w:rsidRPr="005525F2">
              <w:rPr>
                <w:rFonts w:ascii="Times New Roman" w:eastAsia="TimesNewRoman,Bold" w:hAnsi="Times New Roman"/>
                <w:iCs/>
                <w:sz w:val="20"/>
                <w:szCs w:val="20"/>
              </w:rPr>
              <w:t>Савхалова Светлана Черменовна</w:t>
            </w:r>
          </w:p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</w:rPr>
            </w:pPr>
            <w:r w:rsidRPr="005525F2">
              <w:rPr>
                <w:rFonts w:ascii="Times New Roman" w:eastAsia="TimesNewRoman,Bold" w:hAnsi="Times New Roman"/>
                <w:iCs/>
                <w:sz w:val="20"/>
                <w:szCs w:val="20"/>
              </w:rPr>
              <w:t>аспирант</w:t>
            </w:r>
          </w:p>
        </w:tc>
        <w:tc>
          <w:tcPr>
            <w:tcW w:w="2500" w:type="pct"/>
          </w:tcPr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</w:pPr>
          </w:p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</w:pPr>
            <w:r w:rsidRPr="005525F2"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  <w:t>Sav</w:t>
            </w:r>
            <w:r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  <w:t>k</w:t>
            </w:r>
            <w:r w:rsidRPr="005525F2"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  <w:t xml:space="preserve">halova Svetlana </w:t>
            </w:r>
            <w:r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  <w:t>Tc</w:t>
            </w:r>
            <w:r w:rsidRPr="005525F2">
              <w:rPr>
                <w:rFonts w:ascii="Times New Roman" w:eastAsia="TimesNewRoman,Bold" w:hAnsi="Times New Roman"/>
                <w:iCs/>
                <w:sz w:val="20"/>
                <w:szCs w:val="20"/>
                <w:lang w:val="en-US"/>
              </w:rPr>
              <w:t>hermenovna</w:t>
            </w:r>
          </w:p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>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83206B" w:rsidRPr="005525F2" w:rsidTr="007608DD">
        <w:tc>
          <w:tcPr>
            <w:tcW w:w="2500" w:type="pct"/>
          </w:tcPr>
          <w:p w:rsidR="0083206B" w:rsidRPr="005525F2" w:rsidRDefault="0083206B" w:rsidP="005525F2">
            <w:pPr>
              <w:spacing w:after="0" w:line="240" w:lineRule="auto"/>
              <w:rPr>
                <w:rFonts w:ascii="Times New Roman" w:eastAsia="TimesNewRoman,Bold" w:hAnsi="Times New Roman"/>
                <w:iCs/>
                <w:sz w:val="20"/>
                <w:szCs w:val="20"/>
              </w:rPr>
            </w:pPr>
            <w:r w:rsidRPr="005525F2">
              <w:rPr>
                <w:rFonts w:ascii="Times New Roman" w:hAnsi="Times New Roman"/>
                <w:i/>
                <w:sz w:val="20"/>
                <w:szCs w:val="20"/>
              </w:rPr>
              <w:t>Северо-Осетинский государственный университет имени К.Л. Хетагурова Владикавказ, Россия</w:t>
            </w:r>
          </w:p>
        </w:tc>
        <w:tc>
          <w:tcPr>
            <w:tcW w:w="2500" w:type="pct"/>
          </w:tcPr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525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North Ossetian state university of K.L. Khetagurov, Vladikavkaz, Russia</w:t>
            </w:r>
          </w:p>
        </w:tc>
      </w:tr>
      <w:tr w:rsidR="0083206B" w:rsidRPr="005525F2" w:rsidTr="007608DD">
        <w:tc>
          <w:tcPr>
            <w:tcW w:w="2500" w:type="pct"/>
          </w:tcPr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83206B" w:rsidRPr="005525F2" w:rsidTr="007608DD">
        <w:tc>
          <w:tcPr>
            <w:tcW w:w="2500" w:type="pct"/>
          </w:tcPr>
          <w:p w:rsidR="0083206B" w:rsidRPr="00AF3CBF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5F2">
              <w:rPr>
                <w:rFonts w:ascii="Times New Roman" w:hAnsi="Times New Roman"/>
                <w:sz w:val="20"/>
                <w:szCs w:val="20"/>
              </w:rPr>
              <w:t>В ходе проведенных двух экспериментов было установлено, что для повышения биолого-продуктивных качеств цыплятам-бройлерам, выращиваемым на рационах с толерантным уровнем афлатоксина В</w:t>
            </w:r>
            <w:r w:rsidRPr="005525F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5525F2">
              <w:rPr>
                <w:rFonts w:ascii="Times New Roman" w:hAnsi="Times New Roman"/>
                <w:sz w:val="20"/>
                <w:szCs w:val="20"/>
              </w:rPr>
              <w:t>, следует вводить в рецептуру комбикормов зерно ячменя, подвергнутого озонированию в течение 3,0 час, и препарат Ок</w:t>
            </w:r>
            <w:r>
              <w:rPr>
                <w:rFonts w:ascii="Times New Roman" w:hAnsi="Times New Roman"/>
                <w:sz w:val="20"/>
                <w:szCs w:val="20"/>
              </w:rPr>
              <w:t>си-Нил из расчета 600 г/т корма</w:t>
            </w:r>
          </w:p>
        </w:tc>
        <w:tc>
          <w:tcPr>
            <w:tcW w:w="2500" w:type="pct"/>
          </w:tcPr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the course of the two experiments, it was found that to improve the bio-productive qualities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broiler chicken grown from rations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a 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tolerant level of aflatoxin B1,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one 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>should incorporate barley grain subjected to ozonation for 3.0 h, and the Hydroxy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>Nile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preparation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calculat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ed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5525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 600 g / ton of feed in the formulation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the diet</w:t>
            </w:r>
          </w:p>
        </w:tc>
      </w:tr>
      <w:tr w:rsidR="0083206B" w:rsidRPr="005525F2" w:rsidTr="007608DD">
        <w:tc>
          <w:tcPr>
            <w:tcW w:w="2500" w:type="pct"/>
          </w:tcPr>
          <w:p w:rsidR="0083206B" w:rsidRPr="005525F2" w:rsidRDefault="0083206B" w:rsidP="00552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83206B" w:rsidRPr="005525F2" w:rsidRDefault="0083206B" w:rsidP="005525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3206B" w:rsidRPr="005525F2" w:rsidTr="007608DD">
        <w:tc>
          <w:tcPr>
            <w:tcW w:w="2500" w:type="pct"/>
          </w:tcPr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5F2">
              <w:rPr>
                <w:rFonts w:ascii="Times New Roman" w:eastAsia="TimesNewRoman,Bold" w:hAnsi="Times New Roman"/>
                <w:sz w:val="20"/>
                <w:szCs w:val="20"/>
              </w:rPr>
              <w:t>Ключевые слова: ЦЫПЛЯТА-БРОЙЛЕРЫ, ПЕРЕВАРИМОСТЬ, УСВОЯЕМОСТЬ, АФЛОТОКСИН В</w:t>
            </w:r>
            <w:r w:rsidRPr="005525F2">
              <w:rPr>
                <w:rFonts w:ascii="Times New Roman" w:eastAsia="TimesNewRoman,Bold" w:hAnsi="Times New Roman"/>
                <w:sz w:val="20"/>
                <w:szCs w:val="20"/>
                <w:vertAlign w:val="subscript"/>
              </w:rPr>
              <w:t>1,</w:t>
            </w:r>
            <w:r w:rsidRPr="005525F2">
              <w:rPr>
                <w:rFonts w:ascii="Times New Roman" w:eastAsia="TimesNewRoman,Bold" w:hAnsi="Times New Roman"/>
                <w:sz w:val="20"/>
                <w:szCs w:val="20"/>
              </w:rPr>
              <w:t>СОХРАННОСТЬ, ПРИРОСТ ЖИВОЙ МАССЫ</w:t>
            </w:r>
          </w:p>
        </w:tc>
        <w:tc>
          <w:tcPr>
            <w:tcW w:w="2500" w:type="pct"/>
          </w:tcPr>
          <w:p w:rsidR="0083206B" w:rsidRPr="005525F2" w:rsidRDefault="0083206B" w:rsidP="005525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5F2">
              <w:rPr>
                <w:rFonts w:ascii="Times New Roman" w:eastAsia="TimesNewRoman,Bold" w:hAnsi="Times New Roman"/>
                <w:sz w:val="20"/>
                <w:szCs w:val="20"/>
                <w:lang w:val="en-US"/>
              </w:rPr>
              <w:t>Keywords: BROILERS, DIGESTIBILITY, DIGESTIBILITY, AFLATOXIN B1, INTEGRITY, LIVE WEIGHT GAIN</w:t>
            </w:r>
          </w:p>
        </w:tc>
      </w:tr>
    </w:tbl>
    <w:p w:rsidR="0083206B" w:rsidRPr="00D24CE9" w:rsidRDefault="0083206B" w:rsidP="00756EA5">
      <w:pPr>
        <w:spacing w:after="0"/>
        <w:rPr>
          <w:lang w:val="en-US"/>
        </w:rPr>
      </w:pPr>
    </w:p>
    <w:p w:rsidR="0083206B" w:rsidRPr="00D24CE9" w:rsidRDefault="0083206B" w:rsidP="00756EA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Потребности рынка в производстве экологически безопасной продукции диктует взамен дорогостоящих кормов животного происхождения более широкое использование растительных компонентов для комбикормов, в первую очередь зерновых ингредиентов местного производства. В настоящее время в кормлении птицы стало очень важно максимально использовать зерно собственного производства (кукуруза, пшеница, ячмень)[1</w:t>
      </w:r>
      <w:r>
        <w:rPr>
          <w:rFonts w:ascii="Times New Roman" w:hAnsi="Times New Roman"/>
          <w:sz w:val="28"/>
          <w:szCs w:val="28"/>
        </w:rPr>
        <w:t>, 5</w:t>
      </w:r>
      <w:r w:rsidRPr="00D24CE9">
        <w:rPr>
          <w:rFonts w:ascii="Times New Roman" w:hAnsi="Times New Roman"/>
          <w:sz w:val="28"/>
          <w:szCs w:val="28"/>
        </w:rPr>
        <w:t>].</w:t>
      </w:r>
    </w:p>
    <w:p w:rsidR="0083206B" w:rsidRPr="00D24CE9" w:rsidRDefault="0083206B" w:rsidP="00756EA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Однако в таких компонентах, как кукуруза, ячмень, жмыхи, шроты и пр., нередко при нарушении технологии приготовления и хранения происходит окисление жиров с образованием перекисей. Они разрушают липидные структуры витаминов, снижают активность ферментов, которые участвуют в липидном обмене. В результате этого у птицы нарушаются процессы пищеварения и усвоения питательных веществ, а питательная ценность корма. Кроме того, в процессе хранения зерновые ингредиенты могут поражаться плесневыми грибками, в том числе </w:t>
      </w:r>
      <w:r w:rsidRPr="00D24CE9">
        <w:rPr>
          <w:rFonts w:ascii="Times New Roman" w:hAnsi="Times New Roman"/>
          <w:sz w:val="28"/>
          <w:szCs w:val="28"/>
          <w:lang w:val="en-US"/>
        </w:rPr>
        <w:t>Aspergillusflavus</w:t>
      </w:r>
      <w:r w:rsidRPr="00D24CE9">
        <w:rPr>
          <w:rFonts w:ascii="Times New Roman" w:hAnsi="Times New Roman"/>
          <w:sz w:val="28"/>
          <w:szCs w:val="28"/>
        </w:rPr>
        <w:t xml:space="preserve"> и </w:t>
      </w:r>
      <w:r w:rsidRPr="00D24CE9">
        <w:rPr>
          <w:rFonts w:ascii="Times New Roman" w:hAnsi="Times New Roman"/>
          <w:sz w:val="28"/>
          <w:szCs w:val="28"/>
          <w:lang w:val="en-US"/>
        </w:rPr>
        <w:t>Aspergillusparasiticus</w:t>
      </w:r>
      <w:r w:rsidRPr="00D24CE9">
        <w:rPr>
          <w:rFonts w:ascii="Times New Roman" w:hAnsi="Times New Roman"/>
          <w:sz w:val="28"/>
          <w:szCs w:val="28"/>
        </w:rPr>
        <w:t xml:space="preserve"> которые приводят к накоплению в них метаболита афлатоксина В</w:t>
      </w:r>
      <w:r w:rsidRPr="00D24CE9">
        <w:rPr>
          <w:rFonts w:ascii="Times New Roman" w:hAnsi="Times New Roman"/>
          <w:vertAlign w:val="subscript"/>
        </w:rPr>
        <w:t>1</w:t>
      </w:r>
      <w:r w:rsidRPr="00D24CE9">
        <w:rPr>
          <w:rFonts w:ascii="Times New Roman" w:hAnsi="Times New Roman"/>
          <w:sz w:val="28"/>
          <w:szCs w:val="28"/>
        </w:rPr>
        <w:t>, который обладает ярко выраженным гепатотрофным действием [2, 3</w:t>
      </w:r>
      <w:r>
        <w:rPr>
          <w:rFonts w:ascii="Times New Roman" w:hAnsi="Times New Roman"/>
          <w:sz w:val="28"/>
          <w:szCs w:val="28"/>
        </w:rPr>
        <w:t>, 6, 7</w:t>
      </w:r>
      <w:r w:rsidRPr="00D24CE9">
        <w:rPr>
          <w:rFonts w:ascii="Times New Roman" w:hAnsi="Times New Roman"/>
          <w:sz w:val="28"/>
          <w:szCs w:val="28"/>
        </w:rPr>
        <w:t>].</w:t>
      </w:r>
    </w:p>
    <w:p w:rsidR="0083206B" w:rsidRPr="00D24CE9" w:rsidRDefault="0083206B" w:rsidP="00756EA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Наиболее эффективное средство для профилактики микотоксикозов и процессов окисления жиров – предотвращение загрязнения зерна на всех этапах выращивания и хранения. Если же не удалось предотвратить эти процессы и не удается избежать использования этого сырья в качестве корма для птицы, необходимо применять препараты, снижающие вредное воздействие микотоксинов и перекисей. К ним относятся антиоксиданты, сорбенты и пр. [4, </w:t>
      </w:r>
      <w:r>
        <w:rPr>
          <w:rFonts w:ascii="Times New Roman" w:hAnsi="Times New Roman"/>
          <w:sz w:val="28"/>
          <w:szCs w:val="28"/>
        </w:rPr>
        <w:t>8, 9</w:t>
      </w:r>
      <w:r w:rsidRPr="00D24CE9">
        <w:rPr>
          <w:rFonts w:ascii="Times New Roman" w:hAnsi="Times New Roman"/>
          <w:sz w:val="28"/>
          <w:szCs w:val="28"/>
        </w:rPr>
        <w:t xml:space="preserve">]. </w:t>
      </w:r>
    </w:p>
    <w:p w:rsidR="0083206B" w:rsidRPr="00D24CE9" w:rsidRDefault="0083206B" w:rsidP="00756EA5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24CE9">
        <w:rPr>
          <w:rFonts w:ascii="Times New Roman" w:hAnsi="Times New Roman"/>
          <w:color w:val="000000"/>
          <w:sz w:val="28"/>
          <w:szCs w:val="28"/>
        </w:rPr>
        <w:t>Цель исследований – оптимизация процессов</w:t>
      </w:r>
      <w:r w:rsidRPr="00D24CE9">
        <w:rPr>
          <w:rFonts w:ascii="Times New Roman" w:hAnsi="Times New Roman"/>
          <w:sz w:val="28"/>
          <w:szCs w:val="28"/>
        </w:rPr>
        <w:t xml:space="preserve"> пищеварительного обмена у цыплят-бройлеров при снижении риска афлатоксикоза путем введения в рецептуру комбикормов зерна ячменя, подвергнутого озонированию при различных композициях обработки, и препарата Окси-Нил</w:t>
      </w:r>
      <w:r w:rsidRPr="00D24CE9">
        <w:rPr>
          <w:rFonts w:ascii="Times New Roman" w:hAnsi="Times New Roman"/>
          <w:bCs/>
          <w:sz w:val="28"/>
          <w:szCs w:val="28"/>
        </w:rPr>
        <w:t>, используемого для предотвращения окисления жиров и жирорастворимых витаминов в комбикормах и кормовом сырье для сельскохозяйственной птицы</w:t>
      </w:r>
      <w:r w:rsidRPr="00D24CE9">
        <w:rPr>
          <w:rFonts w:ascii="Times New Roman" w:hAnsi="Times New Roman"/>
          <w:sz w:val="28"/>
          <w:szCs w:val="28"/>
        </w:rPr>
        <w:t>.</w:t>
      </w:r>
    </w:p>
    <w:p w:rsidR="0083206B" w:rsidRPr="00D24CE9" w:rsidRDefault="0083206B" w:rsidP="00756EA5">
      <w:pPr>
        <w:pStyle w:val="BodyText"/>
        <w:tabs>
          <w:tab w:val="left" w:pos="-2040"/>
          <w:tab w:val="left" w:pos="-19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Экспериментальная часть работы проведена в условиях СПК «Поляков» Моздокского района РСО – Алания. Объектами исследований были цыплята-бройлеры кросса «Росс-308».</w:t>
      </w:r>
    </w:p>
    <w:p w:rsidR="0083206B" w:rsidRPr="00D24CE9" w:rsidRDefault="0083206B" w:rsidP="00756EA5">
      <w:pPr>
        <w:pStyle w:val="BodyText"/>
        <w:tabs>
          <w:tab w:val="left" w:pos="-2040"/>
          <w:tab w:val="left" w:pos="-19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В соответствии со схемой проведения научно-хозяйственных опытов (табл. 1), из цыплят суточного возраста по методу групп-аналогов с учетом возраста, живой массы и клинического состояния были сформированы по 4 группы, численностью по 100 голов в каждой. Для этого отбирали птицу из одной партии вывода, одного кросса, подвижную, хорошо реагировавшую на свет.</w:t>
      </w:r>
    </w:p>
    <w:p w:rsidR="0083206B" w:rsidRPr="00D24CE9" w:rsidRDefault="0083206B" w:rsidP="00756E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bCs/>
          <w:sz w:val="28"/>
          <w:szCs w:val="28"/>
        </w:rPr>
        <w:t xml:space="preserve">Таблица 1 </w:t>
      </w:r>
      <w:r w:rsidRPr="00D24CE9">
        <w:rPr>
          <w:rFonts w:ascii="Times New Roman" w:hAnsi="Times New Roman"/>
          <w:sz w:val="28"/>
          <w:szCs w:val="28"/>
        </w:rPr>
        <w:t>–</w:t>
      </w:r>
      <w:r w:rsidRPr="00D24CE9">
        <w:rPr>
          <w:rFonts w:ascii="Times New Roman" w:hAnsi="Times New Roman"/>
          <w:bCs/>
          <w:sz w:val="28"/>
          <w:szCs w:val="28"/>
        </w:rPr>
        <w:t xml:space="preserve"> Схема научно-хозяйственных опытов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9"/>
        <w:gridCol w:w="7513"/>
      </w:tblGrid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Особенности кормления</w:t>
            </w:r>
          </w:p>
        </w:tc>
      </w:tr>
      <w:tr w:rsidR="0083206B" w:rsidRPr="008A4410" w:rsidTr="007508C8">
        <w:tc>
          <w:tcPr>
            <w:tcW w:w="5000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I опыт</w:t>
            </w:r>
          </w:p>
        </w:tc>
      </w:tr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Основной рацион (ОР) (зерно без озонирования)</w:t>
            </w:r>
          </w:p>
        </w:tc>
      </w:tr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 опытная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ОР + зерно ячменя (обработка озоном 2,5 ч концентрацией 310 мг/м</w:t>
            </w:r>
            <w:r w:rsidRPr="008A441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 xml:space="preserve">2 опытная 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ОР + зерно ячменя (обработка озоном 3,0 ч концентрацией 310 мг/м</w:t>
            </w:r>
            <w:r w:rsidRPr="008A441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 опытная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ОР + зерно ячменя (обработка озоном 3,5 ч концентрацией 310 мг/м</w:t>
            </w:r>
            <w:r w:rsidRPr="008A441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3206B" w:rsidRPr="008A4410" w:rsidTr="007508C8">
        <w:tc>
          <w:tcPr>
            <w:tcW w:w="5000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 xml:space="preserve"> опыт</w:t>
            </w:r>
          </w:p>
        </w:tc>
      </w:tr>
      <w:tr w:rsidR="0083206B" w:rsidRPr="008A4410" w:rsidTr="007508C8">
        <w:trPr>
          <w:trHeight w:val="361"/>
        </w:trPr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Основной рацион (ОР)</w:t>
            </w:r>
          </w:p>
        </w:tc>
      </w:tr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 xml:space="preserve">1 опытная 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ОР + Окси-Нил в дозе 300 г/т корма</w:t>
            </w:r>
          </w:p>
        </w:tc>
      </w:tr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2 опытная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 xml:space="preserve">ОР + Окси-Нил в дозе 600 г/т корма </w:t>
            </w:r>
          </w:p>
        </w:tc>
      </w:tr>
      <w:tr w:rsidR="0083206B" w:rsidRPr="008A4410" w:rsidTr="007508C8">
        <w:tc>
          <w:tcPr>
            <w:tcW w:w="859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 опытная</w:t>
            </w:r>
          </w:p>
        </w:tc>
        <w:tc>
          <w:tcPr>
            <w:tcW w:w="4141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ОР + Оски-Нил в дозе 900 г/т корма</w:t>
            </w:r>
          </w:p>
        </w:tc>
      </w:tr>
    </w:tbl>
    <w:p w:rsidR="0083206B" w:rsidRPr="00D24CE9" w:rsidRDefault="0083206B" w:rsidP="00756EA5">
      <w:pPr>
        <w:pStyle w:val="BodyText"/>
        <w:tabs>
          <w:tab w:val="left" w:pos="-2040"/>
          <w:tab w:val="left" w:pos="-19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206B" w:rsidRPr="00D24CE9" w:rsidRDefault="0083206B" w:rsidP="00756EA5">
      <w:pPr>
        <w:pStyle w:val="BodyText"/>
        <w:tabs>
          <w:tab w:val="left" w:pos="-2040"/>
          <w:tab w:val="left" w:pos="-19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Подопытные цыплята-бройлеры содержались на сетчатом полу в трехъярусных клеточных батареях с учетом плотности посадки поголовья. Продолжительность выращивания подопытной птицы составила 42 дня.</w:t>
      </w:r>
    </w:p>
    <w:p w:rsidR="0083206B" w:rsidRPr="00D24CE9" w:rsidRDefault="0083206B" w:rsidP="00756E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В ходе </w:t>
      </w:r>
      <w:r w:rsidRPr="00D24CE9">
        <w:rPr>
          <w:rFonts w:ascii="Times New Roman" w:hAnsi="Times New Roman"/>
          <w:sz w:val="28"/>
          <w:szCs w:val="28"/>
          <w:lang w:val="en-US"/>
        </w:rPr>
        <w:t>I</w:t>
      </w:r>
      <w:r w:rsidRPr="00D24CE9">
        <w:rPr>
          <w:rFonts w:ascii="Times New Roman" w:hAnsi="Times New Roman"/>
          <w:sz w:val="28"/>
          <w:szCs w:val="28"/>
        </w:rPr>
        <w:t xml:space="preserve"> опыта при</w:t>
      </w:r>
      <w:r w:rsidRPr="00D24CE9">
        <w:rPr>
          <w:rFonts w:ascii="Times New Roman" w:hAnsi="Times New Roman"/>
          <w:sz w:val="28"/>
        </w:rPr>
        <w:t xml:space="preserve"> закладывании на хранение зерна ячменя его подвергали вторичному увлажнению до 16% и заражению плесневыми грибками </w:t>
      </w:r>
      <w:r w:rsidRPr="00D24CE9">
        <w:rPr>
          <w:rFonts w:ascii="Times New Roman" w:hAnsi="Times New Roman"/>
          <w:sz w:val="28"/>
          <w:szCs w:val="28"/>
        </w:rPr>
        <w:t xml:space="preserve">штамма </w:t>
      </w:r>
      <w:r w:rsidRPr="00D24CE9">
        <w:rPr>
          <w:rFonts w:ascii="Times New Roman" w:hAnsi="Times New Roman"/>
          <w:sz w:val="28"/>
          <w:szCs w:val="28"/>
          <w:lang w:val="en-US"/>
        </w:rPr>
        <w:t>AspergillusflavusNRRL</w:t>
      </w:r>
      <w:r w:rsidRPr="00D24CE9">
        <w:rPr>
          <w:rFonts w:ascii="Times New Roman" w:hAnsi="Times New Roman"/>
          <w:sz w:val="28"/>
          <w:szCs w:val="28"/>
        </w:rPr>
        <w:t xml:space="preserve"> –2999. Это производилось для того, чтобы избежать конкуренции между различными видами плесневых грибков и обеспечить накопление сверх предельно допустимой концентрации (ПДК) в зерне ячменя только продуцента штамма </w:t>
      </w:r>
      <w:r w:rsidRPr="00D24CE9">
        <w:rPr>
          <w:rFonts w:ascii="Times New Roman" w:hAnsi="Times New Roman"/>
          <w:sz w:val="28"/>
          <w:szCs w:val="28"/>
          <w:lang w:val="en-US"/>
        </w:rPr>
        <w:t>Aspergillusflavus</w:t>
      </w:r>
      <w:r w:rsidRPr="00D24CE9">
        <w:rPr>
          <w:rFonts w:ascii="Times New Roman" w:hAnsi="Times New Roman"/>
          <w:sz w:val="28"/>
          <w:szCs w:val="28"/>
        </w:rPr>
        <w:t xml:space="preserve"> – афлатоксина В</w:t>
      </w:r>
      <w:r w:rsidRPr="00D24CE9">
        <w:rPr>
          <w:rFonts w:ascii="Times New Roman" w:hAnsi="Times New Roman"/>
          <w:sz w:val="28"/>
          <w:szCs w:val="28"/>
          <w:vertAlign w:val="subscript"/>
        </w:rPr>
        <w:t>1</w:t>
      </w:r>
      <w:r w:rsidRPr="00D24CE9">
        <w:rPr>
          <w:rFonts w:ascii="Times New Roman" w:hAnsi="Times New Roman"/>
          <w:sz w:val="28"/>
          <w:szCs w:val="28"/>
        </w:rPr>
        <w:t xml:space="preserve">. </w:t>
      </w:r>
    </w:p>
    <w:p w:rsidR="0083206B" w:rsidRPr="00D24CE9" w:rsidRDefault="0083206B" w:rsidP="00756EA5">
      <w:pPr>
        <w:pStyle w:val="BodyTextIndent"/>
        <w:tabs>
          <w:tab w:val="left" w:pos="7909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D24CE9">
        <w:rPr>
          <w:sz w:val="28"/>
          <w:szCs w:val="28"/>
        </w:rPr>
        <w:t xml:space="preserve">Установлено, что в I (контрольной) партии зерна ячменя наблюдалось превышение ПДК по концентрации </w:t>
      </w:r>
      <w:r w:rsidRPr="00D24CE9">
        <w:rPr>
          <w:sz w:val="28"/>
        </w:rPr>
        <w:t>афлатоксина В</w:t>
      </w:r>
      <w:r w:rsidRPr="00D24CE9">
        <w:rPr>
          <w:sz w:val="28"/>
          <w:vertAlign w:val="subscript"/>
        </w:rPr>
        <w:t>1</w:t>
      </w:r>
      <w:r w:rsidRPr="00D24CE9">
        <w:rPr>
          <w:sz w:val="28"/>
          <w:szCs w:val="28"/>
        </w:rPr>
        <w:t xml:space="preserve"> в 3,12 раза, а по наличию </w:t>
      </w:r>
      <w:r w:rsidRPr="00D24CE9">
        <w:rPr>
          <w:sz w:val="28"/>
        </w:rPr>
        <w:t>Т-2-токсина – 0,096мг/кг</w:t>
      </w:r>
      <w:r w:rsidRPr="00D24CE9">
        <w:rPr>
          <w:sz w:val="28"/>
          <w:szCs w:val="28"/>
        </w:rPr>
        <w:t xml:space="preserve">, </w:t>
      </w:r>
      <w:r w:rsidRPr="00D24CE9">
        <w:rPr>
          <w:sz w:val="28"/>
        </w:rPr>
        <w:t>охратоксина А – 0,047 мг/кг и ДОН (</w:t>
      </w:r>
      <w:r w:rsidRPr="00D24CE9">
        <w:rPr>
          <w:sz w:val="28"/>
          <w:szCs w:val="28"/>
        </w:rPr>
        <w:t xml:space="preserve">дезоксиниваленола) – </w:t>
      </w:r>
      <w:r w:rsidRPr="00D24CE9">
        <w:rPr>
          <w:sz w:val="28"/>
        </w:rPr>
        <w:t>0,998 мг/кг при приближении к нижней планке все же превышения ПДК не было</w:t>
      </w:r>
      <w:r w:rsidRPr="00D24CE9">
        <w:rPr>
          <w:sz w:val="28"/>
          <w:szCs w:val="28"/>
        </w:rPr>
        <w:t xml:space="preserve">. При озонировании зерна ячменя при композиции 3,0 ч. наблюдался наиболее низкий уровень кумуляции микотоксинов. В связи с этим, </w:t>
      </w:r>
      <w:r w:rsidRPr="00D24CE9">
        <w:rPr>
          <w:color w:val="000000"/>
          <w:sz w:val="28"/>
          <w:szCs w:val="28"/>
        </w:rPr>
        <w:t xml:space="preserve">по сравнению с </w:t>
      </w:r>
      <w:r w:rsidRPr="00D24CE9">
        <w:rPr>
          <w:sz w:val="28"/>
          <w:szCs w:val="28"/>
        </w:rPr>
        <w:t xml:space="preserve">I партией в </w:t>
      </w:r>
      <w:r w:rsidRPr="00D24CE9">
        <w:rPr>
          <w:sz w:val="28"/>
          <w:lang w:val="en-US"/>
        </w:rPr>
        <w:t>III</w:t>
      </w:r>
      <w:r w:rsidRPr="00D24CE9">
        <w:rPr>
          <w:sz w:val="28"/>
        </w:rPr>
        <w:t xml:space="preserve"> партии зерна ячменя</w:t>
      </w:r>
      <w:r w:rsidRPr="00D24CE9">
        <w:rPr>
          <w:sz w:val="28"/>
          <w:szCs w:val="28"/>
        </w:rPr>
        <w:t xml:space="preserve"> произошло снижение концентрации </w:t>
      </w:r>
      <w:r w:rsidRPr="00D24CE9">
        <w:rPr>
          <w:sz w:val="28"/>
        </w:rPr>
        <w:t>Т-2-токсина</w:t>
      </w:r>
      <w:r w:rsidRPr="00D24CE9">
        <w:rPr>
          <w:sz w:val="28"/>
          <w:szCs w:val="28"/>
        </w:rPr>
        <w:t xml:space="preserve"> в 2,91 раза, </w:t>
      </w:r>
      <w:r w:rsidRPr="00D24CE9">
        <w:rPr>
          <w:sz w:val="28"/>
        </w:rPr>
        <w:t>охратоксина А</w:t>
      </w:r>
      <w:r w:rsidRPr="00D24CE9">
        <w:rPr>
          <w:sz w:val="28"/>
          <w:szCs w:val="28"/>
        </w:rPr>
        <w:t xml:space="preserve"> – в 2,24, </w:t>
      </w:r>
      <w:r w:rsidRPr="00D24CE9">
        <w:rPr>
          <w:sz w:val="28"/>
        </w:rPr>
        <w:t>ДОН – в 2,53 и афлатоксина В</w:t>
      </w:r>
      <w:r w:rsidRPr="00D24CE9">
        <w:rPr>
          <w:sz w:val="28"/>
          <w:vertAlign w:val="subscript"/>
        </w:rPr>
        <w:t>1</w:t>
      </w:r>
      <w:r w:rsidRPr="00D24CE9">
        <w:rPr>
          <w:sz w:val="28"/>
          <w:szCs w:val="28"/>
        </w:rPr>
        <w:t xml:space="preserve"> – в 2,08 раза. Причем, в </w:t>
      </w:r>
      <w:r w:rsidRPr="00D24CE9">
        <w:rPr>
          <w:sz w:val="28"/>
          <w:lang w:val="en-US"/>
        </w:rPr>
        <w:t>III</w:t>
      </w:r>
      <w:r w:rsidRPr="00D24CE9">
        <w:rPr>
          <w:sz w:val="28"/>
        </w:rPr>
        <w:t xml:space="preserve"> партии зерна не было превышения ПДК по наличию исследуемых микотоксинов, за исключением афлатоксина В</w:t>
      </w:r>
      <w:r w:rsidRPr="00D24CE9">
        <w:rPr>
          <w:sz w:val="28"/>
          <w:vertAlign w:val="subscript"/>
        </w:rPr>
        <w:t>1</w:t>
      </w:r>
      <w:r w:rsidRPr="00D24CE9">
        <w:rPr>
          <w:sz w:val="28"/>
          <w:szCs w:val="28"/>
        </w:rPr>
        <w:t xml:space="preserve">, содержание которого превысила ПДК – на 50,0%. Это связано с тем, что после вторичного увлажнения испытуемых партий зерна их заражали штаммом </w:t>
      </w:r>
      <w:r w:rsidRPr="00D24CE9">
        <w:rPr>
          <w:sz w:val="28"/>
          <w:lang w:val="en-US"/>
        </w:rPr>
        <w:t>Aspergillusflavus</w:t>
      </w:r>
      <w:r w:rsidRPr="00D24CE9">
        <w:rPr>
          <w:sz w:val="28"/>
        </w:rPr>
        <w:t>,</w:t>
      </w:r>
      <w:r w:rsidRPr="00D24CE9">
        <w:rPr>
          <w:sz w:val="28"/>
          <w:szCs w:val="28"/>
        </w:rPr>
        <w:t xml:space="preserve"> продуцирующего </w:t>
      </w:r>
      <w:r w:rsidRPr="00D24CE9">
        <w:rPr>
          <w:sz w:val="28"/>
        </w:rPr>
        <w:t>афлатоксин В</w:t>
      </w:r>
      <w:r w:rsidRPr="00D24CE9">
        <w:rPr>
          <w:sz w:val="28"/>
          <w:vertAlign w:val="subscript"/>
        </w:rPr>
        <w:t>1</w:t>
      </w:r>
      <w:r w:rsidRPr="00D24CE9">
        <w:rPr>
          <w:sz w:val="28"/>
          <w:szCs w:val="28"/>
        </w:rPr>
        <w:t>.</w:t>
      </w:r>
    </w:p>
    <w:p w:rsidR="0083206B" w:rsidRPr="00D24CE9" w:rsidRDefault="0083206B" w:rsidP="00756EA5">
      <w:pPr>
        <w:tabs>
          <w:tab w:val="left" w:pos="7909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Применение озонирования зерна ячменя </w:t>
      </w:r>
      <w:r w:rsidRPr="00D24CE9">
        <w:rPr>
          <w:rFonts w:ascii="Times New Roman" w:hAnsi="Times New Roman"/>
          <w:sz w:val="28"/>
          <w:lang w:val="en-US"/>
        </w:rPr>
        <w:t>IV</w:t>
      </w:r>
      <w:r w:rsidRPr="00D24CE9">
        <w:rPr>
          <w:rFonts w:ascii="Times New Roman" w:hAnsi="Times New Roman"/>
          <w:sz w:val="28"/>
          <w:szCs w:val="28"/>
        </w:rPr>
        <w:t xml:space="preserve"> партии при композиции 3,5 ч. не обеспечило того детоксикационного эффекта, что при обработке </w:t>
      </w:r>
      <w:r w:rsidRPr="00D24CE9">
        <w:rPr>
          <w:rFonts w:ascii="Times New Roman" w:hAnsi="Times New Roman"/>
          <w:sz w:val="28"/>
          <w:lang w:val="en-US"/>
        </w:rPr>
        <w:t>III</w:t>
      </w:r>
      <w:r w:rsidRPr="00D24CE9">
        <w:rPr>
          <w:rFonts w:ascii="Times New Roman" w:hAnsi="Times New Roman"/>
          <w:sz w:val="28"/>
        </w:rPr>
        <w:t xml:space="preserve"> партии зерна </w:t>
      </w:r>
      <w:r w:rsidRPr="00D24CE9">
        <w:rPr>
          <w:rFonts w:ascii="Times New Roman" w:hAnsi="Times New Roman"/>
          <w:sz w:val="28"/>
          <w:szCs w:val="28"/>
        </w:rPr>
        <w:t xml:space="preserve">в течении 3,0 ч. Это связываем с тем, что при увеличении времени обработки в </w:t>
      </w:r>
      <w:r w:rsidRPr="00D24CE9">
        <w:rPr>
          <w:rFonts w:ascii="Times New Roman" w:hAnsi="Times New Roman"/>
          <w:sz w:val="28"/>
          <w:lang w:val="en-US"/>
        </w:rPr>
        <w:t>IV</w:t>
      </w:r>
      <w:r w:rsidRPr="00D24CE9">
        <w:rPr>
          <w:rFonts w:ascii="Times New Roman" w:hAnsi="Times New Roman"/>
          <w:sz w:val="28"/>
          <w:szCs w:val="28"/>
        </w:rPr>
        <w:t xml:space="preserve"> партии наблюдалось увеличение числа зерен пожелтевших в 2,0 раза и </w:t>
      </w:r>
      <w:r w:rsidRPr="00D24CE9">
        <w:rPr>
          <w:rFonts w:ascii="Times New Roman" w:hAnsi="Times New Roman"/>
          <w:sz w:val="28"/>
        </w:rPr>
        <w:t>с поврежденной поверхностью</w:t>
      </w:r>
      <w:r w:rsidRPr="00D24CE9">
        <w:rPr>
          <w:rFonts w:ascii="Times New Roman" w:hAnsi="Times New Roman"/>
          <w:sz w:val="28"/>
          <w:szCs w:val="28"/>
        </w:rPr>
        <w:t xml:space="preserve"> – в 2,25 раза, чем в зерне </w:t>
      </w:r>
      <w:r w:rsidRPr="00D24CE9">
        <w:rPr>
          <w:rFonts w:ascii="Times New Roman" w:hAnsi="Times New Roman"/>
          <w:sz w:val="28"/>
          <w:lang w:val="en-US"/>
        </w:rPr>
        <w:t>III</w:t>
      </w:r>
      <w:r w:rsidRPr="00D24CE9">
        <w:rPr>
          <w:rFonts w:ascii="Times New Roman" w:hAnsi="Times New Roman"/>
          <w:sz w:val="28"/>
        </w:rPr>
        <w:t xml:space="preserve"> партии. При этом в зерне </w:t>
      </w:r>
      <w:r w:rsidRPr="00D24CE9">
        <w:rPr>
          <w:rFonts w:ascii="Times New Roman" w:hAnsi="Times New Roman"/>
          <w:sz w:val="28"/>
          <w:lang w:val="en-US"/>
        </w:rPr>
        <w:t>IV</w:t>
      </w:r>
      <w:r w:rsidRPr="00D24CE9">
        <w:rPr>
          <w:rFonts w:ascii="Times New Roman" w:hAnsi="Times New Roman"/>
          <w:sz w:val="28"/>
          <w:szCs w:val="28"/>
        </w:rPr>
        <w:t xml:space="preserve"> партии относительно </w:t>
      </w:r>
      <w:r w:rsidRPr="00D24CE9">
        <w:rPr>
          <w:rFonts w:ascii="Times New Roman" w:hAnsi="Times New Roman"/>
          <w:sz w:val="28"/>
          <w:lang w:val="en-US"/>
        </w:rPr>
        <w:t>III</w:t>
      </w:r>
      <w:r w:rsidRPr="00D24CE9">
        <w:rPr>
          <w:rFonts w:ascii="Times New Roman" w:hAnsi="Times New Roman"/>
          <w:sz w:val="28"/>
        </w:rPr>
        <w:t xml:space="preserve"> партии была выше концентрация ДОН (</w:t>
      </w:r>
      <w:r w:rsidRPr="00D24CE9">
        <w:rPr>
          <w:rFonts w:ascii="Times New Roman" w:hAnsi="Times New Roman"/>
          <w:sz w:val="28"/>
          <w:szCs w:val="28"/>
        </w:rPr>
        <w:t>дезоксиниваленола) на 73,1%, что говорит о снижении эколого-кормовых качеств этой партии ячменя.</w:t>
      </w:r>
    </w:p>
    <w:p w:rsidR="0083206B" w:rsidRPr="00D24CE9" w:rsidRDefault="0083206B" w:rsidP="00756EA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С учетом содержания в сравниваемых партиях зерна ячменя микотоксинов, в первую очередь </w:t>
      </w:r>
      <w:r w:rsidRPr="00D24CE9">
        <w:rPr>
          <w:rFonts w:ascii="Times New Roman" w:hAnsi="Times New Roman"/>
          <w:sz w:val="28"/>
        </w:rPr>
        <w:t>афлатоксина В</w:t>
      </w:r>
      <w:r w:rsidRPr="00D24CE9">
        <w:rPr>
          <w:rFonts w:ascii="Times New Roman" w:hAnsi="Times New Roman"/>
          <w:sz w:val="28"/>
          <w:vertAlign w:val="subscript"/>
        </w:rPr>
        <w:t>1</w:t>
      </w:r>
      <w:r w:rsidRPr="00D24CE9">
        <w:rPr>
          <w:rFonts w:ascii="Times New Roman" w:hAnsi="Times New Roman"/>
          <w:sz w:val="28"/>
          <w:szCs w:val="28"/>
        </w:rPr>
        <w:t xml:space="preserve">, регламентировали наличие последнего в рационах подопытной птицы в пределах, не превышающих толерантного уровня – 0,25 мг/кг </w:t>
      </w:r>
      <w:r w:rsidRPr="00D24CE9">
        <w:rPr>
          <w:rFonts w:ascii="Times New Roman" w:hAnsi="Times New Roman"/>
          <w:bCs/>
          <w:sz w:val="28"/>
          <w:szCs w:val="28"/>
        </w:rPr>
        <w:t>(ВНИТИП</w:t>
      </w:r>
      <w:r w:rsidRPr="00D24CE9">
        <w:rPr>
          <w:rFonts w:ascii="Times New Roman" w:hAnsi="Times New Roman"/>
          <w:sz w:val="28"/>
          <w:szCs w:val="28"/>
        </w:rPr>
        <w:t>, 1999),</w:t>
      </w:r>
      <w:r w:rsidRPr="00D24CE9">
        <w:rPr>
          <w:rFonts w:ascii="Times New Roman" w:hAnsi="Times New Roman"/>
          <w:bCs/>
          <w:sz w:val="28"/>
          <w:szCs w:val="28"/>
        </w:rPr>
        <w:t xml:space="preserve"> для чего зерно ячменя, контаминированного</w:t>
      </w:r>
      <w:r w:rsidRPr="00D24CE9">
        <w:rPr>
          <w:rFonts w:ascii="Times New Roman" w:hAnsi="Times New Roman"/>
          <w:sz w:val="28"/>
          <w:szCs w:val="28"/>
        </w:rPr>
        <w:t xml:space="preserve">штаммом </w:t>
      </w:r>
      <w:r w:rsidRPr="00D24CE9">
        <w:rPr>
          <w:rFonts w:ascii="Times New Roman" w:hAnsi="Times New Roman"/>
          <w:sz w:val="28"/>
          <w:szCs w:val="28"/>
          <w:lang w:val="en-US"/>
        </w:rPr>
        <w:t>Aspergillusflavus</w:t>
      </w:r>
      <w:r w:rsidRPr="00D24CE9">
        <w:rPr>
          <w:rFonts w:ascii="Times New Roman" w:hAnsi="Times New Roman"/>
          <w:sz w:val="28"/>
          <w:szCs w:val="28"/>
        </w:rPr>
        <w:t>, смешивали с другими благополучными по наличию микотоксинов ингредиентами комбикормов с помощью типовых дозаторов.</w:t>
      </w:r>
    </w:p>
    <w:p w:rsidR="0083206B" w:rsidRPr="00D24CE9" w:rsidRDefault="0083206B" w:rsidP="00D24CE9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24CE9">
        <w:rPr>
          <w:rFonts w:ascii="Times New Roman" w:hAnsi="Times New Roman"/>
          <w:bCs/>
          <w:sz w:val="28"/>
          <w:szCs w:val="28"/>
        </w:rPr>
        <w:t>По результатам двух физиологических опытов</w:t>
      </w:r>
      <w:r w:rsidRPr="00AF3CBF">
        <w:rPr>
          <w:rFonts w:ascii="Times New Roman" w:hAnsi="Times New Roman"/>
          <w:bCs/>
          <w:sz w:val="28"/>
          <w:szCs w:val="28"/>
        </w:rPr>
        <w:t xml:space="preserve"> </w:t>
      </w:r>
      <w:r w:rsidRPr="00D24CE9">
        <w:rPr>
          <w:rFonts w:ascii="Times New Roman" w:hAnsi="Times New Roman"/>
          <w:bCs/>
          <w:sz w:val="28"/>
          <w:szCs w:val="28"/>
        </w:rPr>
        <w:t xml:space="preserve">изучили эффективность детоксикационного действия различных композиций озонирования обсемененного плесневыми </w:t>
      </w:r>
      <w:r w:rsidRPr="00D24CE9">
        <w:rPr>
          <w:rFonts w:ascii="Times New Roman" w:hAnsi="Times New Roman"/>
          <w:sz w:val="28"/>
          <w:szCs w:val="28"/>
        </w:rPr>
        <w:t xml:space="preserve">грибками зерна голозерного сорта ячменя, а также </w:t>
      </w:r>
      <w:r w:rsidRPr="00D24CE9">
        <w:rPr>
          <w:rFonts w:ascii="Times New Roman" w:hAnsi="Times New Roman"/>
          <w:bCs/>
          <w:sz w:val="28"/>
          <w:szCs w:val="28"/>
        </w:rPr>
        <w:t xml:space="preserve">добавок </w:t>
      </w:r>
      <w:r w:rsidRPr="00D24CE9">
        <w:rPr>
          <w:rFonts w:ascii="Times New Roman" w:hAnsi="Times New Roman"/>
          <w:sz w:val="28"/>
          <w:szCs w:val="28"/>
        </w:rPr>
        <w:t>препарата Окси-Нил</w:t>
      </w:r>
      <w:r w:rsidRPr="00D24CE9">
        <w:rPr>
          <w:rFonts w:ascii="Times New Roman" w:hAnsi="Times New Roman"/>
          <w:bCs/>
          <w:sz w:val="28"/>
          <w:szCs w:val="28"/>
        </w:rPr>
        <w:t xml:space="preserve"> на процессы пищеварительного метаболизма у цыплят сравниваемых групп. </w:t>
      </w:r>
      <w:r>
        <w:rPr>
          <w:rFonts w:ascii="Times New Roman" w:hAnsi="Times New Roman"/>
          <w:bCs/>
          <w:sz w:val="28"/>
          <w:szCs w:val="28"/>
        </w:rPr>
        <w:t>П</w:t>
      </w:r>
      <w:r w:rsidRPr="00D24CE9">
        <w:rPr>
          <w:rFonts w:ascii="Times New Roman" w:hAnsi="Times New Roman"/>
          <w:bCs/>
          <w:sz w:val="28"/>
          <w:szCs w:val="28"/>
        </w:rPr>
        <w:t>о итогам обменных экспериментов нами были рассчитаны коэффициенты переваримости питательных рационов подопытной птицы (табл. 2</w:t>
      </w:r>
      <w:r w:rsidRPr="00D24CE9">
        <w:rPr>
          <w:rFonts w:ascii="Times New Roman" w:hAnsi="Times New Roman"/>
          <w:sz w:val="28"/>
          <w:szCs w:val="28"/>
        </w:rPr>
        <w:t>).</w:t>
      </w:r>
    </w:p>
    <w:p w:rsidR="0083206B" w:rsidRPr="00D24CE9" w:rsidRDefault="0083206B" w:rsidP="00D24CE9">
      <w:pPr>
        <w:pStyle w:val="BodyText"/>
        <w:tabs>
          <w:tab w:val="left" w:pos="0"/>
          <w:tab w:val="left" w:pos="720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Таблица 2 – </w:t>
      </w:r>
      <w:r w:rsidRPr="00D24CE9">
        <w:rPr>
          <w:rFonts w:ascii="Times New Roman" w:hAnsi="Times New Roman"/>
          <w:bCs/>
          <w:sz w:val="28"/>
          <w:szCs w:val="28"/>
        </w:rPr>
        <w:t>Коэффициенты переваримости питательных веществ рационов цыплят сравниваемых групп, %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629"/>
        <w:gridCol w:w="70"/>
        <w:gridCol w:w="1561"/>
        <w:gridCol w:w="141"/>
        <w:gridCol w:w="1489"/>
        <w:gridCol w:w="68"/>
        <w:gridCol w:w="1561"/>
      </w:tblGrid>
      <w:tr w:rsidR="0083206B" w:rsidRPr="008A4410" w:rsidTr="00444457">
        <w:trPr>
          <w:trHeight w:val="255"/>
        </w:trPr>
        <w:tc>
          <w:tcPr>
            <w:tcW w:w="1350" w:type="pct"/>
            <w:vMerge w:val="restart"/>
            <w:vAlign w:val="center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3650" w:type="pct"/>
            <w:gridSpan w:val="7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Группа</w:t>
            </w:r>
          </w:p>
        </w:tc>
      </w:tr>
      <w:tr w:rsidR="0083206B" w:rsidRPr="008A4410" w:rsidTr="00444457">
        <w:tc>
          <w:tcPr>
            <w:tcW w:w="1350" w:type="pct"/>
            <w:vMerge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контрольная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1 опытная</w:t>
            </w:r>
          </w:p>
        </w:tc>
        <w:tc>
          <w:tcPr>
            <w:tcW w:w="912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2 опытная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3 опытная</w:t>
            </w:r>
          </w:p>
        </w:tc>
      </w:tr>
      <w:tr w:rsidR="0083206B" w:rsidRPr="008A4410" w:rsidTr="00444457">
        <w:trPr>
          <w:cantSplit/>
          <w:trHeight w:val="330"/>
        </w:trPr>
        <w:tc>
          <w:tcPr>
            <w:tcW w:w="5000" w:type="pct"/>
            <w:gridSpan w:val="8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физиологический</w:t>
            </w: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опыт</w:t>
            </w:r>
          </w:p>
        </w:tc>
      </w:tr>
      <w:tr w:rsidR="0083206B" w:rsidRPr="008A4410" w:rsidTr="00444457">
        <w:trPr>
          <w:trHeight w:val="255"/>
        </w:trPr>
        <w:tc>
          <w:tcPr>
            <w:tcW w:w="1350" w:type="pct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Сухое вещество</w:t>
            </w:r>
          </w:p>
        </w:tc>
        <w:tc>
          <w:tcPr>
            <w:tcW w:w="951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80,78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  <w:tc>
          <w:tcPr>
            <w:tcW w:w="953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82,76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872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82,94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873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82,82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</w:tr>
      <w:tr w:rsidR="0083206B" w:rsidRPr="008A4410" w:rsidTr="00444457">
        <w:trPr>
          <w:trHeight w:val="255"/>
        </w:trPr>
        <w:tc>
          <w:tcPr>
            <w:tcW w:w="1350" w:type="pct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 xml:space="preserve">Органическое вещество </w:t>
            </w:r>
          </w:p>
        </w:tc>
        <w:tc>
          <w:tcPr>
            <w:tcW w:w="951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81,74±0,58</w:t>
            </w:r>
          </w:p>
        </w:tc>
        <w:tc>
          <w:tcPr>
            <w:tcW w:w="953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83,65±0,51</w:t>
            </w:r>
          </w:p>
        </w:tc>
        <w:tc>
          <w:tcPr>
            <w:tcW w:w="872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84,08±0,46</w:t>
            </w:r>
          </w:p>
        </w:tc>
        <w:tc>
          <w:tcPr>
            <w:tcW w:w="873" w:type="pct"/>
            <w:vAlign w:val="center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83,97±0,52</w:t>
            </w:r>
          </w:p>
        </w:tc>
      </w:tr>
      <w:tr w:rsidR="0083206B" w:rsidRPr="008A4410" w:rsidTr="00444457">
        <w:trPr>
          <w:cantSplit/>
        </w:trPr>
        <w:tc>
          <w:tcPr>
            <w:tcW w:w="1350" w:type="pct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Сырой протеин</w:t>
            </w:r>
          </w:p>
        </w:tc>
        <w:tc>
          <w:tcPr>
            <w:tcW w:w="951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84,06±0,49</w:t>
            </w:r>
          </w:p>
        </w:tc>
        <w:tc>
          <w:tcPr>
            <w:tcW w:w="953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86,70±0,38</w:t>
            </w:r>
          </w:p>
        </w:tc>
        <w:tc>
          <w:tcPr>
            <w:tcW w:w="872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86,58±0,47</w:t>
            </w:r>
          </w:p>
        </w:tc>
        <w:tc>
          <w:tcPr>
            <w:tcW w:w="873" w:type="pct"/>
            <w:vAlign w:val="center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86,47±0,63</w:t>
            </w:r>
          </w:p>
        </w:tc>
      </w:tr>
      <w:tr w:rsidR="0083206B" w:rsidRPr="008A4410" w:rsidTr="00444457">
        <w:trPr>
          <w:cantSplit/>
        </w:trPr>
        <w:tc>
          <w:tcPr>
            <w:tcW w:w="1350" w:type="pct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 xml:space="preserve">Сырой жир </w:t>
            </w:r>
          </w:p>
        </w:tc>
        <w:tc>
          <w:tcPr>
            <w:tcW w:w="951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86,78±0,71</w:t>
            </w:r>
          </w:p>
        </w:tc>
        <w:tc>
          <w:tcPr>
            <w:tcW w:w="953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85,39±0,74</w:t>
            </w:r>
          </w:p>
        </w:tc>
        <w:tc>
          <w:tcPr>
            <w:tcW w:w="872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87,41±0,77</w:t>
            </w:r>
          </w:p>
        </w:tc>
        <w:tc>
          <w:tcPr>
            <w:tcW w:w="873" w:type="pct"/>
            <w:vAlign w:val="center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87,94±0,71</w:t>
            </w:r>
          </w:p>
        </w:tc>
      </w:tr>
      <w:tr w:rsidR="0083206B" w:rsidRPr="008A4410" w:rsidTr="00444457">
        <w:trPr>
          <w:cantSplit/>
        </w:trPr>
        <w:tc>
          <w:tcPr>
            <w:tcW w:w="1350" w:type="pct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Сырая клетчатка</w:t>
            </w:r>
          </w:p>
        </w:tc>
        <w:tc>
          <w:tcPr>
            <w:tcW w:w="951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12,35±0,40</w:t>
            </w:r>
          </w:p>
        </w:tc>
        <w:tc>
          <w:tcPr>
            <w:tcW w:w="953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14,50±0,35</w:t>
            </w:r>
          </w:p>
        </w:tc>
        <w:tc>
          <w:tcPr>
            <w:tcW w:w="872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14,63±0,33</w:t>
            </w:r>
          </w:p>
        </w:tc>
        <w:tc>
          <w:tcPr>
            <w:tcW w:w="873" w:type="pct"/>
            <w:vAlign w:val="center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14,55±0,50</w:t>
            </w:r>
          </w:p>
        </w:tc>
      </w:tr>
      <w:tr w:rsidR="0083206B" w:rsidRPr="008A4410" w:rsidTr="00444457">
        <w:trPr>
          <w:cantSplit/>
        </w:trPr>
        <w:tc>
          <w:tcPr>
            <w:tcW w:w="1350" w:type="pct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БЭВ</w:t>
            </w:r>
          </w:p>
        </w:tc>
        <w:tc>
          <w:tcPr>
            <w:tcW w:w="951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87,37±0,52</w:t>
            </w:r>
          </w:p>
        </w:tc>
        <w:tc>
          <w:tcPr>
            <w:tcW w:w="953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89,43±0,53</w:t>
            </w:r>
          </w:p>
        </w:tc>
        <w:tc>
          <w:tcPr>
            <w:tcW w:w="872" w:type="pct"/>
            <w:gridSpan w:val="2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89,91±0,57</w:t>
            </w:r>
          </w:p>
        </w:tc>
        <w:tc>
          <w:tcPr>
            <w:tcW w:w="873" w:type="pct"/>
            <w:vAlign w:val="center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89,70±0,62</w:t>
            </w:r>
          </w:p>
        </w:tc>
      </w:tr>
      <w:tr w:rsidR="0083206B" w:rsidRPr="008A4410" w:rsidTr="00444457">
        <w:trPr>
          <w:cantSplit/>
        </w:trPr>
        <w:tc>
          <w:tcPr>
            <w:tcW w:w="5000" w:type="pct"/>
            <w:gridSpan w:val="8"/>
          </w:tcPr>
          <w:p w:rsidR="0083206B" w:rsidRPr="008A4410" w:rsidRDefault="0083206B" w:rsidP="00756EA5">
            <w:pPr>
              <w:pStyle w:val="BodyText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4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физиологический</w:t>
            </w:r>
            <w:r w:rsidRPr="008A4410">
              <w:rPr>
                <w:rFonts w:ascii="Times New Roman" w:hAnsi="Times New Roman"/>
                <w:bCs/>
                <w:sz w:val="24"/>
                <w:szCs w:val="24"/>
              </w:rPr>
              <w:t>опыт</w:t>
            </w:r>
          </w:p>
        </w:tc>
      </w:tr>
      <w:tr w:rsidR="0083206B" w:rsidRPr="008A4410" w:rsidTr="00444457">
        <w:tc>
          <w:tcPr>
            <w:tcW w:w="1350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Сухое вещество</w:t>
            </w:r>
          </w:p>
        </w:tc>
        <w:tc>
          <w:tcPr>
            <w:tcW w:w="912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78,83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±0,42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80,82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±0,53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82,33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±0,50</w:t>
            </w:r>
          </w:p>
        </w:tc>
        <w:tc>
          <w:tcPr>
            <w:tcW w:w="912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81,46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±0,49</w:t>
            </w:r>
          </w:p>
        </w:tc>
      </w:tr>
      <w:tr w:rsidR="0083206B" w:rsidRPr="008A4410" w:rsidTr="00444457">
        <w:tc>
          <w:tcPr>
            <w:tcW w:w="1350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Органическое вещество</w:t>
            </w:r>
          </w:p>
        </w:tc>
        <w:tc>
          <w:tcPr>
            <w:tcW w:w="912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79,44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±0,43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81,73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±0,45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83,27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±0,41</w:t>
            </w:r>
          </w:p>
        </w:tc>
        <w:tc>
          <w:tcPr>
            <w:tcW w:w="912" w:type="pct"/>
            <w:gridSpan w:val="2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82,67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±0,51</w:t>
            </w:r>
          </w:p>
        </w:tc>
      </w:tr>
      <w:tr w:rsidR="0083206B" w:rsidRPr="008A4410" w:rsidTr="00444457">
        <w:tc>
          <w:tcPr>
            <w:tcW w:w="1350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Сырой протеин</w:t>
            </w:r>
          </w:p>
        </w:tc>
        <w:tc>
          <w:tcPr>
            <w:tcW w:w="912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83,12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±0,53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84,42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±0,49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86,10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±0,47</w:t>
            </w:r>
          </w:p>
        </w:tc>
        <w:tc>
          <w:tcPr>
            <w:tcW w:w="912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85,90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±0,53</w:t>
            </w:r>
          </w:p>
        </w:tc>
      </w:tr>
      <w:tr w:rsidR="0083206B" w:rsidRPr="008A4410" w:rsidTr="00444457">
        <w:tc>
          <w:tcPr>
            <w:tcW w:w="1350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Сырой жир</w:t>
            </w:r>
          </w:p>
        </w:tc>
        <w:tc>
          <w:tcPr>
            <w:tcW w:w="912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82,79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±0,54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85,12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±0,39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85,99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±0,54</w:t>
            </w:r>
          </w:p>
        </w:tc>
        <w:tc>
          <w:tcPr>
            <w:tcW w:w="912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86,00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±0,64</w:t>
            </w:r>
          </w:p>
        </w:tc>
      </w:tr>
      <w:tr w:rsidR="0083206B" w:rsidRPr="008A4410" w:rsidTr="00444457">
        <w:tc>
          <w:tcPr>
            <w:tcW w:w="1350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Сырая клетчатка</w:t>
            </w:r>
          </w:p>
        </w:tc>
        <w:tc>
          <w:tcPr>
            <w:tcW w:w="912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11,46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±0,35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14,24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±0,44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15,35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±0,52</w:t>
            </w:r>
          </w:p>
        </w:tc>
        <w:tc>
          <w:tcPr>
            <w:tcW w:w="912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15,09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±0,36</w:t>
            </w:r>
          </w:p>
        </w:tc>
      </w:tr>
      <w:tr w:rsidR="0083206B" w:rsidRPr="008A4410" w:rsidTr="00444457">
        <w:tc>
          <w:tcPr>
            <w:tcW w:w="1350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БЭВ</w:t>
            </w:r>
          </w:p>
        </w:tc>
        <w:tc>
          <w:tcPr>
            <w:tcW w:w="912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83,94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±0,58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86,73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±0,53</w:t>
            </w:r>
          </w:p>
        </w:tc>
        <w:tc>
          <w:tcPr>
            <w:tcW w:w="913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88,30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±0,67</w:t>
            </w:r>
          </w:p>
        </w:tc>
        <w:tc>
          <w:tcPr>
            <w:tcW w:w="912" w:type="pct"/>
            <w:gridSpan w:val="2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87,50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±0,49</w:t>
            </w:r>
          </w:p>
        </w:tc>
      </w:tr>
    </w:tbl>
    <w:p w:rsidR="0083206B" w:rsidRPr="00D24CE9" w:rsidRDefault="0083206B" w:rsidP="00756EA5">
      <w:pPr>
        <w:pStyle w:val="BodyText"/>
        <w:tabs>
          <w:tab w:val="left" w:pos="0"/>
          <w:tab w:val="left" w:pos="720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3206B" w:rsidRPr="00D24CE9" w:rsidRDefault="0083206B" w:rsidP="00756E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Сравнительный анализ показал, что при проведении </w:t>
      </w:r>
      <w:r w:rsidRPr="00D24CE9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24CE9">
        <w:rPr>
          <w:rFonts w:ascii="Times New Roman" w:hAnsi="Times New Roman"/>
          <w:sz w:val="28"/>
          <w:szCs w:val="28"/>
        </w:rPr>
        <w:t>физиологического обменного эксперимента более высокую переваримость питательных веществ рациона обеспечило скармливание зерна ячменя, подвергнутого озонированию при экспозиции 3,0 час., что позволило мясной птице 2 опытной группы иметь относительно контрольных аналогов достоверно (Р&lt;0,05) выше коэффициенты переваримости сухого вещества на 2,16%,органического вещества – на 2,34%, сырого протеина – на 2,52%, сырой клетчатки – на 2,28% и БЭВ – на 2,54%.</w:t>
      </w:r>
    </w:p>
    <w:p w:rsidR="0083206B" w:rsidRPr="00D24CE9" w:rsidRDefault="0083206B" w:rsidP="00756EA5">
      <w:pPr>
        <w:pStyle w:val="1"/>
        <w:shd w:val="clear" w:color="auto" w:fill="FFFFFF"/>
        <w:spacing w:line="360" w:lineRule="auto"/>
        <w:ind w:firstLine="720"/>
        <w:jc w:val="both"/>
        <w:rPr>
          <w:color w:val="000000"/>
          <w:sz w:val="29"/>
        </w:rPr>
      </w:pPr>
      <w:r w:rsidRPr="00D24CE9">
        <w:rPr>
          <w:sz w:val="28"/>
          <w:szCs w:val="28"/>
        </w:rPr>
        <w:t xml:space="preserve">По результатам </w:t>
      </w:r>
      <w:r w:rsidRPr="00D24CE9">
        <w:rPr>
          <w:bCs/>
          <w:sz w:val="28"/>
          <w:szCs w:val="28"/>
          <w:lang w:val="en-US"/>
        </w:rPr>
        <w:t>II</w:t>
      </w:r>
      <w:r w:rsidRPr="00D24CE9">
        <w:rPr>
          <w:bCs/>
          <w:sz w:val="28"/>
          <w:szCs w:val="28"/>
        </w:rPr>
        <w:t xml:space="preserve"> обменного опыта </w:t>
      </w:r>
      <w:r w:rsidRPr="00D24CE9">
        <w:rPr>
          <w:sz w:val="28"/>
        </w:rPr>
        <w:t xml:space="preserve">установлено, что при добавках в рационы </w:t>
      </w:r>
      <w:r w:rsidRPr="00D24CE9">
        <w:rPr>
          <w:sz w:val="28"/>
          <w:szCs w:val="28"/>
        </w:rPr>
        <w:t>препарата Окси-Нил в дозе 600 г/т корма</w:t>
      </w:r>
      <w:r w:rsidRPr="00D24CE9">
        <w:rPr>
          <w:sz w:val="28"/>
        </w:rPr>
        <w:t xml:space="preserve"> относительно контроля у цыплят-бройлеров 2 опытной группы произошло достоверное (</w:t>
      </w:r>
      <w:r w:rsidRPr="00D24CE9">
        <w:rPr>
          <w:sz w:val="28"/>
          <w:szCs w:val="28"/>
        </w:rPr>
        <w:t>Р&lt;0,05</w:t>
      </w:r>
      <w:r w:rsidRPr="00D24CE9">
        <w:rPr>
          <w:sz w:val="28"/>
        </w:rPr>
        <w:t xml:space="preserve">) увеличение коэффициентов переваримости </w:t>
      </w:r>
      <w:r w:rsidRPr="00D24CE9">
        <w:rPr>
          <w:sz w:val="28"/>
          <w:szCs w:val="28"/>
        </w:rPr>
        <w:t>сухого вещества на 3,50%, органического вещества – на 3,83%, сырого протеина – на 3,00%, сырой клетчатки – на 3,63%, сырого жира – на 3,20% и БЭВ – на 4,36%</w:t>
      </w:r>
      <w:r w:rsidRPr="00D24CE9">
        <w:rPr>
          <w:sz w:val="28"/>
        </w:rPr>
        <w:t xml:space="preserve">. </w:t>
      </w:r>
    </w:p>
    <w:p w:rsidR="0083206B" w:rsidRPr="00D24CE9" w:rsidRDefault="0083206B" w:rsidP="00D24CE9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Главным фактором сдерживания энергии роста птицы при проявлении избыточного содержания микотоксинов в кормах становится нарушения белкового метаболизма в пищеварительной системе птицы из-за ингибирования активности протеназ.Исходя из вышесказанного, был изучен баланс азота у подопытной мясной птицы (табл. 3).</w:t>
      </w:r>
    </w:p>
    <w:p w:rsidR="0083206B" w:rsidRPr="00D24CE9" w:rsidRDefault="0083206B" w:rsidP="00D24CE9">
      <w:pPr>
        <w:pStyle w:val="BodyText"/>
        <w:tabs>
          <w:tab w:val="left" w:pos="0"/>
          <w:tab w:val="left" w:pos="720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Таблица 3 – Использование азота рациона подопытными цыплятами</w:t>
      </w:r>
      <w:r w:rsidRPr="00D24CE9">
        <w:rPr>
          <w:rFonts w:ascii="Times New Roman" w:hAnsi="Times New Roman"/>
          <w:bCs/>
          <w:sz w:val="28"/>
          <w:szCs w:val="28"/>
        </w:rPr>
        <w:t>, г</w:t>
      </w:r>
    </w:p>
    <w:tbl>
      <w:tblPr>
        <w:tblW w:w="4732" w:type="pct"/>
        <w:tblInd w:w="108" w:type="dxa"/>
        <w:tblLayout w:type="fixed"/>
        <w:tblLook w:val="01E0"/>
      </w:tblPr>
      <w:tblGrid>
        <w:gridCol w:w="3402"/>
        <w:gridCol w:w="1346"/>
        <w:gridCol w:w="1346"/>
        <w:gridCol w:w="1346"/>
        <w:gridCol w:w="1348"/>
      </w:tblGrid>
      <w:tr w:rsidR="0083206B" w:rsidRPr="008A4410" w:rsidTr="00ED4982">
        <w:tc>
          <w:tcPr>
            <w:tcW w:w="1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0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83206B" w:rsidRPr="008A4410" w:rsidTr="00ED4982">
        <w:tc>
          <w:tcPr>
            <w:tcW w:w="1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ED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 опытная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2 опытная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 опытная</w:t>
            </w:r>
          </w:p>
        </w:tc>
      </w:tr>
      <w:tr w:rsidR="0083206B" w:rsidRPr="008A4410" w:rsidTr="00ED498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физиологическийопыт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Принято с кормом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3,18±0,05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3,17±0,04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3,16±0,05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3,17±0,04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Выделено:</w:t>
            </w:r>
          </w:p>
          <w:p w:rsidR="0083206B" w:rsidRPr="008A4410" w:rsidRDefault="0083206B" w:rsidP="00756EA5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 помёте</w:t>
            </w:r>
          </w:p>
        </w:tc>
        <w:tc>
          <w:tcPr>
            <w:tcW w:w="766" w:type="pct"/>
            <w:vAlign w:val="bottom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1,55±0,03</w:t>
            </w:r>
          </w:p>
        </w:tc>
        <w:tc>
          <w:tcPr>
            <w:tcW w:w="766" w:type="pct"/>
            <w:vAlign w:val="bottom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1,50±0,02</w:t>
            </w:r>
          </w:p>
        </w:tc>
        <w:tc>
          <w:tcPr>
            <w:tcW w:w="766" w:type="pct"/>
            <w:vAlign w:val="bottom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1,45±0,03</w:t>
            </w:r>
          </w:p>
        </w:tc>
        <w:tc>
          <w:tcPr>
            <w:tcW w:w="766" w:type="pct"/>
            <w:vAlign w:val="bottom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1,48±0,02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 кале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0,54±0,01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0,50±0,02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0,48±0,03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0,49±0,01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 моче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1,01±0,02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1,00±0,03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0,97±0,04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0,99±0,02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Отложено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1,58±0,02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1,64±0,02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1,67±0,02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1,65±0,03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ED4982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Использовано от  принятого,%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49,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9±0,33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51,73±0,28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52,85±0,40</w:t>
            </w:r>
          </w:p>
        </w:tc>
        <w:tc>
          <w:tcPr>
            <w:tcW w:w="7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52,05±0,29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физиологическийопыт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Принято с кормом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3,11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3,17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±0,06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3,14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3,16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Выделено:</w:t>
            </w:r>
          </w:p>
          <w:p w:rsidR="0083206B" w:rsidRPr="008A4410" w:rsidRDefault="0083206B" w:rsidP="00756EA5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 помёте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1,51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1,54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±0,06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1,46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 кале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0,51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0,49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0,46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0,48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в моче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1,05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1,02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Отложено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1,60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±0,01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1,63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1,68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±0,01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1,66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±0,02</w:t>
            </w:r>
          </w:p>
        </w:tc>
      </w:tr>
      <w:tr w:rsidR="0083206B" w:rsidRPr="008A4410" w:rsidTr="00ED49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"/>
        </w:trPr>
        <w:tc>
          <w:tcPr>
            <w:tcW w:w="1935" w:type="pct"/>
          </w:tcPr>
          <w:p w:rsidR="0083206B" w:rsidRPr="008A4410" w:rsidRDefault="0083206B" w:rsidP="00ED4982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Использовано от  принятого,%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51,45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±0,29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51,42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±0,36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53,50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±0,35</w:t>
            </w:r>
          </w:p>
        </w:tc>
        <w:tc>
          <w:tcPr>
            <w:tcW w:w="7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color w:val="000000"/>
                <w:sz w:val="24"/>
                <w:szCs w:val="24"/>
              </w:rPr>
              <w:t>52,53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±0,41</w:t>
            </w:r>
          </w:p>
        </w:tc>
      </w:tr>
    </w:tbl>
    <w:p w:rsidR="0083206B" w:rsidRPr="00D24CE9" w:rsidRDefault="0083206B" w:rsidP="00756EA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3206B" w:rsidRPr="00D24CE9" w:rsidRDefault="0083206B" w:rsidP="0089719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По данным</w:t>
      </w:r>
      <w:r w:rsidRPr="00D24CE9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24CE9">
        <w:rPr>
          <w:rFonts w:ascii="Times New Roman" w:hAnsi="Times New Roman"/>
          <w:bCs/>
          <w:sz w:val="28"/>
          <w:szCs w:val="28"/>
        </w:rPr>
        <w:t xml:space="preserve"> обменного </w:t>
      </w:r>
      <w:r>
        <w:rPr>
          <w:rFonts w:ascii="Times New Roman" w:hAnsi="Times New Roman"/>
          <w:sz w:val="28"/>
          <w:szCs w:val="28"/>
        </w:rPr>
        <w:t>опыта</w:t>
      </w:r>
      <w:r w:rsidRPr="00D24CE9">
        <w:rPr>
          <w:rFonts w:ascii="Times New Roman" w:hAnsi="Times New Roman"/>
          <w:sz w:val="28"/>
          <w:szCs w:val="28"/>
        </w:rPr>
        <w:t xml:space="preserve"> установлено, что при скармливании зерна ячменя, подвергнутого озонированию в течение 3,0 час., в составе рационов с толерантным уровнем афлатоксина В</w:t>
      </w:r>
      <w:r w:rsidRPr="00D24CE9">
        <w:rPr>
          <w:rFonts w:ascii="Times New Roman" w:hAnsi="Times New Roman"/>
          <w:sz w:val="28"/>
          <w:szCs w:val="28"/>
          <w:vertAlign w:val="subscript"/>
        </w:rPr>
        <w:t>1</w:t>
      </w:r>
      <w:r w:rsidRPr="00D24CE9">
        <w:rPr>
          <w:rFonts w:ascii="Times New Roman" w:hAnsi="Times New Roman"/>
          <w:sz w:val="28"/>
          <w:szCs w:val="28"/>
        </w:rPr>
        <w:t xml:space="preserve"> была отмечена лучшая усвояемость протеина кормов. С учетом этого, цыплята-бройлеры 2 группы против контрольных аналогов в течение суток в теле откладывали достоверно (Р&lt;0,05) больше азота на 0,09 г или на 5,7%. Наряду с этим, птица 2 группы на 3,16% (Р&lt;0,05) лучше использовала азот от принятого с комбикормами количества по сравнению с бройлерами контрольной группы, что позволяет говорить о стимулирующем действии озонированного зерна ячменя на обмен белка у них.</w:t>
      </w:r>
    </w:p>
    <w:p w:rsidR="0083206B" w:rsidRPr="00D24CE9" w:rsidRDefault="0083206B" w:rsidP="00897197">
      <w:pPr>
        <w:pStyle w:val="1"/>
        <w:shd w:val="clear" w:color="auto" w:fill="FFFFFF"/>
        <w:spacing w:line="360" w:lineRule="auto"/>
        <w:ind w:firstLine="720"/>
        <w:jc w:val="both"/>
        <w:rPr>
          <w:color w:val="000000"/>
          <w:sz w:val="29"/>
        </w:rPr>
      </w:pPr>
      <w:r w:rsidRPr="00D24CE9">
        <w:rPr>
          <w:color w:val="000000"/>
          <w:sz w:val="29"/>
        </w:rPr>
        <w:t xml:space="preserve">В ходе </w:t>
      </w:r>
      <w:r w:rsidRPr="00D24CE9">
        <w:rPr>
          <w:color w:val="000000"/>
          <w:sz w:val="28"/>
          <w:szCs w:val="28"/>
          <w:lang w:val="en-US"/>
        </w:rPr>
        <w:t>II</w:t>
      </w:r>
      <w:r w:rsidRPr="00D24CE9">
        <w:rPr>
          <w:color w:val="000000"/>
          <w:sz w:val="29"/>
        </w:rPr>
        <w:t xml:space="preserve"> обменного эксперимента анализ результатов исследований показал, что за сутки более высоким уровнем отложения азота в теле отличалась птица 2 группы, которая по этому показателю достоверно (</w:t>
      </w:r>
      <w:r w:rsidRPr="00D24CE9">
        <w:rPr>
          <w:sz w:val="28"/>
          <w:szCs w:val="28"/>
        </w:rPr>
        <w:t>Р&lt;0,05</w:t>
      </w:r>
      <w:r w:rsidRPr="00D24CE9">
        <w:rPr>
          <w:color w:val="000000"/>
          <w:sz w:val="28"/>
          <w:szCs w:val="28"/>
        </w:rPr>
        <w:t xml:space="preserve">) превзошла своих </w:t>
      </w:r>
      <w:r w:rsidRPr="00D24CE9">
        <w:rPr>
          <w:color w:val="000000"/>
          <w:sz w:val="29"/>
        </w:rPr>
        <w:t xml:space="preserve">контрольных аналогов на 5,0%. Причем бройлеры контрольной группы использовали принятый с кормом азот на </w:t>
      </w:r>
      <w:r w:rsidRPr="00D24CE9">
        <w:rPr>
          <w:color w:val="000000"/>
          <w:sz w:val="28"/>
          <w:szCs w:val="28"/>
        </w:rPr>
        <w:t>51,45</w:t>
      </w:r>
      <w:r w:rsidRPr="00D24CE9">
        <w:rPr>
          <w:color w:val="000000"/>
          <w:sz w:val="29"/>
        </w:rPr>
        <w:t>%, а бройлеры 2 группы – на 2,45% (</w:t>
      </w:r>
      <w:r w:rsidRPr="00D24CE9">
        <w:rPr>
          <w:sz w:val="28"/>
          <w:szCs w:val="28"/>
        </w:rPr>
        <w:t>Р&lt;0,05</w:t>
      </w:r>
      <w:r w:rsidRPr="00D24CE9">
        <w:rPr>
          <w:color w:val="000000"/>
          <w:sz w:val="28"/>
          <w:szCs w:val="28"/>
        </w:rPr>
        <w:t xml:space="preserve">) </w:t>
      </w:r>
      <w:r w:rsidRPr="00D24CE9">
        <w:rPr>
          <w:color w:val="000000"/>
          <w:sz w:val="29"/>
        </w:rPr>
        <w:t>лучше.</w:t>
      </w:r>
    </w:p>
    <w:p w:rsidR="0083206B" w:rsidRDefault="0083206B" w:rsidP="00D24CE9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bCs/>
          <w:sz w:val="28"/>
          <w:szCs w:val="28"/>
        </w:rPr>
        <w:t xml:space="preserve">Особое внимание следует уделять изучению активности ферментов в различных отделах пищеварительного канала при проявлении риска афлатоксикоза у мясной птицы, откармливаемой на </w:t>
      </w:r>
      <w:r w:rsidRPr="00D24CE9">
        <w:rPr>
          <w:rFonts w:ascii="Times New Roman" w:hAnsi="Times New Roman"/>
          <w:sz w:val="28"/>
          <w:szCs w:val="28"/>
        </w:rPr>
        <w:t xml:space="preserve">комбикормах ячменно-пшенично-подсолнечного типа, ибо этот опасный микотоксин оказывает угнетающее действие на активность пищеварительных гидролаз различных классов. </w:t>
      </w:r>
      <w:r w:rsidRPr="00D24CE9">
        <w:rPr>
          <w:rFonts w:ascii="Times New Roman" w:hAnsi="Times New Roman"/>
          <w:bCs/>
          <w:sz w:val="28"/>
          <w:szCs w:val="28"/>
        </w:rPr>
        <w:t xml:space="preserve">При проведении </w:t>
      </w:r>
      <w:r w:rsidRPr="00D24CE9">
        <w:rPr>
          <w:rFonts w:ascii="Times New Roman" w:hAnsi="Times New Roman"/>
          <w:sz w:val="28"/>
          <w:szCs w:val="28"/>
          <w:lang w:val="en-US"/>
        </w:rPr>
        <w:t>I</w:t>
      </w:r>
      <w:r w:rsidRPr="00D24CE9">
        <w:rPr>
          <w:rFonts w:ascii="Times New Roman" w:hAnsi="Times New Roman"/>
          <w:sz w:val="28"/>
          <w:szCs w:val="28"/>
        </w:rPr>
        <w:t xml:space="preserve"> опыта у цыплят сравниваемых групп изучили активность энзимов в содержимом пищеварительного канала (табл. 4).</w:t>
      </w:r>
    </w:p>
    <w:p w:rsidR="0083206B" w:rsidRPr="00D24CE9" w:rsidRDefault="0083206B" w:rsidP="00D24CE9">
      <w:pPr>
        <w:pStyle w:val="1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24CE9">
        <w:rPr>
          <w:color w:val="000000"/>
          <w:sz w:val="28"/>
          <w:szCs w:val="28"/>
        </w:rPr>
        <w:t xml:space="preserve">Таблица 4 – Ферментативная активность содержимого </w:t>
      </w:r>
      <w:r w:rsidRPr="00D24CE9">
        <w:rPr>
          <w:sz w:val="28"/>
          <w:szCs w:val="28"/>
        </w:rPr>
        <w:t>пищеварительного канала</w:t>
      </w:r>
      <w:r w:rsidRPr="00D24CE9">
        <w:rPr>
          <w:color w:val="000000"/>
          <w:sz w:val="28"/>
          <w:szCs w:val="28"/>
        </w:rPr>
        <w:t xml:space="preserve"> цыплят в ходе</w:t>
      </w:r>
      <w:r w:rsidRPr="00D24CE9">
        <w:rPr>
          <w:color w:val="000000"/>
          <w:sz w:val="28"/>
          <w:szCs w:val="28"/>
          <w:lang w:val="en-US"/>
        </w:rPr>
        <w:t>I</w:t>
      </w:r>
      <w:r w:rsidRPr="00D24CE9">
        <w:rPr>
          <w:color w:val="000000"/>
          <w:sz w:val="28"/>
          <w:szCs w:val="28"/>
        </w:rPr>
        <w:t xml:space="preserve"> опыта, ед./г субстрата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571"/>
        <w:gridCol w:w="1571"/>
        <w:gridCol w:w="1571"/>
        <w:gridCol w:w="1573"/>
      </w:tblGrid>
      <w:tr w:rsidR="0083206B" w:rsidRPr="008A4410" w:rsidTr="00ED4982">
        <w:trPr>
          <w:cantSplit/>
        </w:trPr>
        <w:tc>
          <w:tcPr>
            <w:tcW w:w="1535" w:type="pct"/>
            <w:vMerge w:val="restar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Отдел пищеваритель-ного тракта</w:t>
            </w:r>
          </w:p>
        </w:tc>
        <w:tc>
          <w:tcPr>
            <w:tcW w:w="3465" w:type="pct"/>
            <w:gridSpan w:val="4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83206B" w:rsidRPr="008A4410" w:rsidTr="00897197">
        <w:trPr>
          <w:cantSplit/>
        </w:trPr>
        <w:tc>
          <w:tcPr>
            <w:tcW w:w="1535" w:type="pct"/>
            <w:vMerge/>
            <w:vAlign w:val="center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 опытная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2 опытная</w:t>
            </w:r>
          </w:p>
        </w:tc>
        <w:tc>
          <w:tcPr>
            <w:tcW w:w="868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 опытная</w:t>
            </w:r>
          </w:p>
        </w:tc>
      </w:tr>
      <w:tr w:rsidR="0083206B" w:rsidRPr="008A4410" w:rsidTr="00ED4982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Протеолитическая активность</w:t>
            </w:r>
          </w:p>
        </w:tc>
      </w:tr>
      <w:tr w:rsidR="0083206B" w:rsidRPr="008A4410" w:rsidTr="00897197">
        <w:trPr>
          <w:cantSplit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,57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0,67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68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</w:tr>
      <w:tr w:rsidR="0083206B" w:rsidRPr="008A4410" w:rsidTr="00897197">
        <w:trPr>
          <w:cantSplit/>
          <w:trHeight w:val="227"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1,56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1,75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1,80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68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1,76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83206B" w:rsidRPr="008A4410" w:rsidTr="00ED4982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Целлюлозолитическая активность</w:t>
            </w:r>
          </w:p>
        </w:tc>
      </w:tr>
      <w:tr w:rsidR="0083206B" w:rsidRPr="008A4410" w:rsidTr="00897197">
        <w:trPr>
          <w:cantSplit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0,22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0,24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0,27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68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0,25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</w:tr>
      <w:tr w:rsidR="0083206B" w:rsidRPr="008A4410" w:rsidTr="00897197">
        <w:trPr>
          <w:cantSplit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1,15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1,32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1,38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68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1,34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83206B" w:rsidRPr="008A4410" w:rsidTr="00ED4982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Липолитическая активность</w:t>
            </w:r>
          </w:p>
        </w:tc>
      </w:tr>
      <w:tr w:rsidR="0083206B" w:rsidRPr="008A4410" w:rsidTr="00897197">
        <w:trPr>
          <w:cantSplit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0,62±0,003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0,61±0,004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0,59±0,004</w:t>
            </w:r>
          </w:p>
        </w:tc>
        <w:tc>
          <w:tcPr>
            <w:tcW w:w="868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0,60±0,004</w:t>
            </w:r>
          </w:p>
        </w:tc>
      </w:tr>
      <w:tr w:rsidR="0083206B" w:rsidRPr="008A4410" w:rsidTr="00897197">
        <w:trPr>
          <w:cantSplit/>
          <w:trHeight w:val="181"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1,60±0,004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1,65±0,003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1,63±0,003</w:t>
            </w:r>
          </w:p>
        </w:tc>
        <w:tc>
          <w:tcPr>
            <w:tcW w:w="868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1,62±0,004</w:t>
            </w:r>
          </w:p>
        </w:tc>
      </w:tr>
      <w:tr w:rsidR="0083206B" w:rsidRPr="008A4410" w:rsidTr="00ED4982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Амилолитическая активность</w:t>
            </w:r>
          </w:p>
        </w:tc>
      </w:tr>
      <w:tr w:rsidR="0083206B" w:rsidRPr="008A4410" w:rsidTr="00897197">
        <w:trPr>
          <w:cantSplit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,66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0,73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0,78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866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0,75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83206B" w:rsidRPr="008A4410" w:rsidTr="00897197">
        <w:trPr>
          <w:cantSplit/>
          <w:trHeight w:val="282"/>
        </w:trPr>
        <w:tc>
          <w:tcPr>
            <w:tcW w:w="1535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1,70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1,86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1,93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866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1,88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</w:tr>
    </w:tbl>
    <w:p w:rsidR="0083206B" w:rsidRPr="00D24CE9" w:rsidRDefault="0083206B" w:rsidP="00756EA5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206B" w:rsidRDefault="0083206B" w:rsidP="00897197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При постановке </w:t>
      </w:r>
      <w:r w:rsidRPr="00D24CE9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опыта</w:t>
      </w:r>
      <w:r w:rsidRPr="00D24CE9">
        <w:rPr>
          <w:rFonts w:ascii="Times New Roman" w:hAnsi="Times New Roman"/>
          <w:sz w:val="28"/>
          <w:szCs w:val="28"/>
        </w:rPr>
        <w:t xml:space="preserve"> была проведена сравнительная оценка </w:t>
      </w:r>
      <w:r w:rsidRPr="00D24CE9">
        <w:rPr>
          <w:rFonts w:ascii="Times New Roman" w:hAnsi="Times New Roman"/>
          <w:bCs/>
          <w:sz w:val="28"/>
          <w:szCs w:val="28"/>
        </w:rPr>
        <w:t xml:space="preserve">детоксикационного действия различных композиций озонирования обсемененного плесневыми </w:t>
      </w:r>
      <w:r w:rsidRPr="00D24CE9">
        <w:rPr>
          <w:rFonts w:ascii="Times New Roman" w:hAnsi="Times New Roman"/>
          <w:sz w:val="28"/>
          <w:szCs w:val="28"/>
        </w:rPr>
        <w:t xml:space="preserve">грибками штамма </w:t>
      </w:r>
      <w:r w:rsidRPr="00D24CE9">
        <w:rPr>
          <w:rFonts w:ascii="Times New Roman" w:hAnsi="Times New Roman"/>
          <w:sz w:val="28"/>
          <w:szCs w:val="28"/>
          <w:lang w:val="en-US"/>
        </w:rPr>
        <w:t>Aspergillus</w:t>
      </w:r>
      <w:r w:rsidRPr="00AF3CBF">
        <w:rPr>
          <w:rFonts w:ascii="Times New Roman" w:hAnsi="Times New Roman"/>
          <w:sz w:val="28"/>
          <w:szCs w:val="28"/>
        </w:rPr>
        <w:t xml:space="preserve"> </w:t>
      </w:r>
      <w:r w:rsidRPr="00D24CE9">
        <w:rPr>
          <w:rFonts w:ascii="Times New Roman" w:hAnsi="Times New Roman"/>
          <w:sz w:val="28"/>
          <w:szCs w:val="28"/>
          <w:lang w:val="en-US"/>
        </w:rPr>
        <w:t>flavus</w:t>
      </w:r>
      <w:r w:rsidRPr="00D24CE9">
        <w:rPr>
          <w:rFonts w:ascii="Times New Roman" w:hAnsi="Times New Roman"/>
          <w:sz w:val="28"/>
          <w:szCs w:val="28"/>
        </w:rPr>
        <w:t xml:space="preserve"> зерна голозерного сорта ячменя на ферментативную активность содержимого мышечного желудка и двенадцатиперстной кишки подопытной птицы.</w:t>
      </w:r>
    </w:p>
    <w:p w:rsidR="0083206B" w:rsidRPr="00D24CE9" w:rsidRDefault="0083206B" w:rsidP="00756EA5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Ее результаты показали, что более в желудочно-кишечном тракте цыплят интенсивному ферментативному гидролизу питательных веществ рациона способствовало скармливание зерна ячменя, подвергнутого озонированию в течение 3,0 час. С учетом этого относительно контрольных аналогов мясная птица 2 опытной группы в содержимом мышечного желудка и двенадцатиперстной кишки имела достоверно (Р&lt;0,05) более высокие показатели активности протеиназ на 17,5 и 15,4%, целлюлаз – на 22,7 и 20,0% и амилаз – на 18,2 и 13,5% соответственно.</w:t>
      </w:r>
    </w:p>
    <w:p w:rsidR="0083206B" w:rsidRPr="00D24CE9" w:rsidRDefault="0083206B" w:rsidP="00D24CE9">
      <w:pPr>
        <w:pStyle w:val="1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D24CE9">
        <w:rPr>
          <w:sz w:val="28"/>
          <w:szCs w:val="28"/>
        </w:rPr>
        <w:t>В таблице 5 приведены показатели ферментативной активности содержимого мышечного желудка и химуса двенадцатиперстной кишки</w:t>
      </w:r>
      <w:r>
        <w:rPr>
          <w:sz w:val="28"/>
          <w:szCs w:val="28"/>
        </w:rPr>
        <w:t>.</w:t>
      </w:r>
    </w:p>
    <w:p w:rsidR="0083206B" w:rsidRPr="00D24CE9" w:rsidRDefault="0083206B" w:rsidP="00D24CE9">
      <w:pPr>
        <w:pStyle w:val="1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24CE9">
        <w:rPr>
          <w:color w:val="000000"/>
          <w:sz w:val="28"/>
          <w:szCs w:val="28"/>
        </w:rPr>
        <w:t xml:space="preserve">Таблица 5 – Ферментативная активность содержимого </w:t>
      </w:r>
      <w:r w:rsidRPr="00D24CE9">
        <w:rPr>
          <w:sz w:val="28"/>
          <w:szCs w:val="28"/>
        </w:rPr>
        <w:t>пищеварительного канала</w:t>
      </w:r>
      <w:r w:rsidRPr="00D24CE9">
        <w:rPr>
          <w:color w:val="000000"/>
          <w:sz w:val="28"/>
          <w:szCs w:val="28"/>
        </w:rPr>
        <w:t xml:space="preserve"> цыплят в ходе</w:t>
      </w:r>
      <w:r w:rsidRPr="00D24CE9">
        <w:rPr>
          <w:color w:val="000000"/>
          <w:sz w:val="28"/>
          <w:szCs w:val="28"/>
          <w:lang w:val="en-US"/>
        </w:rPr>
        <w:t>II</w:t>
      </w:r>
      <w:r w:rsidRPr="00D24CE9">
        <w:rPr>
          <w:color w:val="000000"/>
          <w:sz w:val="28"/>
          <w:szCs w:val="28"/>
        </w:rPr>
        <w:t xml:space="preserve"> опыта, ед./г субстрата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94"/>
        <w:gridCol w:w="1723"/>
        <w:gridCol w:w="1592"/>
        <w:gridCol w:w="1588"/>
        <w:gridCol w:w="1489"/>
      </w:tblGrid>
      <w:tr w:rsidR="0083206B" w:rsidRPr="008A4410" w:rsidTr="00E15462">
        <w:trPr>
          <w:cantSplit/>
        </w:trPr>
        <w:tc>
          <w:tcPr>
            <w:tcW w:w="1558" w:type="pct"/>
            <w:vMerge w:val="restar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Отдел пищеваритель-ного тракта</w:t>
            </w:r>
          </w:p>
        </w:tc>
        <w:tc>
          <w:tcPr>
            <w:tcW w:w="3442" w:type="pct"/>
            <w:gridSpan w:val="4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83206B" w:rsidRPr="008A4410" w:rsidTr="00E15462">
        <w:trPr>
          <w:cantSplit/>
        </w:trPr>
        <w:tc>
          <w:tcPr>
            <w:tcW w:w="1558" w:type="pct"/>
            <w:vMerge/>
            <w:vAlign w:val="center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857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 опытная</w:t>
            </w:r>
          </w:p>
        </w:tc>
        <w:tc>
          <w:tcPr>
            <w:tcW w:w="855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2 опытная</w:t>
            </w:r>
          </w:p>
        </w:tc>
        <w:tc>
          <w:tcPr>
            <w:tcW w:w="802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3 опытная</w:t>
            </w:r>
          </w:p>
        </w:tc>
      </w:tr>
      <w:tr w:rsidR="0083206B" w:rsidRPr="008A4410" w:rsidTr="009C6C43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Протеолитическая активность</w:t>
            </w:r>
          </w:p>
        </w:tc>
      </w:tr>
      <w:tr w:rsidR="0083206B" w:rsidRPr="008A4410" w:rsidTr="00E15462">
        <w:trPr>
          <w:cantSplit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928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,62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57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0,67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55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0,71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02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0,68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83206B" w:rsidRPr="008A4410" w:rsidTr="007F6713">
        <w:trPr>
          <w:cantSplit/>
          <w:trHeight w:val="239"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928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857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1,73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55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1,81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02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1,75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</w:tr>
      <w:tr w:rsidR="0083206B" w:rsidRPr="008A4410" w:rsidTr="009C6C43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Целлюлозолитическая активность</w:t>
            </w:r>
          </w:p>
        </w:tc>
      </w:tr>
      <w:tr w:rsidR="0083206B" w:rsidRPr="008A4410" w:rsidTr="00E15462">
        <w:trPr>
          <w:cantSplit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928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0,30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57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0,35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55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0,39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02" w:type="pct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0,37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83206B" w:rsidRPr="008A4410" w:rsidTr="00E15462">
        <w:trPr>
          <w:cantSplit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928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1,22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857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1,35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55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1,40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02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1,37</w:t>
            </w: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±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83206B" w:rsidRPr="008A4410" w:rsidTr="009C6C43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Липолитическая активность</w:t>
            </w:r>
          </w:p>
        </w:tc>
      </w:tr>
      <w:tr w:rsidR="0083206B" w:rsidRPr="008A4410" w:rsidTr="00E15462">
        <w:trPr>
          <w:cantSplit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928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0,58±0,004</w:t>
            </w:r>
          </w:p>
        </w:tc>
        <w:tc>
          <w:tcPr>
            <w:tcW w:w="857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0,60±0,003</w:t>
            </w:r>
          </w:p>
        </w:tc>
        <w:tc>
          <w:tcPr>
            <w:tcW w:w="855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0,63±0,003</w:t>
            </w:r>
          </w:p>
        </w:tc>
        <w:tc>
          <w:tcPr>
            <w:tcW w:w="802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0,62±0,002</w:t>
            </w:r>
          </w:p>
        </w:tc>
      </w:tr>
      <w:tr w:rsidR="0083206B" w:rsidRPr="008A4410" w:rsidTr="007F6713">
        <w:trPr>
          <w:cantSplit/>
          <w:trHeight w:val="207"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928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1,55±0,003</w:t>
            </w:r>
          </w:p>
        </w:tc>
        <w:tc>
          <w:tcPr>
            <w:tcW w:w="857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1,57±0,002</w:t>
            </w:r>
          </w:p>
        </w:tc>
        <w:tc>
          <w:tcPr>
            <w:tcW w:w="855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1,66±0,004</w:t>
            </w:r>
          </w:p>
        </w:tc>
        <w:tc>
          <w:tcPr>
            <w:tcW w:w="802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1,58±0,003</w:t>
            </w:r>
          </w:p>
        </w:tc>
      </w:tr>
      <w:tr w:rsidR="0083206B" w:rsidRPr="008A4410" w:rsidTr="009C6C43">
        <w:trPr>
          <w:cantSplit/>
        </w:trPr>
        <w:tc>
          <w:tcPr>
            <w:tcW w:w="5000" w:type="pct"/>
            <w:gridSpan w:val="5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Амилолитическая активность</w:t>
            </w:r>
          </w:p>
        </w:tc>
      </w:tr>
      <w:tr w:rsidR="0083206B" w:rsidRPr="008A4410" w:rsidTr="00E15462">
        <w:trPr>
          <w:cantSplit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Мышечный желудок</w:t>
            </w:r>
          </w:p>
        </w:tc>
        <w:tc>
          <w:tcPr>
            <w:tcW w:w="928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41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A4410">
              <w:rPr>
                <w:rFonts w:ascii="Times New Roman" w:hAnsi="Times New Roman"/>
                <w:sz w:val="24"/>
                <w:szCs w:val="24"/>
              </w:rPr>
              <w:t>,69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57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0,75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855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0,81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02" w:type="pct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0,78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</w:tr>
      <w:tr w:rsidR="0083206B" w:rsidRPr="008A4410" w:rsidTr="007F6713">
        <w:trPr>
          <w:cantSplit/>
          <w:trHeight w:val="177"/>
        </w:trPr>
        <w:tc>
          <w:tcPr>
            <w:tcW w:w="1558" w:type="pct"/>
          </w:tcPr>
          <w:p w:rsidR="0083206B" w:rsidRPr="008A4410" w:rsidRDefault="0083206B" w:rsidP="00756E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12-перстная кишка</w:t>
            </w:r>
          </w:p>
        </w:tc>
        <w:tc>
          <w:tcPr>
            <w:tcW w:w="928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1,76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57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1,84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855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1,93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02" w:type="pct"/>
            <w:vAlign w:val="center"/>
          </w:tcPr>
          <w:p w:rsidR="0083206B" w:rsidRPr="008A4410" w:rsidRDefault="0083206B" w:rsidP="00756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410">
              <w:rPr>
                <w:rFonts w:ascii="Times New Roman" w:hAnsi="Times New Roman"/>
                <w:sz w:val="24"/>
                <w:szCs w:val="24"/>
              </w:rPr>
              <w:t>1,86</w:t>
            </w:r>
            <w:r w:rsidRPr="008A4410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8A44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</w:tbl>
    <w:p w:rsidR="0083206B" w:rsidRPr="00D24CE9" w:rsidRDefault="0083206B" w:rsidP="00756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206B" w:rsidRPr="00D24CE9" w:rsidRDefault="0083206B" w:rsidP="00756E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Установлено, что добавки препарата Окси-Нил в дозе 600 г/т кормав желудочно-кишечном тракте оказали стимулирующее действие на процессы ферментолиза кормов, поэтому у птицы 2 опытной группы в содержимом мышечного желудка и двенадцатиперстной кишки против контрольных аналогов отмечалось достоверное (Р&lt;0,05) увеличение</w:t>
      </w:r>
      <w:r w:rsidRPr="00AF3CBF">
        <w:rPr>
          <w:rFonts w:ascii="Times New Roman" w:hAnsi="Times New Roman"/>
          <w:sz w:val="28"/>
          <w:szCs w:val="28"/>
        </w:rPr>
        <w:t xml:space="preserve"> </w:t>
      </w:r>
      <w:r w:rsidRPr="00D24CE9">
        <w:rPr>
          <w:rFonts w:ascii="Times New Roman" w:hAnsi="Times New Roman"/>
          <w:sz w:val="28"/>
          <w:szCs w:val="28"/>
        </w:rPr>
        <w:t>активности</w:t>
      </w:r>
      <w:r w:rsidRPr="00AF3CBF">
        <w:rPr>
          <w:rFonts w:ascii="Times New Roman" w:hAnsi="Times New Roman"/>
          <w:sz w:val="28"/>
          <w:szCs w:val="28"/>
        </w:rPr>
        <w:t xml:space="preserve"> </w:t>
      </w:r>
      <w:r w:rsidRPr="00D24CE9">
        <w:rPr>
          <w:rFonts w:ascii="Times New Roman" w:hAnsi="Times New Roman"/>
          <w:sz w:val="28"/>
          <w:szCs w:val="28"/>
        </w:rPr>
        <w:t>протеиназ на 14,5 и 13,1%, целлюлаз – на 30,0 и 14,7%, липаз – на 8,6 и 7,1% и амилаз – на 17,4 и 9,6% соответственно.</w:t>
      </w:r>
    </w:p>
    <w:p w:rsidR="0083206B" w:rsidRPr="00D24CE9" w:rsidRDefault="0083206B" w:rsidP="00756E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>Следовательно, увеличение активности протеиназ, целлюлаз, липаз и амилаз содержимого желудочно-кишечного тракта у цыплят-бройлеров 2 опытной группы послужило фактором увеличения коэффициентов переваримости сырого протеина, клетчатки, жира и БЭВ, что согласуется с результатами физиологических опытов.</w:t>
      </w:r>
    </w:p>
    <w:p w:rsidR="0083206B" w:rsidRPr="00D24CE9" w:rsidRDefault="0083206B" w:rsidP="00756EA5">
      <w:pPr>
        <w:pStyle w:val="BodyText"/>
        <w:tabs>
          <w:tab w:val="left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В ходе </w:t>
      </w:r>
      <w:r w:rsidRPr="00D24CE9">
        <w:rPr>
          <w:rFonts w:ascii="Times New Roman" w:hAnsi="Times New Roman"/>
          <w:sz w:val="28"/>
          <w:szCs w:val="28"/>
          <w:lang w:val="en-US"/>
        </w:rPr>
        <w:t>I</w:t>
      </w:r>
      <w:r w:rsidRPr="00D24CE9">
        <w:rPr>
          <w:rFonts w:ascii="Times New Roman" w:hAnsi="Times New Roman"/>
          <w:sz w:val="28"/>
          <w:szCs w:val="28"/>
        </w:rPr>
        <w:t xml:space="preserve"> и </w:t>
      </w:r>
      <w:r w:rsidRPr="00D24CE9">
        <w:rPr>
          <w:rFonts w:ascii="Times New Roman" w:hAnsi="Times New Roman"/>
          <w:sz w:val="28"/>
          <w:szCs w:val="28"/>
          <w:lang w:val="en-US"/>
        </w:rPr>
        <w:t>II</w:t>
      </w:r>
      <w:r w:rsidRPr="00D24CE9">
        <w:rPr>
          <w:rFonts w:ascii="Times New Roman" w:hAnsi="Times New Roman"/>
          <w:sz w:val="28"/>
          <w:szCs w:val="28"/>
        </w:rPr>
        <w:t xml:space="preserve"> экспериментов установлено, что птица контрольных групп, получавшая основной рацион, имела одинаковую сохранность поголовья (93%), а лучшей жизнеспособностью отличались бройлеры 2-ых опытных групп. Они по данному показателю превзошли своих контрольных аналогов соответственно на 4,0 и 3,0%.</w:t>
      </w:r>
    </w:p>
    <w:p w:rsidR="0083206B" w:rsidRPr="00D24CE9" w:rsidRDefault="0083206B" w:rsidP="004E337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sz w:val="28"/>
          <w:szCs w:val="28"/>
        </w:rPr>
        <w:t xml:space="preserve">Результаты </w:t>
      </w:r>
      <w:r w:rsidRPr="00D24CE9">
        <w:rPr>
          <w:rFonts w:ascii="Times New Roman" w:hAnsi="Times New Roman"/>
          <w:sz w:val="28"/>
          <w:szCs w:val="28"/>
          <w:lang w:val="en-US"/>
        </w:rPr>
        <w:t>I</w:t>
      </w:r>
      <w:r w:rsidRPr="00D24CE9">
        <w:rPr>
          <w:rFonts w:ascii="Times New Roman" w:hAnsi="Times New Roman"/>
          <w:sz w:val="28"/>
          <w:szCs w:val="28"/>
        </w:rPr>
        <w:t xml:space="preserve"> опыта дают основание считать, что лучшее ростостимулирующее действие оказало использование в составе комбикормов зерна ячменя, обработанного озоном в течение 3,0 ч концентрацией 310 мг/м</w:t>
      </w:r>
      <w:r w:rsidRPr="00D24CE9">
        <w:rPr>
          <w:rFonts w:ascii="Times New Roman" w:hAnsi="Times New Roman"/>
          <w:sz w:val="28"/>
          <w:szCs w:val="28"/>
          <w:vertAlign w:val="superscript"/>
        </w:rPr>
        <w:t>3</w:t>
      </w:r>
      <w:r w:rsidRPr="00D24CE9">
        <w:rPr>
          <w:rFonts w:ascii="Times New Roman" w:hAnsi="Times New Roman"/>
          <w:sz w:val="28"/>
          <w:szCs w:val="28"/>
        </w:rPr>
        <w:t xml:space="preserve">. Поэтому по абсолютному и среднесуточному приросту живой массы птица 2 группы достоверно (Р&lt;0,05) превзошла контроль на 10,05%. В процессе </w:t>
      </w:r>
      <w:r w:rsidRPr="00D24CE9">
        <w:rPr>
          <w:rFonts w:ascii="Times New Roman" w:hAnsi="Times New Roman"/>
          <w:sz w:val="28"/>
          <w:szCs w:val="28"/>
          <w:lang w:val="en-US"/>
        </w:rPr>
        <w:t>II</w:t>
      </w:r>
      <w:r w:rsidRPr="00D24CE9">
        <w:rPr>
          <w:rFonts w:ascii="Times New Roman" w:hAnsi="Times New Roman"/>
          <w:sz w:val="28"/>
          <w:szCs w:val="28"/>
        </w:rPr>
        <w:t xml:space="preserve"> опыта было установлено, что более высокой энергии роста цыплят содействовали добавки кормового препарата Окси-Нил в дозе 600 г/т корма, что позволило птице 2 группы превзойти контроль по приросту живой массы на 12,63% (Р&lt;0,05). </w:t>
      </w:r>
    </w:p>
    <w:p w:rsidR="0083206B" w:rsidRPr="00D24CE9" w:rsidRDefault="0083206B" w:rsidP="00756E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CE9">
        <w:rPr>
          <w:rFonts w:ascii="Times New Roman" w:hAnsi="Times New Roman"/>
          <w:color w:val="000000"/>
          <w:sz w:val="28"/>
          <w:szCs w:val="28"/>
        </w:rPr>
        <w:t xml:space="preserve">Таким образом, </w:t>
      </w:r>
      <w:r w:rsidRPr="00D24CE9">
        <w:rPr>
          <w:rFonts w:ascii="Times New Roman" w:hAnsi="Times New Roman"/>
          <w:sz w:val="28"/>
          <w:szCs w:val="28"/>
        </w:rPr>
        <w:t>включение совместно озонированного зерна ячменя и антиоксиданта Окси-Нил в дозе 600 г/т корма в состав рационов цыплят-бройлеров позволяет значительно увеличить сохранность поголовья, мясную продуктивность и положительно влияет на переваримость и усвояемость питательных веществ кормов, сохранность поголовья и приросты живой массы мясной птицы.</w:t>
      </w:r>
    </w:p>
    <w:p w:rsidR="0083206B" w:rsidRDefault="0083206B" w:rsidP="00756E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,Bold" w:hAnsi="Times New Roman"/>
          <w:b/>
          <w:bCs/>
          <w:sz w:val="28"/>
          <w:szCs w:val="28"/>
        </w:rPr>
      </w:pPr>
    </w:p>
    <w:p w:rsidR="0083206B" w:rsidRDefault="0083206B" w:rsidP="00756E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,Bold" w:hAnsi="Times New Roman"/>
          <w:b/>
          <w:bCs/>
          <w:sz w:val="24"/>
          <w:szCs w:val="24"/>
          <w:lang w:val="en-US"/>
        </w:rPr>
      </w:pPr>
      <w:r w:rsidRPr="00AF3CBF">
        <w:rPr>
          <w:rFonts w:ascii="Times New Roman" w:eastAsia="TimesNewRoman,Bold" w:hAnsi="Times New Roman"/>
          <w:b/>
          <w:bCs/>
          <w:sz w:val="24"/>
          <w:szCs w:val="24"/>
        </w:rPr>
        <w:t>Список литературы</w:t>
      </w:r>
    </w:p>
    <w:p w:rsidR="0083206B" w:rsidRPr="00AF3CBF" w:rsidRDefault="0083206B" w:rsidP="00756E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,Bold" w:hAnsi="Times New Roman"/>
          <w:sz w:val="24"/>
          <w:szCs w:val="24"/>
          <w:lang w:val="en-US"/>
        </w:rPr>
      </w:pPr>
    </w:p>
    <w:p w:rsidR="0083206B" w:rsidRPr="008A4DA0" w:rsidRDefault="0083206B" w:rsidP="00790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DA0">
        <w:rPr>
          <w:rFonts w:ascii="Times New Roman" w:hAnsi="Times New Roman"/>
          <w:sz w:val="24"/>
          <w:szCs w:val="24"/>
        </w:rPr>
        <w:t xml:space="preserve">1. </w:t>
      </w:r>
      <w:r w:rsidRPr="008A4DA0">
        <w:rPr>
          <w:rFonts w:ascii="Times New Roman" w:hAnsi="Times New Roman"/>
          <w:bCs/>
          <w:sz w:val="24"/>
          <w:szCs w:val="24"/>
        </w:rPr>
        <w:t>Гадзаонов</w:t>
      </w:r>
      <w:r w:rsidRPr="008A4DA0">
        <w:rPr>
          <w:rFonts w:ascii="Times New Roman" w:hAnsi="Times New Roman"/>
          <w:sz w:val="24"/>
          <w:szCs w:val="24"/>
        </w:rPr>
        <w:t xml:space="preserve"> Р.Х. Использование антиоксиданта и ингибитора плесени в кормах для бройлеров /Р.Х. </w:t>
      </w:r>
      <w:r w:rsidRPr="008A4DA0">
        <w:rPr>
          <w:rFonts w:ascii="Times New Roman" w:hAnsi="Times New Roman"/>
          <w:bCs/>
          <w:sz w:val="24"/>
          <w:szCs w:val="24"/>
        </w:rPr>
        <w:t>Гадзаонов</w:t>
      </w:r>
      <w:r w:rsidRPr="008A4DA0">
        <w:rPr>
          <w:rFonts w:ascii="Times New Roman" w:hAnsi="Times New Roman"/>
          <w:sz w:val="24"/>
          <w:szCs w:val="24"/>
        </w:rPr>
        <w:t>, А. А. Столбовская,  А.А. Баева, Г. К. Кибизов  //Птицеводство. – Москва. – 2009. – № 4. – С. 23-24.</w:t>
      </w:r>
    </w:p>
    <w:p w:rsidR="0083206B" w:rsidRPr="008A4DA0" w:rsidRDefault="0083206B" w:rsidP="00790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DA0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Баева А.А</w:t>
      </w:r>
      <w:r w:rsidRPr="008A4DA0">
        <w:rPr>
          <w:rFonts w:ascii="Times New Roman" w:hAnsi="Times New Roman"/>
          <w:sz w:val="24"/>
          <w:szCs w:val="24"/>
        </w:rPr>
        <w:t xml:space="preserve">. Применение биологически активных добавок в кормлении цыплят-бройлеров. / А.А. Баева, А.А. Столбовская, Ф.Ф. Кокаева, З.Г. Дзидзоева, Ю.С. Цебоева (Ю.С. Гусова), О.Ю. Леонтьева, Г.К. Кибизов //Труды Кубанского государственного аграрного университета. Краснодар. 2008. выпуск № 4 (13). С. 179-182. </w:t>
      </w:r>
    </w:p>
    <w:p w:rsidR="0083206B" w:rsidRPr="008A4DA0" w:rsidRDefault="0083206B" w:rsidP="00790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DA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Вороков В.Х.</w:t>
      </w:r>
      <w:r w:rsidRPr="008A4DA0">
        <w:rPr>
          <w:rFonts w:ascii="Times New Roman" w:hAnsi="Times New Roman"/>
          <w:sz w:val="24"/>
          <w:szCs w:val="24"/>
        </w:rPr>
        <w:t>Качество мяса птицы при использовании в кормах пробиотиков и антиоксидантов. / В.Х. Вороков, Р.Б. Темираев, А.А. Столбовская, Ю.С. Цебоева (Ю.С. Гусова). // Мясная индустрия. 2011. № 10. С. 25-27.</w:t>
      </w:r>
    </w:p>
    <w:p w:rsidR="0083206B" w:rsidRPr="008A4DA0" w:rsidRDefault="0083206B" w:rsidP="00790ADA">
      <w:pPr>
        <w:pStyle w:val="BodyText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DA0">
        <w:rPr>
          <w:rFonts w:ascii="Times New Roman" w:hAnsi="Times New Roman"/>
          <w:sz w:val="24"/>
          <w:szCs w:val="24"/>
        </w:rPr>
        <w:t>4. Вороков В.Х, Хозяйственно-биологические показатели бройлеров при скармливании пробиотика и антиоксидантов. / В.Х. Вороков, А.А. Столбовская, А</w:t>
      </w:r>
      <w:r>
        <w:rPr>
          <w:rFonts w:ascii="Times New Roman" w:hAnsi="Times New Roman"/>
          <w:sz w:val="24"/>
          <w:szCs w:val="24"/>
        </w:rPr>
        <w:t>.А.</w:t>
      </w:r>
      <w:r w:rsidRPr="008A4DA0">
        <w:rPr>
          <w:rFonts w:ascii="Times New Roman" w:hAnsi="Times New Roman"/>
          <w:sz w:val="24"/>
          <w:szCs w:val="24"/>
        </w:rPr>
        <w:t xml:space="preserve"> Баева</w:t>
      </w:r>
      <w:r>
        <w:rPr>
          <w:rFonts w:ascii="Times New Roman" w:hAnsi="Times New Roman"/>
          <w:sz w:val="24"/>
          <w:szCs w:val="24"/>
        </w:rPr>
        <w:t>, Ю.С. Цебоева (Ю.С.Гусова)</w:t>
      </w:r>
      <w:r w:rsidRPr="008A4DA0">
        <w:rPr>
          <w:rFonts w:ascii="Times New Roman" w:hAnsi="Times New Roman"/>
          <w:sz w:val="24"/>
          <w:szCs w:val="24"/>
        </w:rPr>
        <w:t>// Труды Кубанского государственного аграрного университета. Краснодар. 2011. выпуск № 6(33). С. 81-83.</w:t>
      </w:r>
    </w:p>
    <w:p w:rsidR="0083206B" w:rsidRDefault="0083206B" w:rsidP="00790ADA">
      <w:pPr>
        <w:pStyle w:val="ListParagraph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8A4DA0">
        <w:rPr>
          <w:rFonts w:ascii="Times New Roman" w:hAnsi="Times New Roman"/>
          <w:sz w:val="24"/>
          <w:szCs w:val="24"/>
        </w:rPr>
        <w:t xml:space="preserve">5. </w:t>
      </w:r>
      <w:r w:rsidRPr="008E014B">
        <w:rPr>
          <w:rFonts w:ascii="Times New Roman" w:hAnsi="Times New Roman"/>
          <w:iCs/>
          <w:sz w:val="24"/>
          <w:szCs w:val="24"/>
        </w:rPr>
        <w:t xml:space="preserve">Кононенко С.И. </w:t>
      </w:r>
      <w:hyperlink r:id="rId7" w:history="1">
        <w:r w:rsidRPr="008E014B">
          <w:rPr>
            <w:rFonts w:ascii="Times New Roman" w:hAnsi="Times New Roman"/>
            <w:iCs/>
            <w:sz w:val="24"/>
            <w:szCs w:val="24"/>
          </w:rPr>
          <w:t>Физиолого-биохимический статус организма цыплят-бройлеров при совершенствовании технологии обработки кормового зерна</w:t>
        </w:r>
      </w:hyperlink>
      <w:r w:rsidRPr="008E014B">
        <w:rPr>
          <w:rFonts w:ascii="Times New Roman" w:hAnsi="Times New Roman"/>
          <w:iCs/>
          <w:sz w:val="24"/>
          <w:szCs w:val="24"/>
        </w:rPr>
        <w:t xml:space="preserve"> / С.И. Кононенко, В.В. Тедтова, Л.А. Витюк, Ф.Т. Салбиева //</w:t>
      </w:r>
      <w:hyperlink r:id="rId8" w:history="1">
        <w:r w:rsidRPr="008E014B">
          <w:rPr>
            <w:rFonts w:ascii="Times New Roman" w:hAnsi="Times New Roman"/>
            <w:iCs/>
            <w:sz w:val="24"/>
            <w:szCs w:val="24"/>
          </w:rPr>
          <w:t>Политематический сетевой электронный научный журнал Кубанского государс</w:t>
        </w:r>
        <w:r>
          <w:rPr>
            <w:rFonts w:ascii="Times New Roman" w:hAnsi="Times New Roman"/>
            <w:iCs/>
            <w:sz w:val="24"/>
            <w:szCs w:val="24"/>
          </w:rPr>
          <w:t>твенного аграрного университета</w:t>
        </w:r>
      </w:hyperlink>
      <w:r w:rsidRPr="008E014B">
        <w:rPr>
          <w:rFonts w:ascii="Times New Roman" w:hAnsi="Times New Roman"/>
          <w:iCs/>
          <w:sz w:val="24"/>
          <w:szCs w:val="24"/>
        </w:rPr>
        <w:t xml:space="preserve">. – 2012. – </w:t>
      </w:r>
      <w:hyperlink r:id="rId9" w:history="1">
        <w:r w:rsidRPr="008E014B">
          <w:rPr>
            <w:rFonts w:ascii="Times New Roman" w:hAnsi="Times New Roman"/>
            <w:iCs/>
            <w:sz w:val="24"/>
            <w:szCs w:val="24"/>
          </w:rPr>
          <w:t>№ 84</w:t>
        </w:r>
      </w:hyperlink>
      <w:r w:rsidRPr="008E014B">
        <w:rPr>
          <w:rFonts w:ascii="Times New Roman" w:hAnsi="Times New Roman"/>
          <w:iCs/>
          <w:sz w:val="24"/>
          <w:szCs w:val="24"/>
        </w:rPr>
        <w:t>. – С. 482-491.</w:t>
      </w:r>
    </w:p>
    <w:p w:rsidR="0083206B" w:rsidRDefault="0083206B" w:rsidP="00790ADA">
      <w:pPr>
        <w:tabs>
          <w:tab w:val="left" w:pos="0"/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Кононенко</w:t>
      </w:r>
      <w:r w:rsidRPr="00980310">
        <w:rPr>
          <w:rFonts w:ascii="Times New Roman" w:hAnsi="Times New Roman"/>
          <w:sz w:val="24"/>
          <w:szCs w:val="24"/>
        </w:rPr>
        <w:t xml:space="preserve"> С. И. Использование способа озонирования зерна, зараженного плесневыми грибками, применяемого в кормлении цыплят-бройлеров /С. И. Кононенко, Л. А. Витюк, Ф. Т. Салбиева, С. Ч. Савхалова //Известия Горского государственного аграрного университета. - 2012. - Т. 49. - № 4-4. - С.137-140.</w:t>
      </w:r>
    </w:p>
    <w:p w:rsidR="0083206B" w:rsidRPr="00553814" w:rsidRDefault="0083206B" w:rsidP="005669F2">
      <w:pPr>
        <w:tabs>
          <w:tab w:val="left" w:pos="360"/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8E014B">
        <w:rPr>
          <w:rFonts w:ascii="Times New Roman" w:hAnsi="Times New Roman"/>
          <w:iCs/>
          <w:sz w:val="24"/>
          <w:szCs w:val="24"/>
        </w:rPr>
        <w:t>Кононенко С.И.</w:t>
      </w:r>
      <w:r>
        <w:rPr>
          <w:rFonts w:ascii="Times New Roman" w:hAnsi="Times New Roman"/>
          <w:iCs/>
          <w:sz w:val="24"/>
          <w:szCs w:val="24"/>
        </w:rPr>
        <w:t xml:space="preserve"> Особенности пищеварительного обмена у цыплят-бройлеров при нарушении экологии питания /</w:t>
      </w:r>
      <w:r w:rsidRPr="00980310">
        <w:rPr>
          <w:rFonts w:ascii="Times New Roman" w:hAnsi="Times New Roman"/>
          <w:sz w:val="24"/>
          <w:szCs w:val="24"/>
        </w:rPr>
        <w:t xml:space="preserve">/С. И. Кононенко, </w:t>
      </w:r>
      <w:r>
        <w:rPr>
          <w:rFonts w:ascii="Times New Roman" w:hAnsi="Times New Roman"/>
          <w:sz w:val="24"/>
          <w:szCs w:val="24"/>
        </w:rPr>
        <w:t xml:space="preserve">А. А. Столбовская, </w:t>
      </w:r>
      <w:r w:rsidRPr="00980310">
        <w:rPr>
          <w:rFonts w:ascii="Times New Roman" w:hAnsi="Times New Roman"/>
          <w:sz w:val="24"/>
          <w:szCs w:val="24"/>
        </w:rPr>
        <w:t>Л. А. Витюк,</w:t>
      </w:r>
      <w:r>
        <w:rPr>
          <w:rFonts w:ascii="Times New Roman" w:hAnsi="Times New Roman"/>
          <w:sz w:val="24"/>
          <w:szCs w:val="24"/>
        </w:rPr>
        <w:t xml:space="preserve"> В. Г. Паючек, А. Х. Пилов, О. О. Гетоков</w:t>
      </w:r>
      <w:r w:rsidRPr="008E014B">
        <w:rPr>
          <w:rFonts w:ascii="Times New Roman" w:hAnsi="Times New Roman"/>
          <w:iCs/>
          <w:sz w:val="24"/>
          <w:szCs w:val="24"/>
        </w:rPr>
        <w:t xml:space="preserve">// </w:t>
      </w:r>
      <w:hyperlink r:id="rId10" w:history="1">
        <w:r w:rsidRPr="008E014B">
          <w:rPr>
            <w:rFonts w:ascii="Times New Roman" w:hAnsi="Times New Roman"/>
            <w:iCs/>
            <w:sz w:val="24"/>
            <w:szCs w:val="24"/>
          </w:rPr>
          <w:t>Политематический сетевой электронный научный журнал Кубанского государс</w:t>
        </w:r>
        <w:r>
          <w:rPr>
            <w:rFonts w:ascii="Times New Roman" w:hAnsi="Times New Roman"/>
            <w:iCs/>
            <w:sz w:val="24"/>
            <w:szCs w:val="24"/>
          </w:rPr>
          <w:t>твенного аграрного университета</w:t>
        </w:r>
      </w:hyperlink>
      <w:r>
        <w:rPr>
          <w:rFonts w:ascii="Times New Roman" w:hAnsi="Times New Roman"/>
          <w:iCs/>
          <w:sz w:val="24"/>
          <w:szCs w:val="24"/>
        </w:rPr>
        <w:t xml:space="preserve">. – </w:t>
      </w:r>
      <w:r w:rsidRPr="00553814">
        <w:rPr>
          <w:rFonts w:ascii="Times New Roman" w:hAnsi="Times New Roman"/>
          <w:iCs/>
          <w:sz w:val="24"/>
          <w:szCs w:val="24"/>
        </w:rPr>
        <w:t xml:space="preserve">2013. – Т. 87. - </w:t>
      </w:r>
      <w:hyperlink r:id="rId11" w:history="1">
        <w:r w:rsidRPr="00553814">
          <w:rPr>
            <w:rFonts w:ascii="Times New Roman" w:hAnsi="Times New Roman"/>
            <w:iCs/>
            <w:sz w:val="24"/>
            <w:szCs w:val="24"/>
          </w:rPr>
          <w:t>№ 8</w:t>
        </w:r>
      </w:hyperlink>
      <w:r w:rsidRPr="00553814">
        <w:rPr>
          <w:rFonts w:ascii="Times New Roman" w:hAnsi="Times New Roman"/>
          <w:sz w:val="24"/>
          <w:szCs w:val="24"/>
        </w:rPr>
        <w:t>7-87 (03)</w:t>
      </w:r>
      <w:r w:rsidRPr="00553814">
        <w:rPr>
          <w:rFonts w:ascii="Times New Roman" w:hAnsi="Times New Roman"/>
          <w:iCs/>
          <w:sz w:val="24"/>
          <w:szCs w:val="24"/>
        </w:rPr>
        <w:t>. – С.</w:t>
      </w:r>
      <w:r>
        <w:rPr>
          <w:rFonts w:ascii="Times New Roman" w:hAnsi="Times New Roman"/>
          <w:iCs/>
          <w:sz w:val="24"/>
          <w:szCs w:val="24"/>
        </w:rPr>
        <w:t xml:space="preserve"> 408-417.</w:t>
      </w:r>
    </w:p>
    <w:p w:rsidR="0083206B" w:rsidRDefault="0083206B" w:rsidP="00790ADA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 xml:space="preserve">Мамукаев М. Н. </w:t>
      </w:r>
      <w:r w:rsidRPr="00F13811">
        <w:rPr>
          <w:rFonts w:ascii="Times New Roman" w:hAnsi="Times New Roman"/>
          <w:sz w:val="24"/>
          <w:szCs w:val="24"/>
        </w:rPr>
        <w:t>Применения озонирования зерна и ингибитора плесени для снижения риска микотоксикоза и повышения потребительских качеств мяса цыплят-бройлеров /М.Н. Мамукаев, С. И. Кононен</w:t>
      </w:r>
      <w:r>
        <w:rPr>
          <w:rFonts w:ascii="Times New Roman" w:hAnsi="Times New Roman"/>
          <w:sz w:val="24"/>
          <w:szCs w:val="24"/>
        </w:rPr>
        <w:t>ко, Л.А. Витюк, Ф.Т. Салбиева</w:t>
      </w:r>
      <w:r w:rsidRPr="00F13811">
        <w:rPr>
          <w:rFonts w:ascii="Times New Roman" w:hAnsi="Times New Roman"/>
          <w:sz w:val="24"/>
          <w:szCs w:val="24"/>
        </w:rPr>
        <w:t xml:space="preserve"> //</w:t>
      </w:r>
      <w:r w:rsidRPr="00F138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Известия Горского государственного аграрного университета. – 2012. – Т. 49. – № -3. – С. 166-169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3206B" w:rsidRDefault="0083206B" w:rsidP="00790ADA">
      <w:pPr>
        <w:pStyle w:val="BodyText2"/>
        <w:spacing w:after="0" w:line="240" w:lineRule="auto"/>
        <w:jc w:val="both"/>
        <w:rPr>
          <w:rStyle w:val="7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8A4DA0">
        <w:rPr>
          <w:rStyle w:val="7"/>
          <w:rFonts w:ascii="Times New Roman" w:hAnsi="Times New Roman"/>
          <w:color w:val="000000"/>
          <w:sz w:val="24"/>
          <w:szCs w:val="24"/>
        </w:rPr>
        <w:t>Темираев Р.Б. Способ обеззараживания зерна ячменя / Р.Б. Темираев, А.А. Столбовская, Г.Н. Чохатариди, Т.З. Мильдзихов и др. // Патент на изобретение №32378814. - М., 2010.</w:t>
      </w:r>
    </w:p>
    <w:p w:rsidR="0083206B" w:rsidRDefault="0083206B" w:rsidP="00115296">
      <w:pPr>
        <w:spacing w:after="0" w:line="240" w:lineRule="auto"/>
        <w:ind w:firstLine="709"/>
        <w:jc w:val="both"/>
        <w:rPr>
          <w:rStyle w:val="7"/>
          <w:rFonts w:ascii="Times New Roman" w:hAnsi="Times New Roman"/>
          <w:color w:val="000000"/>
          <w:sz w:val="24"/>
          <w:szCs w:val="24"/>
          <w:lang w:val="en-US"/>
        </w:rPr>
      </w:pPr>
    </w:p>
    <w:p w:rsidR="0083206B" w:rsidRDefault="0083206B" w:rsidP="0011529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9287C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83206B" w:rsidRPr="0039287C" w:rsidRDefault="0083206B" w:rsidP="0011529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1. Gadzaonov R.H. Ispol'zovanie antioksidanta i ingibitora pleseni v kormah dlja brojlerov /R.H. Gadzaonov, A. A. Stolbovskaja,  A.A. Baeva, G. K. Kibizov  //Pticevodstvo. – Moskva. – 2009. – № 4. – S. 23-24.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 xml:space="preserve">2. Baeva A.A. Primenenie biologicheski aktivnyh dobavok v kormlenii cypljat-brojlerov. / A.A. Baeva, A.A. Stolbovskaja, F.F. Kokaeva, Z.G. Dzidzoeva, Ju.S. Ceboeva (Ju.S. Gusova), O.Ju. Leont'eva, G.K. Kibizov //Trudy Kubanskogo gosudarstvennogo agrarnogo universiteta. Krasnodar. 2008. vypusk № 4 (13). S. 179-182. 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3. Vorokov V.H.Kachestvo mjasa pticy pri ispol'zovanii v kormah probiotikov i antioksidantov. / V.H. Vorokov, R.B. Temiraev, A.A. Stolbovskaja, Ju.S. Ceboeva (Ju.S. Gusova). // Mjasnaja industrija. 2011. № 10. S. 25-27.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4. Vorokov V.H, Hozjajstvenno-biologicheskie pokazateli brojlerov pri skarmlivanii probiotika i antioksidantov. / V.H. Vorokov, A.A. Stolbovskaja, A.A. Baeva, Ju.S. Ceboeva (Ju.S.Gusova)// Trudy Kubanskogo gosudarstvennogo agrarnogo universiteta. Krasnodar. 2011. vypusk № 6(33). S. 81-83.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5. Kononenko S.I. Fiziologo-biohimicheskij status organizma cypljat-brojlerov pri sovershenstvovanii tehnologii obrabotki kormovogo zerna / S.I. Kononenko, V.V. Tedtova, L.A. Vitjuk, F.T. Salbieva //Politematicheskij setevoj jelektronnyj nauchnyj zhurnal Kubanskogo gosudarstvennogo agrarnogo universiteta. – 2012. – № 84. – S. 482-491.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6. Kononenko S. I. Ispol'zovanie sposoba ozonirovanija zerna, zarazhennogo plesnevymi gribkami, primenjaemogo v kormlenii cypljat-brojlerov /S. I. Kononenko, L. A. Vitjuk, F. T. Salbieva, S. Ch. Savhalova //Izvestija Gorskogo gosudarstvennogo agrarnogo universiteta. - 2012. - T. 49. - № 4-4. - S.137-140.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7. Kononenko S.I. Osobennosti pishhevaritel'nogo obmena u cypljat-brojlerov pri narushenii jekologii pitanija //S. I. Kononenko, A. A. Stolbovskaja, L. A. Vitjuk, V. G. Pajuchek, A. H. Pilov, O. O. Getokov// Politematicheskij setevoj jelektronnyj nauchnyj zhurnal Kubanskogo gosudarstvennogo agrarnogo universiteta. – 2013. – T. 87. - № 87-87 (03). – S. 408-417.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8.Mamukaev M. N. Primenenija ozonirovanija zerna i ingibitora pleseni dlja snizhenija riska mikotoksikoza i povyshenija potrebitel'skih kachestv mjasa cypljat-brojlerov /M.N. Mamukaev, S. I. Kononenko, L.A. Vitjuk, F.T. Salbieva //Izvestija Gorskogo gosudarstvennogo agrarnogo universiteta. – 2012. – T. 49. – № -3. – S. 166-169.</w:t>
      </w:r>
    </w:p>
    <w:p w:rsidR="0083206B" w:rsidRPr="00AF3CBF" w:rsidRDefault="0083206B" w:rsidP="00AF3CBF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F3CBF">
        <w:rPr>
          <w:rFonts w:ascii="Times New Roman" w:hAnsi="Times New Roman"/>
          <w:sz w:val="24"/>
          <w:szCs w:val="24"/>
          <w:lang w:val="en-US"/>
        </w:rPr>
        <w:t>9. Temiraev R.B. Sposob obezzarazhivanija zerna jachmenja / R.B. Temiraev, A.A. Stolbovskaja, G.N. Chohataridi, T.Z. Mil'dzihov i dr. // Patent na izobretenie №32378814. - M., 2010.</w:t>
      </w:r>
    </w:p>
    <w:sectPr w:rsidR="0083206B" w:rsidRPr="00AF3CBF" w:rsidSect="00790ADA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06B" w:rsidRDefault="0083206B" w:rsidP="00F11F24">
      <w:pPr>
        <w:spacing w:after="0" w:line="240" w:lineRule="auto"/>
      </w:pPr>
      <w:r>
        <w:separator/>
      </w:r>
    </w:p>
  </w:endnote>
  <w:endnote w:type="continuationSeparator" w:id="1">
    <w:p w:rsidR="0083206B" w:rsidRDefault="0083206B" w:rsidP="00F1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06B" w:rsidRPr="00197B91" w:rsidRDefault="0083206B">
    <w:pPr>
      <w:pStyle w:val="Footer"/>
      <w:rPr>
        <w:rFonts w:ascii="Times New Roman" w:hAnsi="Times New Roman"/>
      </w:rPr>
    </w:pPr>
    <w:bookmarkStart w:id="1" w:name="OLE_LINK331"/>
    <w:bookmarkStart w:id="2" w:name="OLE_LINK332"/>
    <w:r w:rsidRPr="00197B91">
      <w:rPr>
        <w:rFonts w:ascii="Times New Roman" w:hAnsi="Times New Roman"/>
        <w:sz w:val="24"/>
      </w:rPr>
      <w:t>http://ej.kubagro.ru/201</w:t>
    </w:r>
    <w:r w:rsidRPr="00197B91">
      <w:rPr>
        <w:rFonts w:ascii="Times New Roman" w:hAnsi="Times New Roman"/>
        <w:sz w:val="24"/>
        <w:lang w:val="en-US"/>
      </w:rPr>
      <w:t>4</w:t>
    </w:r>
    <w:r w:rsidRPr="00197B91">
      <w:rPr>
        <w:rFonts w:ascii="Times New Roman" w:hAnsi="Times New Roman"/>
        <w:sz w:val="24"/>
      </w:rPr>
      <w:t>/</w:t>
    </w:r>
    <w:r w:rsidRPr="00197B91">
      <w:rPr>
        <w:rFonts w:ascii="Times New Roman" w:hAnsi="Times New Roman"/>
        <w:sz w:val="24"/>
        <w:lang w:val="en-US"/>
      </w:rPr>
      <w:t>03</w:t>
    </w:r>
    <w:r w:rsidRPr="00197B91">
      <w:rPr>
        <w:rFonts w:ascii="Times New Roman" w:hAnsi="Times New Roman"/>
        <w:sz w:val="24"/>
      </w:rPr>
      <w:t>/pdf/</w:t>
    </w:r>
    <w:r w:rsidRPr="00197B91">
      <w:rPr>
        <w:rFonts w:ascii="Times New Roman" w:hAnsi="Times New Roman"/>
        <w:sz w:val="24"/>
        <w:lang w:val="en-US"/>
      </w:rPr>
      <w:t>6</w:t>
    </w:r>
    <w:r>
      <w:rPr>
        <w:rFonts w:ascii="Times New Roman" w:hAnsi="Times New Roman"/>
        <w:sz w:val="24"/>
        <w:lang w:val="en-US"/>
      </w:rPr>
      <w:t>6</w:t>
    </w:r>
    <w:r w:rsidRPr="00197B91">
      <w:rPr>
        <w:rFonts w:ascii="Times New Roman" w:hAnsi="Times New Roman"/>
        <w:sz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06B" w:rsidRDefault="0083206B" w:rsidP="00F11F24">
      <w:pPr>
        <w:spacing w:after="0" w:line="240" w:lineRule="auto"/>
      </w:pPr>
      <w:r>
        <w:separator/>
      </w:r>
    </w:p>
  </w:footnote>
  <w:footnote w:type="continuationSeparator" w:id="1">
    <w:p w:rsidR="0083206B" w:rsidRDefault="0083206B" w:rsidP="00F1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06B" w:rsidRDefault="0083206B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206B" w:rsidRDefault="0083206B" w:rsidP="005525F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06B" w:rsidRPr="005525F2" w:rsidRDefault="0083206B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525F2">
      <w:rPr>
        <w:rStyle w:val="PageNumber"/>
        <w:rFonts w:ascii="Times New Roman" w:hAnsi="Times New Roman"/>
        <w:sz w:val="28"/>
        <w:szCs w:val="28"/>
      </w:rPr>
      <w:fldChar w:fldCharType="begin"/>
    </w:r>
    <w:r w:rsidRPr="005525F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525F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5525F2">
      <w:rPr>
        <w:rStyle w:val="PageNumber"/>
        <w:rFonts w:ascii="Times New Roman" w:hAnsi="Times New Roman"/>
        <w:sz w:val="28"/>
        <w:szCs w:val="28"/>
      </w:rPr>
      <w:fldChar w:fldCharType="end"/>
    </w:r>
  </w:p>
  <w:p w:rsidR="0083206B" w:rsidRPr="005525F2" w:rsidRDefault="0083206B" w:rsidP="005525F2">
    <w:pPr>
      <w:pStyle w:val="Header"/>
      <w:ind w:right="360"/>
      <w:rPr>
        <w:lang w:val="en-US"/>
      </w:rPr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  <w:p w:rsidR="0083206B" w:rsidRDefault="008320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C1335"/>
    <w:multiLevelType w:val="hybridMultilevel"/>
    <w:tmpl w:val="1B38955A"/>
    <w:lvl w:ilvl="0" w:tplc="0F3AA1B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12C"/>
    <w:rsid w:val="00025878"/>
    <w:rsid w:val="000318B8"/>
    <w:rsid w:val="00074683"/>
    <w:rsid w:val="000A6616"/>
    <w:rsid w:val="000F6B3D"/>
    <w:rsid w:val="00115296"/>
    <w:rsid w:val="00197B91"/>
    <w:rsid w:val="001B040C"/>
    <w:rsid w:val="001B0D78"/>
    <w:rsid w:val="002139B0"/>
    <w:rsid w:val="00226635"/>
    <w:rsid w:val="00234A2A"/>
    <w:rsid w:val="0023757A"/>
    <w:rsid w:val="00254EFE"/>
    <w:rsid w:val="00276C3D"/>
    <w:rsid w:val="002823BC"/>
    <w:rsid w:val="002D0E4B"/>
    <w:rsid w:val="0036456E"/>
    <w:rsid w:val="003835A5"/>
    <w:rsid w:val="0039287C"/>
    <w:rsid w:val="003C5AE4"/>
    <w:rsid w:val="00417D34"/>
    <w:rsid w:val="00444457"/>
    <w:rsid w:val="0048512C"/>
    <w:rsid w:val="004E337F"/>
    <w:rsid w:val="004F350F"/>
    <w:rsid w:val="005525F2"/>
    <w:rsid w:val="00553814"/>
    <w:rsid w:val="005669F2"/>
    <w:rsid w:val="005F6C8D"/>
    <w:rsid w:val="006213E8"/>
    <w:rsid w:val="006225F5"/>
    <w:rsid w:val="006646CB"/>
    <w:rsid w:val="006A038A"/>
    <w:rsid w:val="006B0597"/>
    <w:rsid w:val="006B18E7"/>
    <w:rsid w:val="006B75F0"/>
    <w:rsid w:val="006C429E"/>
    <w:rsid w:val="00706EFE"/>
    <w:rsid w:val="00710087"/>
    <w:rsid w:val="007423CD"/>
    <w:rsid w:val="00742848"/>
    <w:rsid w:val="007508C8"/>
    <w:rsid w:val="00756EA5"/>
    <w:rsid w:val="00757DA1"/>
    <w:rsid w:val="007608DD"/>
    <w:rsid w:val="00790ADA"/>
    <w:rsid w:val="007E11AD"/>
    <w:rsid w:val="007F6713"/>
    <w:rsid w:val="007F682F"/>
    <w:rsid w:val="008074FF"/>
    <w:rsid w:val="0083206B"/>
    <w:rsid w:val="00844879"/>
    <w:rsid w:val="008459AE"/>
    <w:rsid w:val="00883CAF"/>
    <w:rsid w:val="00897197"/>
    <w:rsid w:val="008A4410"/>
    <w:rsid w:val="008A4DA0"/>
    <w:rsid w:val="008E014B"/>
    <w:rsid w:val="00980310"/>
    <w:rsid w:val="00980B5D"/>
    <w:rsid w:val="00980BBD"/>
    <w:rsid w:val="009C66FA"/>
    <w:rsid w:val="009C6C43"/>
    <w:rsid w:val="00A302C6"/>
    <w:rsid w:val="00AB31A8"/>
    <w:rsid w:val="00AB5976"/>
    <w:rsid w:val="00AC5F57"/>
    <w:rsid w:val="00AD4183"/>
    <w:rsid w:val="00AF3CBF"/>
    <w:rsid w:val="00B0581B"/>
    <w:rsid w:val="00B1401B"/>
    <w:rsid w:val="00B166BC"/>
    <w:rsid w:val="00B23E0F"/>
    <w:rsid w:val="00B72E45"/>
    <w:rsid w:val="00B73B7F"/>
    <w:rsid w:val="00B810AD"/>
    <w:rsid w:val="00B87F1D"/>
    <w:rsid w:val="00BE4F1A"/>
    <w:rsid w:val="00BE7954"/>
    <w:rsid w:val="00C001B2"/>
    <w:rsid w:val="00C23C62"/>
    <w:rsid w:val="00C9483F"/>
    <w:rsid w:val="00CE3446"/>
    <w:rsid w:val="00D24CE9"/>
    <w:rsid w:val="00DC7A66"/>
    <w:rsid w:val="00E15462"/>
    <w:rsid w:val="00E35792"/>
    <w:rsid w:val="00E82891"/>
    <w:rsid w:val="00ED4982"/>
    <w:rsid w:val="00F03BE7"/>
    <w:rsid w:val="00F11F24"/>
    <w:rsid w:val="00F13811"/>
    <w:rsid w:val="00F52531"/>
    <w:rsid w:val="00F77C0C"/>
    <w:rsid w:val="00FD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61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8512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8512C"/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48512C"/>
    <w:rPr>
      <w:rFonts w:cs="Times New Roman"/>
      <w:i/>
      <w:iCs/>
    </w:rPr>
  </w:style>
  <w:style w:type="paragraph" w:styleId="BodyText">
    <w:name w:val="Body Text"/>
    <w:basedOn w:val="Normal"/>
    <w:link w:val="BodyTextChar"/>
    <w:uiPriority w:val="99"/>
    <w:rsid w:val="001B0D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B0D78"/>
    <w:rPr>
      <w:rFonts w:cs="Times New Roman"/>
    </w:rPr>
  </w:style>
  <w:style w:type="paragraph" w:customStyle="1" w:styleId="1">
    <w:name w:val="Обычный1"/>
    <w:uiPriority w:val="99"/>
    <w:rsid w:val="00E82891"/>
    <w:pPr>
      <w:widowControl w:val="0"/>
      <w:snapToGrid w:val="0"/>
    </w:pPr>
    <w:rPr>
      <w:rFonts w:ascii="Times New Roman" w:hAnsi="Times New Roman"/>
      <w:sz w:val="20"/>
      <w:szCs w:val="20"/>
    </w:rPr>
  </w:style>
  <w:style w:type="paragraph" w:customStyle="1" w:styleId="11">
    <w:name w:val="Обычный11"/>
    <w:uiPriority w:val="99"/>
    <w:rsid w:val="00074683"/>
    <w:pPr>
      <w:widowControl w:val="0"/>
      <w:spacing w:line="440" w:lineRule="auto"/>
      <w:ind w:left="360" w:hanging="320"/>
    </w:pPr>
    <w:rPr>
      <w:rFonts w:ascii="Times New Roman" w:hAnsi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3C5A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C5AE4"/>
    <w:rPr>
      <w:rFonts w:cs="Times New Roman"/>
    </w:rPr>
  </w:style>
  <w:style w:type="paragraph" w:styleId="ListParagraph">
    <w:name w:val="List Paragraph"/>
    <w:basedOn w:val="Normal"/>
    <w:uiPriority w:val="99"/>
    <w:qFormat/>
    <w:rsid w:val="003C5AE4"/>
    <w:pPr>
      <w:ind w:left="720"/>
      <w:contextualSpacing/>
    </w:pPr>
  </w:style>
  <w:style w:type="character" w:customStyle="1" w:styleId="7">
    <w:name w:val="Основной текст (7)"/>
    <w:basedOn w:val="DefaultParagraphFont"/>
    <w:uiPriority w:val="99"/>
    <w:rsid w:val="003C5AE4"/>
    <w:rPr>
      <w:rFonts w:cs="Times New Roman"/>
      <w:sz w:val="17"/>
      <w:szCs w:val="17"/>
      <w:lang w:bidi="ar-SA"/>
    </w:rPr>
  </w:style>
  <w:style w:type="paragraph" w:styleId="Header">
    <w:name w:val="header"/>
    <w:basedOn w:val="Normal"/>
    <w:link w:val="HeaderChar"/>
    <w:uiPriority w:val="99"/>
    <w:rsid w:val="00F1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11F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1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1F24"/>
    <w:rPr>
      <w:rFonts w:cs="Times New Roman"/>
    </w:rPr>
  </w:style>
  <w:style w:type="character" w:styleId="PageNumber">
    <w:name w:val="page number"/>
    <w:basedOn w:val="DefaultParagraphFont"/>
    <w:uiPriority w:val="99"/>
    <w:rsid w:val="005525F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099833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844339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1099833&amp;selid=1844339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library.ru/contents.asp?issueid=10998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1099833&amp;selid=1844339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11</Pages>
  <Words>3318</Words>
  <Characters>18916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admin</cp:lastModifiedBy>
  <cp:revision>6</cp:revision>
  <cp:lastPrinted>2014-03-10T15:59:00Z</cp:lastPrinted>
  <dcterms:created xsi:type="dcterms:W3CDTF">2014-03-10T16:03:00Z</dcterms:created>
  <dcterms:modified xsi:type="dcterms:W3CDTF">2014-03-16T06:57:00Z</dcterms:modified>
</cp:coreProperties>
</file>