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0A0"/>
      </w:tblPr>
      <w:tblGrid>
        <w:gridCol w:w="4643"/>
        <w:gridCol w:w="4643"/>
      </w:tblGrid>
      <w:tr w:rsidR="00411425" w:rsidRPr="006A663A" w:rsidTr="006A663A">
        <w:trPr>
          <w:trHeight w:val="315"/>
        </w:trPr>
        <w:tc>
          <w:tcPr>
            <w:tcW w:w="4643" w:type="dxa"/>
          </w:tcPr>
          <w:p w:rsidR="00411425" w:rsidRPr="006A663A" w:rsidRDefault="00411425" w:rsidP="006A663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A663A">
              <w:rPr>
                <w:rFonts w:ascii="Times New Roman" w:hAnsi="Times New Roman"/>
                <w:sz w:val="20"/>
                <w:szCs w:val="20"/>
              </w:rPr>
              <w:t>УДК 338.12.017</w:t>
            </w:r>
          </w:p>
          <w:p w:rsidR="00411425" w:rsidRPr="006A663A" w:rsidRDefault="00411425" w:rsidP="006A663A">
            <w:pPr>
              <w:spacing w:after="0" w:line="240" w:lineRule="auto"/>
              <w:ind w:firstLine="7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43" w:type="dxa"/>
          </w:tcPr>
          <w:p w:rsidR="00411425" w:rsidRPr="006A663A" w:rsidRDefault="00411425" w:rsidP="006A663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A663A">
              <w:rPr>
                <w:rFonts w:ascii="Times New Roman" w:hAnsi="Times New Roman"/>
                <w:sz w:val="20"/>
                <w:szCs w:val="20"/>
              </w:rPr>
              <w:t>UDC 338.12.017</w:t>
            </w:r>
          </w:p>
        </w:tc>
      </w:tr>
      <w:tr w:rsidR="00411425" w:rsidRPr="006D5973" w:rsidTr="006A663A">
        <w:trPr>
          <w:trHeight w:val="693"/>
        </w:trPr>
        <w:tc>
          <w:tcPr>
            <w:tcW w:w="4643" w:type="dxa"/>
          </w:tcPr>
          <w:p w:rsidR="00411425" w:rsidRPr="006A663A" w:rsidRDefault="00411425" w:rsidP="006A663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6A663A">
              <w:rPr>
                <w:rFonts w:ascii="Times New Roman" w:hAnsi="Times New Roman"/>
                <w:b/>
                <w:sz w:val="20"/>
                <w:szCs w:val="20"/>
              </w:rPr>
              <w:t>ДОСТОВЕРНОСТЬ ПЕРВИЧНЫХ ДАННЫХ - ОСНОВА ФОРМИРОВАНИЯ УЧЕТНОЙ И</w:t>
            </w:r>
            <w:r w:rsidRPr="006A663A">
              <w:rPr>
                <w:rFonts w:ascii="Times New Roman" w:hAnsi="Times New Roman"/>
                <w:b/>
                <w:sz w:val="20"/>
                <w:szCs w:val="20"/>
              </w:rPr>
              <w:t>Н</w:t>
            </w:r>
            <w:r w:rsidRPr="006A663A">
              <w:rPr>
                <w:rFonts w:ascii="Times New Roman" w:hAnsi="Times New Roman"/>
                <w:b/>
                <w:sz w:val="20"/>
                <w:szCs w:val="20"/>
              </w:rPr>
              <w:t>ФОРМАЦИИ</w:t>
            </w:r>
          </w:p>
          <w:p w:rsidR="00411425" w:rsidRPr="006A663A" w:rsidRDefault="00411425" w:rsidP="006A663A">
            <w:pPr>
              <w:tabs>
                <w:tab w:val="left" w:pos="309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A663A">
              <w:rPr>
                <w:rFonts w:ascii="Times New Roman" w:hAnsi="Times New Roman"/>
                <w:sz w:val="20"/>
                <w:szCs w:val="20"/>
              </w:rPr>
              <w:tab/>
            </w:r>
          </w:p>
        </w:tc>
        <w:tc>
          <w:tcPr>
            <w:tcW w:w="4643" w:type="dxa"/>
          </w:tcPr>
          <w:p w:rsidR="00411425" w:rsidRPr="006A663A" w:rsidRDefault="00411425" w:rsidP="006A663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6A663A"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  <w:t xml:space="preserve">THE RELIABILITY OF PRIMARY DATA 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  <w:t>AS A</w:t>
            </w:r>
            <w:r w:rsidRPr="006A663A"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  <w:t xml:space="preserve"> B</w:t>
            </w:r>
            <w:r w:rsidRPr="006A663A"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  <w:t>A</w:t>
            </w:r>
            <w:r w:rsidRPr="006A663A"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  <w:t>SIS OF ACCOUNTING INFORMATION</w:t>
            </w:r>
          </w:p>
        </w:tc>
      </w:tr>
      <w:tr w:rsidR="00411425" w:rsidRPr="006D5973" w:rsidTr="00BE37E2">
        <w:trPr>
          <w:trHeight w:val="421"/>
        </w:trPr>
        <w:tc>
          <w:tcPr>
            <w:tcW w:w="4643" w:type="dxa"/>
          </w:tcPr>
          <w:p w:rsidR="00411425" w:rsidRPr="006A663A" w:rsidRDefault="00411425" w:rsidP="006A663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A663A">
              <w:rPr>
                <w:rFonts w:ascii="Times New Roman" w:hAnsi="Times New Roman"/>
                <w:sz w:val="20"/>
                <w:szCs w:val="20"/>
              </w:rPr>
              <w:t>Першин Сергей Петрович</w:t>
            </w:r>
          </w:p>
          <w:p w:rsidR="00411425" w:rsidRPr="006A663A" w:rsidRDefault="00411425" w:rsidP="006A663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A663A">
              <w:rPr>
                <w:rFonts w:ascii="Times New Roman" w:hAnsi="Times New Roman"/>
                <w:sz w:val="20"/>
                <w:szCs w:val="20"/>
              </w:rPr>
              <w:t>к.э.н., доцент</w:t>
            </w:r>
          </w:p>
        </w:tc>
        <w:tc>
          <w:tcPr>
            <w:tcW w:w="4643" w:type="dxa"/>
          </w:tcPr>
          <w:p w:rsidR="00411425" w:rsidRPr="006A663A" w:rsidRDefault="00411425" w:rsidP="006A663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A663A">
              <w:rPr>
                <w:rFonts w:ascii="Times New Roman" w:hAnsi="Times New Roman"/>
                <w:sz w:val="20"/>
                <w:szCs w:val="20"/>
                <w:lang w:val="en-US"/>
              </w:rPr>
              <w:t>Pershin Sergey Petrovich</w:t>
            </w:r>
            <w:r w:rsidRPr="006A663A">
              <w:rPr>
                <w:rFonts w:ascii="Times New Roman" w:hAnsi="Times New Roman"/>
                <w:sz w:val="20"/>
                <w:szCs w:val="20"/>
                <w:lang w:val="en-US"/>
              </w:rPr>
              <w:br/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Cand</w:t>
            </w:r>
            <w:r w:rsidRPr="006A663A">
              <w:rPr>
                <w:rFonts w:ascii="Times New Roman" w:hAnsi="Times New Roman"/>
                <w:sz w:val="20"/>
                <w:szCs w:val="20"/>
                <w:lang w:val="en-US"/>
              </w:rPr>
              <w:t>.Econ.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Sci.</w:t>
            </w:r>
            <w:r w:rsidRPr="006A663A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associate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p</w:t>
            </w:r>
            <w:r w:rsidRPr="006A663A">
              <w:rPr>
                <w:rFonts w:ascii="Times New Roman" w:hAnsi="Times New Roman"/>
                <w:sz w:val="20"/>
                <w:szCs w:val="20"/>
                <w:lang w:val="en-US"/>
              </w:rPr>
              <w:t>rofessor</w:t>
            </w:r>
          </w:p>
        </w:tc>
      </w:tr>
      <w:tr w:rsidR="00411425" w:rsidRPr="006D5973" w:rsidTr="006A663A">
        <w:trPr>
          <w:trHeight w:val="444"/>
        </w:trPr>
        <w:tc>
          <w:tcPr>
            <w:tcW w:w="4643" w:type="dxa"/>
          </w:tcPr>
          <w:p w:rsidR="00411425" w:rsidRPr="006A663A" w:rsidRDefault="00411425" w:rsidP="006A663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411425" w:rsidRPr="006A663A" w:rsidRDefault="00411425" w:rsidP="006A663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A663A">
              <w:rPr>
                <w:rFonts w:ascii="Times New Roman" w:hAnsi="Times New Roman"/>
                <w:sz w:val="20"/>
                <w:szCs w:val="20"/>
              </w:rPr>
              <w:t>Нежинская Анастасия Александровна</w:t>
            </w:r>
          </w:p>
          <w:p w:rsidR="00411425" w:rsidRPr="006A663A" w:rsidRDefault="00411425" w:rsidP="006A663A">
            <w:pPr>
              <w:tabs>
                <w:tab w:val="left" w:pos="3285"/>
              </w:tabs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6A663A">
              <w:rPr>
                <w:rFonts w:ascii="Times New Roman" w:hAnsi="Times New Roman"/>
                <w:sz w:val="20"/>
                <w:szCs w:val="20"/>
              </w:rPr>
              <w:t>студентка учетно-финансового факультета</w:t>
            </w:r>
            <w:r w:rsidRPr="006A663A">
              <w:rPr>
                <w:rFonts w:ascii="Times New Roman" w:hAnsi="Times New Roman"/>
                <w:sz w:val="20"/>
                <w:szCs w:val="20"/>
              </w:rPr>
              <w:tab/>
            </w:r>
          </w:p>
        </w:tc>
        <w:tc>
          <w:tcPr>
            <w:tcW w:w="4643" w:type="dxa"/>
          </w:tcPr>
          <w:p w:rsidR="00411425" w:rsidRPr="006A663A" w:rsidRDefault="00411425" w:rsidP="006A663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411425" w:rsidRPr="006A663A" w:rsidRDefault="00411425" w:rsidP="006A663A">
            <w:pPr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  <w:lang w:val="en-US"/>
              </w:rPr>
            </w:pPr>
            <w:r w:rsidRPr="006A663A">
              <w:rPr>
                <w:rFonts w:ascii="Times New Roman" w:hAnsi="Times New Roman"/>
                <w:sz w:val="20"/>
                <w:szCs w:val="20"/>
                <w:lang w:val="en-US"/>
              </w:rPr>
              <w:t>Nezhinskaya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6A663A">
              <w:rPr>
                <w:rFonts w:ascii="Times New Roman" w:hAnsi="Times New Roman"/>
                <w:sz w:val="20"/>
                <w:szCs w:val="20"/>
                <w:lang w:val="en-US"/>
              </w:rPr>
              <w:t>Anastasiya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6A663A">
              <w:rPr>
                <w:rFonts w:ascii="Times New Roman" w:hAnsi="Times New Roman"/>
                <w:sz w:val="20"/>
                <w:szCs w:val="20"/>
                <w:lang w:val="en-US"/>
              </w:rPr>
              <w:t>Aleksandrovna</w:t>
            </w:r>
            <w:bookmarkStart w:id="0" w:name="_GoBack"/>
            <w:bookmarkEnd w:id="0"/>
            <w:r w:rsidRPr="006A663A">
              <w:rPr>
                <w:rFonts w:ascii="Times New Roman" w:hAnsi="Times New Roman"/>
                <w:sz w:val="20"/>
                <w:szCs w:val="20"/>
                <w:lang w:val="en-US"/>
              </w:rPr>
              <w:br/>
              <w:t>student of the Accounting and financial Department</w:t>
            </w:r>
          </w:p>
        </w:tc>
      </w:tr>
      <w:tr w:rsidR="00411425" w:rsidRPr="006D5973" w:rsidTr="006A663A">
        <w:trPr>
          <w:trHeight w:val="444"/>
        </w:trPr>
        <w:tc>
          <w:tcPr>
            <w:tcW w:w="4643" w:type="dxa"/>
          </w:tcPr>
          <w:p w:rsidR="00411425" w:rsidRPr="006A663A" w:rsidRDefault="00411425" w:rsidP="006A663A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6A663A">
              <w:rPr>
                <w:rFonts w:ascii="Times New Roman" w:hAnsi="Times New Roman"/>
                <w:i/>
                <w:sz w:val="20"/>
                <w:szCs w:val="20"/>
              </w:rPr>
              <w:t>Кубанский государственный аграрный универс</w:t>
            </w:r>
            <w:r w:rsidRPr="006A663A">
              <w:rPr>
                <w:rFonts w:ascii="Times New Roman" w:hAnsi="Times New Roman"/>
                <w:i/>
                <w:sz w:val="20"/>
                <w:szCs w:val="20"/>
              </w:rPr>
              <w:t>и</w:t>
            </w:r>
            <w:r w:rsidRPr="006A663A">
              <w:rPr>
                <w:rFonts w:ascii="Times New Roman" w:hAnsi="Times New Roman"/>
                <w:i/>
                <w:sz w:val="20"/>
                <w:szCs w:val="20"/>
              </w:rPr>
              <w:t>тет, Краснодар, Россия</w:t>
            </w:r>
          </w:p>
        </w:tc>
        <w:tc>
          <w:tcPr>
            <w:tcW w:w="4643" w:type="dxa"/>
          </w:tcPr>
          <w:p w:rsidR="00411425" w:rsidRPr="006A663A" w:rsidRDefault="00411425" w:rsidP="006A663A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</w:pPr>
            <w:r w:rsidRPr="006A663A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Kuban State Agrarian University, Krasnodar, Russia</w:t>
            </w:r>
          </w:p>
        </w:tc>
      </w:tr>
      <w:tr w:rsidR="00411425" w:rsidRPr="006D5973" w:rsidTr="006A663A">
        <w:trPr>
          <w:trHeight w:val="1951"/>
        </w:trPr>
        <w:tc>
          <w:tcPr>
            <w:tcW w:w="4643" w:type="dxa"/>
          </w:tcPr>
          <w:p w:rsidR="00411425" w:rsidRPr="006A663A" w:rsidRDefault="00411425" w:rsidP="006A663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411425" w:rsidRPr="00BE37E2" w:rsidRDefault="00411425" w:rsidP="006A663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A663A">
              <w:rPr>
                <w:rFonts w:ascii="Times New Roman" w:hAnsi="Times New Roman"/>
                <w:sz w:val="20"/>
                <w:szCs w:val="20"/>
              </w:rPr>
              <w:t>В статье исследована такая характеристика пе</w:t>
            </w:r>
            <w:r w:rsidRPr="006A663A">
              <w:rPr>
                <w:rFonts w:ascii="Times New Roman" w:hAnsi="Times New Roman"/>
                <w:sz w:val="20"/>
                <w:szCs w:val="20"/>
              </w:rPr>
              <w:t>р</w:t>
            </w:r>
            <w:r w:rsidRPr="006A663A">
              <w:rPr>
                <w:rFonts w:ascii="Times New Roman" w:hAnsi="Times New Roman"/>
                <w:sz w:val="20"/>
                <w:szCs w:val="20"/>
              </w:rPr>
              <w:t>вичных учетных сведений как достоверность. А</w:t>
            </w:r>
            <w:r w:rsidRPr="006A663A">
              <w:rPr>
                <w:rFonts w:ascii="Times New Roman" w:hAnsi="Times New Roman"/>
                <w:sz w:val="20"/>
                <w:szCs w:val="20"/>
              </w:rPr>
              <w:t>в</w:t>
            </w:r>
            <w:r w:rsidRPr="006A663A">
              <w:rPr>
                <w:rFonts w:ascii="Times New Roman" w:hAnsi="Times New Roman"/>
                <w:sz w:val="20"/>
                <w:szCs w:val="20"/>
              </w:rPr>
              <w:t>торами определены основные причины и механи</w:t>
            </w:r>
            <w:r w:rsidRPr="006A663A">
              <w:rPr>
                <w:rFonts w:ascii="Times New Roman" w:hAnsi="Times New Roman"/>
                <w:sz w:val="20"/>
                <w:szCs w:val="20"/>
              </w:rPr>
              <w:t>з</w:t>
            </w:r>
            <w:r w:rsidRPr="006A663A">
              <w:rPr>
                <w:rFonts w:ascii="Times New Roman" w:hAnsi="Times New Roman"/>
                <w:sz w:val="20"/>
                <w:szCs w:val="20"/>
              </w:rPr>
              <w:t>мы возникновения в учете искаженных сведений, рассмотрены мероприятия по их недопущению. Особое внимание уделено организации и функци</w:t>
            </w:r>
            <w:r w:rsidRPr="006A663A">
              <w:rPr>
                <w:rFonts w:ascii="Times New Roman" w:hAnsi="Times New Roman"/>
                <w:sz w:val="20"/>
                <w:szCs w:val="20"/>
              </w:rPr>
              <w:t>о</w:t>
            </w:r>
            <w:r w:rsidRPr="006A663A">
              <w:rPr>
                <w:rFonts w:ascii="Times New Roman" w:hAnsi="Times New Roman"/>
                <w:sz w:val="20"/>
                <w:szCs w:val="20"/>
              </w:rPr>
              <w:t>нирован</w:t>
            </w:r>
            <w:r>
              <w:rPr>
                <w:rFonts w:ascii="Times New Roman" w:hAnsi="Times New Roman"/>
                <w:sz w:val="20"/>
                <w:szCs w:val="20"/>
              </w:rPr>
              <w:t>ию системы внутреннего контроля</w:t>
            </w:r>
          </w:p>
          <w:p w:rsidR="00411425" w:rsidRPr="006A663A" w:rsidRDefault="00411425" w:rsidP="006A663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43" w:type="dxa"/>
          </w:tcPr>
          <w:p w:rsidR="00411425" w:rsidRPr="006A663A" w:rsidRDefault="00411425" w:rsidP="006A663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411425" w:rsidRPr="006A663A" w:rsidRDefault="00411425" w:rsidP="006A663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A663A">
              <w:rPr>
                <w:rFonts w:ascii="Times New Roman" w:hAnsi="Times New Roman"/>
                <w:sz w:val="20"/>
                <w:szCs w:val="20"/>
                <w:lang w:val="en-US"/>
              </w:rPr>
              <w:t>The article investigates such characteristic of primary accounting information as reliability. The authors have defined the main causes and mechanisms of accoun</w:t>
            </w:r>
            <w:r w:rsidRPr="006A663A">
              <w:rPr>
                <w:rFonts w:ascii="Times New Roman" w:hAnsi="Times New Roman"/>
                <w:sz w:val="20"/>
                <w:szCs w:val="20"/>
                <w:lang w:val="en-US"/>
              </w:rPr>
              <w:t>t</w:t>
            </w:r>
            <w:r w:rsidRPr="006A663A">
              <w:rPr>
                <w:rFonts w:ascii="Times New Roman" w:hAnsi="Times New Roman"/>
                <w:sz w:val="20"/>
                <w:szCs w:val="20"/>
                <w:lang w:val="en-US"/>
              </w:rPr>
              <w:t>ing of distorted information that describes the mea</w:t>
            </w:r>
            <w:r w:rsidRPr="006A663A">
              <w:rPr>
                <w:rFonts w:ascii="Times New Roman" w:hAnsi="Times New Roman"/>
                <w:sz w:val="20"/>
                <w:szCs w:val="20"/>
                <w:lang w:val="en-US"/>
              </w:rPr>
              <w:t>s</w:t>
            </w:r>
            <w:r w:rsidRPr="006A663A">
              <w:rPr>
                <w:rFonts w:ascii="Times New Roman" w:hAnsi="Times New Roman"/>
                <w:sz w:val="20"/>
                <w:szCs w:val="20"/>
                <w:lang w:val="en-US"/>
              </w:rPr>
              <w:t>ures for their prevention. Special attention is paid to the organization and functioning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of the internal control system</w:t>
            </w:r>
          </w:p>
        </w:tc>
      </w:tr>
      <w:tr w:rsidR="00411425" w:rsidRPr="006D5973" w:rsidTr="00BE37E2">
        <w:trPr>
          <w:trHeight w:val="684"/>
        </w:trPr>
        <w:tc>
          <w:tcPr>
            <w:tcW w:w="4643" w:type="dxa"/>
          </w:tcPr>
          <w:p w:rsidR="00411425" w:rsidRPr="006A663A" w:rsidRDefault="00411425" w:rsidP="006A663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A663A">
              <w:rPr>
                <w:rFonts w:ascii="Times New Roman" w:hAnsi="Times New Roman"/>
                <w:sz w:val="20"/>
                <w:szCs w:val="20"/>
              </w:rPr>
              <w:t>Ключевые слова:</w:t>
            </w:r>
            <w:r w:rsidRPr="00BE37E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A663A">
              <w:rPr>
                <w:rFonts w:ascii="Times New Roman" w:hAnsi="Times New Roman"/>
                <w:sz w:val="20"/>
                <w:szCs w:val="20"/>
              </w:rPr>
              <w:t>ВНУТРЕННИЙ КОНТРОЛЬ, ДОСТОВЕРНОСТЬ, СДЕЛКА, УЧЕТ, УЧЕТНЫЕ СВЕДЕНИЯ, ЭКОНОМИЧЕСКИЙ СУБЪЕКТ</w:t>
            </w:r>
          </w:p>
        </w:tc>
        <w:tc>
          <w:tcPr>
            <w:tcW w:w="4643" w:type="dxa"/>
          </w:tcPr>
          <w:p w:rsidR="00411425" w:rsidRPr="006A663A" w:rsidRDefault="00411425" w:rsidP="006A663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A663A">
              <w:rPr>
                <w:rFonts w:ascii="Times New Roman" w:hAnsi="Times New Roman"/>
                <w:sz w:val="20"/>
                <w:szCs w:val="20"/>
                <w:lang w:val="en-US"/>
              </w:rPr>
              <w:t>Keywords: INTERNAL CONTROL, REL</w:t>
            </w:r>
            <w:r w:rsidRPr="006A663A"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6A663A">
              <w:rPr>
                <w:rFonts w:ascii="Times New Roman" w:hAnsi="Times New Roman"/>
                <w:sz w:val="20"/>
                <w:szCs w:val="20"/>
                <w:lang w:val="en-US"/>
              </w:rPr>
              <w:t>ABILITY OF TRANSACTION, ACCOUNTING, ACCOUN</w:t>
            </w:r>
            <w:r w:rsidRPr="006A663A">
              <w:rPr>
                <w:rFonts w:ascii="Times New Roman" w:hAnsi="Times New Roman"/>
                <w:sz w:val="20"/>
                <w:szCs w:val="20"/>
                <w:lang w:val="en-US"/>
              </w:rPr>
              <w:t>T</w:t>
            </w:r>
            <w:r w:rsidRPr="006A663A">
              <w:rPr>
                <w:rFonts w:ascii="Times New Roman" w:hAnsi="Times New Roman"/>
                <w:sz w:val="20"/>
                <w:szCs w:val="20"/>
                <w:lang w:val="en-US"/>
              </w:rPr>
              <w:t>ING INFORMATION, ECONOMIC SU</w:t>
            </w:r>
            <w:r w:rsidRPr="006A663A">
              <w:rPr>
                <w:rFonts w:ascii="Times New Roman" w:hAnsi="Times New Roman"/>
                <w:sz w:val="20"/>
                <w:szCs w:val="20"/>
                <w:lang w:val="en-US"/>
              </w:rPr>
              <w:t>B</w:t>
            </w:r>
            <w:r w:rsidRPr="006A663A">
              <w:rPr>
                <w:rFonts w:ascii="Times New Roman" w:hAnsi="Times New Roman"/>
                <w:sz w:val="20"/>
                <w:szCs w:val="20"/>
                <w:lang w:val="en-US"/>
              </w:rPr>
              <w:t>JECT</w:t>
            </w:r>
          </w:p>
        </w:tc>
      </w:tr>
    </w:tbl>
    <w:p w:rsidR="00411425" w:rsidRPr="00F73ADA" w:rsidRDefault="00411425" w:rsidP="007478F5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411425" w:rsidRDefault="00411425" w:rsidP="007478F5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Основой принятия правильного и эффективного управленческого 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шения являются достоверные данные бухгалтерского учета и отчетности, которые составляют до 80 % объема оцениваемой менеджером информ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ции. Достове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ность исходных данных – непременное условие учетной процедуры экономич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ского субъекта. Однако обеспечить данное условие не так просто, если речь идет о средней или крупной компании с развитой системой управления, терр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ториально обособленными подразделениями и широкой диверсификацией де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>тельности. В этой связи нельзя не сказать о развитии системы управленческого учета, призванной обеспечить фун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ционирования каналов движения учетной информации для целей принятия решений менеджерами различного уровня. Именно управленческий учет отличает специфичность постановки и особая 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ветственность. Исходным началом как системы бухгалтерского учета на предприятии, так и его 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дельных направлений и подсистем является первичный учетный документ, закладывающий основу будущих показателей хозяйстве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ной деятельности. В этой связи учетная система хозяйствующего субъекта немыслима без должным образом организованной системы внутреннего контроля дост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верности содержания первичных сведений и правильности их докуме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тального оформления. Рассмотрим основные направления обеспечения требу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мых качеств учетной информации.</w:t>
      </w:r>
    </w:p>
    <w:p w:rsidR="00411425" w:rsidRDefault="00411425" w:rsidP="007478F5">
      <w:pPr>
        <w:pStyle w:val="ConsPlusCel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недавнем времени обеспокоенность законодателя о достоверности учетной информации выразилась в принятии Федерального закона от 21.012.2013 № 357-ФЗ, внесшего изменения в Закон «О бухгалтерском учете». Изменениями введены такие понятия как «мнимый бухгалтерский учет» и «притворные сделки». Так, статья 9 Федерального закона «О бу</w:t>
      </w:r>
      <w:r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>галтерском учете» от 06.12.2011 № 402-ФЗ дополнена положением, с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гласно которому не допускается принятие к бухгалтерскому учету док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ментов, которыми офор</w:t>
      </w:r>
      <w:r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ляются не имевшие места факты хозяйственной жизни, в том числе лежащие в основе мнимых и притворных сделок.</w:t>
      </w:r>
      <w:r w:rsidRPr="00BE37E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Более того, частью 2 ст. 10 рассматрива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мого Федерального закона установлено условие недопущения пропусков или изъятий при регистрации объектов бухгалтерского учета в регистрах бухгалтерского учета, регистрация мн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мых и притворных объектов</w:t>
      </w:r>
      <w:r w:rsidRPr="00183A35">
        <w:rPr>
          <w:rFonts w:ascii="Times New Roman" w:hAnsi="Times New Roman" w:cs="Times New Roman"/>
          <w:sz w:val="28"/>
          <w:szCs w:val="28"/>
        </w:rPr>
        <w:t>[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183A35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11425" w:rsidRDefault="00411425" w:rsidP="007478F5">
      <w:pPr>
        <w:pStyle w:val="ConsPlusCel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 мнимым объектом бухгалтерского учета Федеральный закон о</w:t>
      </w:r>
      <w:r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ред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лил несуществующий объект, отраженный в бухгалтерском учете лишь для в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да (в том числе несуществующие расходы, несуществующие обязательства, не имевшие места факты хозяйственной жизни), не учит</w:t>
      </w:r>
      <w:r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>вая резервы, фонды, предусмотренные законодательством Российской Ф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дерации, и расходы на их создание. Под притворным объектом определен объект, отраженный в бухгалтерском учете вместо другого объекта с ц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лью прикрыть его (в том числе пр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творные сделки)</w:t>
      </w:r>
      <w:r w:rsidRPr="00183A35">
        <w:rPr>
          <w:rFonts w:ascii="Times New Roman" w:hAnsi="Times New Roman" w:cs="Times New Roman"/>
          <w:sz w:val="28"/>
          <w:szCs w:val="28"/>
        </w:rPr>
        <w:t>[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183A35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11425" w:rsidRDefault="00411425" w:rsidP="007478F5">
      <w:pPr>
        <w:pStyle w:val="ConsPlusCel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Указанным, законодатель прямо устанавливает требование по нед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пущению фальсификации учетных сведений. Оно явилось следствием ш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рокого распространения механизма получения необоснованной налоговой выгоды, с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крытия имущества от налогообложения, фактов хозяйственной жизни от заинтересованных лиц и достижения иных, противоправных ц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лей вопреки принципам осмотрительности, приоритета содержания над формой и другим.</w:t>
      </w:r>
    </w:p>
    <w:p w:rsidR="00411425" w:rsidRDefault="00411425" w:rsidP="007478F5">
      <w:pPr>
        <w:pStyle w:val="ConsPlusCel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многозначны корректировки пункта 6 части 2 той же статьи Ф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дерального закона «О бухгалтерском учете», согласно которым характер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стика обязательного реквизита первичного учетного документа расширена категор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ей ответственности лица, совершившего сделку, операцию не только за пр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вильность оформления этой сделки, операции или события, но за оформление вообще. Кроме того, частью 9 той же статьи устанавл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вается обязанность этого лица по обеспечению своевременной передачи первичных учетных документов для регистрации содержащихся в них данных в регистрах бухгалтерского учета, а так же достоверность этих данных</w:t>
      </w:r>
      <w:r w:rsidRPr="00183A35">
        <w:rPr>
          <w:rFonts w:ascii="Times New Roman" w:hAnsi="Times New Roman" w:cs="Times New Roman"/>
          <w:sz w:val="28"/>
          <w:szCs w:val="28"/>
        </w:rPr>
        <w:t>[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183A35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</w:rPr>
        <w:t>. Тем самым, закон персонализировал ответственность, разгр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ничив ее между лицами, совершившими о оформившими сделку или оп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рацию и лицами, ответственными за ведение бухгалтерского учета на о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нове предоставляемых первыми лицами сведений. </w:t>
      </w:r>
    </w:p>
    <w:p w:rsidR="00411425" w:rsidRDefault="00411425" w:rsidP="00997857">
      <w:pPr>
        <w:pStyle w:val="ConsPlusCel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Указанными выше изменениями усилено значение регистра бухга</w:t>
      </w:r>
      <w:r>
        <w:rPr>
          <w:rFonts w:ascii="Times New Roman" w:hAnsi="Times New Roman" w:cs="Times New Roman"/>
          <w:sz w:val="28"/>
          <w:szCs w:val="28"/>
        </w:rPr>
        <w:t>л</w:t>
      </w:r>
      <w:r>
        <w:rPr>
          <w:rFonts w:ascii="Times New Roman" w:hAnsi="Times New Roman" w:cs="Times New Roman"/>
          <w:sz w:val="28"/>
          <w:szCs w:val="28"/>
        </w:rPr>
        <w:t>терского учета, вне которого ведение счетов бухгалтерского учета не д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пускается.</w:t>
      </w:r>
    </w:p>
    <w:p w:rsidR="00411425" w:rsidRDefault="00411425" w:rsidP="00997857">
      <w:pPr>
        <w:pStyle w:val="ConsPlusCel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57">
        <w:rPr>
          <w:rFonts w:ascii="Times New Roman" w:hAnsi="Times New Roman" w:cs="Times New Roman"/>
          <w:sz w:val="28"/>
          <w:szCs w:val="28"/>
        </w:rPr>
        <w:t xml:space="preserve">Необходимость </w:t>
      </w:r>
      <w:r>
        <w:rPr>
          <w:rFonts w:ascii="Times New Roman" w:hAnsi="Times New Roman" w:cs="Times New Roman"/>
          <w:sz w:val="28"/>
          <w:szCs w:val="28"/>
        </w:rPr>
        <w:t>организации</w:t>
      </w:r>
      <w:r w:rsidRPr="00997857">
        <w:rPr>
          <w:rFonts w:ascii="Times New Roman" w:hAnsi="Times New Roman" w:cs="Times New Roman"/>
          <w:sz w:val="28"/>
          <w:szCs w:val="28"/>
        </w:rPr>
        <w:t xml:space="preserve"> порядка контроля за хозяйственными опер</w:t>
      </w:r>
      <w:r w:rsidRPr="00997857">
        <w:rPr>
          <w:rFonts w:ascii="Times New Roman" w:hAnsi="Times New Roman" w:cs="Times New Roman"/>
          <w:sz w:val="28"/>
          <w:szCs w:val="28"/>
        </w:rPr>
        <w:t>а</w:t>
      </w:r>
      <w:r w:rsidRPr="00997857">
        <w:rPr>
          <w:rFonts w:ascii="Times New Roman" w:hAnsi="Times New Roman" w:cs="Times New Roman"/>
          <w:sz w:val="28"/>
          <w:szCs w:val="28"/>
        </w:rPr>
        <w:t xml:space="preserve">циями установлена п. 4 Приказ Минфина России от 06.10.2008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997857">
        <w:rPr>
          <w:rFonts w:ascii="Times New Roman" w:hAnsi="Times New Roman" w:cs="Times New Roman"/>
          <w:sz w:val="28"/>
          <w:szCs w:val="28"/>
        </w:rPr>
        <w:t xml:space="preserve"> 106н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997857">
        <w:rPr>
          <w:rFonts w:ascii="Times New Roman" w:hAnsi="Times New Roman" w:cs="Times New Roman"/>
          <w:sz w:val="28"/>
          <w:szCs w:val="28"/>
        </w:rPr>
        <w:t>Об утверждении положений по бухгалтерскому учету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Pr="00997857">
        <w:rPr>
          <w:rFonts w:ascii="Times New Roman" w:hAnsi="Times New Roman" w:cs="Times New Roman"/>
          <w:sz w:val="28"/>
          <w:szCs w:val="28"/>
        </w:rPr>
        <w:t xml:space="preserve">(вместе с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997857">
        <w:rPr>
          <w:rFonts w:ascii="Times New Roman" w:hAnsi="Times New Roman" w:cs="Times New Roman"/>
          <w:sz w:val="28"/>
          <w:szCs w:val="28"/>
        </w:rPr>
        <w:t>Поло</w:t>
      </w:r>
      <w:r>
        <w:rPr>
          <w:rFonts w:ascii="Times New Roman" w:hAnsi="Times New Roman" w:cs="Times New Roman"/>
          <w:sz w:val="28"/>
          <w:szCs w:val="28"/>
        </w:rPr>
        <w:t>жением по бухгалтерскому учету «</w:t>
      </w:r>
      <w:r w:rsidRPr="00997857">
        <w:rPr>
          <w:rFonts w:ascii="Times New Roman" w:hAnsi="Times New Roman" w:cs="Times New Roman"/>
          <w:sz w:val="28"/>
          <w:szCs w:val="28"/>
        </w:rPr>
        <w:t>Учетная политика организации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997857">
        <w:rPr>
          <w:rFonts w:ascii="Times New Roman" w:hAnsi="Times New Roman" w:cs="Times New Roman"/>
          <w:sz w:val="28"/>
          <w:szCs w:val="28"/>
        </w:rPr>
        <w:t xml:space="preserve"> (ПБУ 1/2008)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997857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997857">
        <w:rPr>
          <w:rFonts w:ascii="Times New Roman" w:hAnsi="Times New Roman" w:cs="Times New Roman"/>
          <w:sz w:val="28"/>
          <w:szCs w:val="28"/>
        </w:rPr>
        <w:t xml:space="preserve">Положением по бухгалтерскому учету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997857">
        <w:rPr>
          <w:rFonts w:ascii="Times New Roman" w:hAnsi="Times New Roman" w:cs="Times New Roman"/>
          <w:sz w:val="28"/>
          <w:szCs w:val="28"/>
        </w:rPr>
        <w:t>Изменения оц</w:t>
      </w:r>
      <w:r w:rsidRPr="00997857">
        <w:rPr>
          <w:rFonts w:ascii="Times New Roman" w:hAnsi="Times New Roman" w:cs="Times New Roman"/>
          <w:sz w:val="28"/>
          <w:szCs w:val="28"/>
        </w:rPr>
        <w:t>е</w:t>
      </w:r>
      <w:r w:rsidRPr="00997857">
        <w:rPr>
          <w:rFonts w:ascii="Times New Roman" w:hAnsi="Times New Roman" w:cs="Times New Roman"/>
          <w:sz w:val="28"/>
          <w:szCs w:val="28"/>
        </w:rPr>
        <w:t>ночных значений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997857">
        <w:rPr>
          <w:rFonts w:ascii="Times New Roman" w:hAnsi="Times New Roman" w:cs="Times New Roman"/>
          <w:sz w:val="28"/>
          <w:szCs w:val="28"/>
        </w:rPr>
        <w:t xml:space="preserve"> (ПБУ 21/2008)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997857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при формировании учетной политики</w:t>
      </w:r>
      <w:r w:rsidRPr="00183A35">
        <w:rPr>
          <w:rFonts w:ascii="Times New Roman" w:hAnsi="Times New Roman" w:cs="Times New Roman"/>
          <w:sz w:val="28"/>
          <w:szCs w:val="28"/>
        </w:rPr>
        <w:t xml:space="preserve"> [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183A35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</w:rPr>
        <w:t>. Однако Положение не указывает на конкретные приемы осуществл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ния контроля. Тому же посвящена статья 19 Федерального закона от 06.12.2011 № 402-ФЗ «О бухгалтерском учете». Указанным законом опр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делена обязанность экономического субъекта, бухгалтерская (финансовая) отчетность которого подлежит обязательную аудиту, организовать и ос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ществлять внутренний контроль ведения бухгалтерского учета и составл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ния бухгалтерской (финансовой) отчетности</w:t>
      </w:r>
      <w:r w:rsidRPr="00183A35">
        <w:rPr>
          <w:rFonts w:ascii="Times New Roman" w:hAnsi="Times New Roman" w:cs="Times New Roman"/>
          <w:sz w:val="28"/>
          <w:szCs w:val="28"/>
        </w:rPr>
        <w:t>[1]</w:t>
      </w:r>
      <w:r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411425" w:rsidRDefault="00411425" w:rsidP="00997857">
      <w:pPr>
        <w:pStyle w:val="ConsPlusCel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Отдельные вопросы внутреннего контроля установлены в положен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ях Федеральных законов от 26.12.1995 № 208-ФЗ «Об акционерных общ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ствах», от 08.02.1998 № 14-ФЗ «Об обществах с ограниченной ответстве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ностью», от 08.05.1996 № 41-ФЗ «О производственных кооперативах» и других. Положения указанных законов регламентируют порядок организ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ции и основные моменты работы ревизионных комиссий (ревизоров) а</w:t>
      </w:r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ционерных обществ, обществ с ограниченной ответственностью, прои</w:t>
      </w:r>
      <w:r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>водственных кооперативов</w:t>
      </w:r>
      <w:r w:rsidRPr="00183A35">
        <w:rPr>
          <w:rFonts w:ascii="Times New Roman" w:hAnsi="Times New Roman" w:cs="Times New Roman"/>
          <w:sz w:val="28"/>
          <w:szCs w:val="28"/>
        </w:rPr>
        <w:t xml:space="preserve"> [</w:t>
      </w:r>
      <w:r>
        <w:rPr>
          <w:rFonts w:ascii="Times New Roman" w:hAnsi="Times New Roman" w:cs="Times New Roman"/>
          <w:sz w:val="28"/>
          <w:szCs w:val="28"/>
        </w:rPr>
        <w:t>2, 4, 5</w:t>
      </w:r>
      <w:r w:rsidRPr="00183A35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11425" w:rsidRDefault="00411425" w:rsidP="00C30548">
      <w:pPr>
        <w:pStyle w:val="ConsPlusCel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Планом Министерства финансов Российской Федерации на 2012-2015 г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ды по развитию бухгалтерского учета и отчетности в Российской Федерации на основе международных стандартов финансовой отчетности (Приказ Минфина России от 30.11.2011 № 440) определены мероприятия, направленные на совершенствование системы регулирования бухгалте</w:t>
      </w: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ского учета и контроля к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чества бухгалтерской (финансовой) отчетности, в том числе на 2014 год мероприятия по разработке рекомендаций для х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зяйствующих субъектов по организации и осуществлению ими внутренн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го контроля бухгалтерского учета и составления бухгалтерской (финанс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вой) отчетности с участием заинтересованных федеральных органов и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полнительной власти, Банка России, професси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нального сообщества.</w:t>
      </w:r>
    </w:p>
    <w:p w:rsidR="00411425" w:rsidRDefault="00411425" w:rsidP="00C30548">
      <w:pPr>
        <w:pStyle w:val="ConsPlusCel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отмечено в Информации Минфина России № ПЗ-9/2012 «О ра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кр</w:t>
      </w:r>
      <w:r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>тии информации о рисках хозяйственной деятельности организации в годовой бухгалтерской отчетности» одной из составляющих системы внутреннего контроля совершаемых фактов хозяйственной жизни орган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зации является раскрытие показателей и пояснений о потенциально сущ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ственных рисках хозяйственной деятельности, которым подвержена орг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низация</w:t>
      </w:r>
      <w:r w:rsidRPr="00C30548">
        <w:rPr>
          <w:rFonts w:ascii="Times New Roman" w:hAnsi="Times New Roman" w:cs="Times New Roman"/>
          <w:sz w:val="28"/>
          <w:szCs w:val="28"/>
        </w:rPr>
        <w:t xml:space="preserve"> [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C30548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</w:rPr>
        <w:t>. Однако, далеко не каждая организация имеет желание демо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стрировать свои риски, даже если преследуется цель обеспечения круга пользователей полноценным объемом информации. Нельзя забывать о де</w:t>
      </w:r>
      <w:r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>тельности конкурентов, чем больше инфо</w:t>
      </w: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мации о субъекте, тем больше возможностей использовать ее против нее.</w:t>
      </w:r>
    </w:p>
    <w:p w:rsidR="00411425" w:rsidRDefault="00411425" w:rsidP="00E71A90">
      <w:pPr>
        <w:pStyle w:val="ConsPlusCel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Однако в настоящее время отсутствует нормативно регламентир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ванное понятие и способы организации внутреннего контроля, за искл</w:t>
      </w:r>
      <w:r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>чением косвенно указывающих на отдельные мероприятия моменты. П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рядок и приемы организации и осуществления внутреннего контроля отд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ны на разрешение экономическим субъектам, главное – обеспечить усл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вие достоверности уче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ных данных и данных бухгалтерской (финансовой) отчетности</w:t>
      </w:r>
      <w:r w:rsidRPr="00183A35">
        <w:rPr>
          <w:rFonts w:ascii="Times New Roman" w:hAnsi="Times New Roman" w:cs="Times New Roman"/>
          <w:sz w:val="28"/>
          <w:szCs w:val="28"/>
        </w:rPr>
        <w:t xml:space="preserve"> [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183A35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11425" w:rsidRDefault="00411425" w:rsidP="004C79BA">
      <w:pPr>
        <w:pStyle w:val="ConsPlusCel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Таким образом, система внутреннего контроля может быть орган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зована следующими способами посредством работы ревизионной коми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сии, отдельного ревизора, реализации приемов контроля отдельными уче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ными работниками, в том числе раскрытия информации о рисках в бухга</w:t>
      </w:r>
      <w:r>
        <w:rPr>
          <w:rFonts w:ascii="Times New Roman" w:hAnsi="Times New Roman" w:cs="Times New Roman"/>
          <w:sz w:val="28"/>
          <w:szCs w:val="28"/>
        </w:rPr>
        <w:t>л</w:t>
      </w:r>
      <w:r>
        <w:rPr>
          <w:rFonts w:ascii="Times New Roman" w:hAnsi="Times New Roman" w:cs="Times New Roman"/>
          <w:sz w:val="28"/>
          <w:szCs w:val="28"/>
        </w:rPr>
        <w:t>терской отчетности,</w:t>
      </w:r>
      <w:r w:rsidRPr="00BE37E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иными работниками хозяйствующего субъекта с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гласно соответствующим полномочиям, отраженным в должностных инс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рукциях, регламентах работы подразделений, локальных нормативных а</w:t>
      </w:r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тах, организации деятельности о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дельного структурного подразделения (отдел внутреннего аудита и контроля).</w:t>
      </w:r>
      <w:r w:rsidRPr="00BE37E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Постановка системы обмена док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ментами и сведениями так же способствует реализации контрольных м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роприятий. К примеру, первичные документы о расходовании ресурсов должны быть согласованы не только с руководителями ответственных подразделений, но и с экономическим отделом, бухгалтерией. Следует предусмотреть м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ханизм поступления и рассмотрения жалоб, заявлений и предложений с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трудников и внутренних пользователей отчетности.</w:t>
      </w:r>
    </w:p>
    <w:p w:rsidR="00411425" w:rsidRDefault="00411425" w:rsidP="004C79BA">
      <w:pPr>
        <w:pStyle w:val="ConsPlusCel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Соблюдение правил ведения регистров учета согласно хронологии фактов хозяйственной жизни и характера документа, исключающие во</w:t>
      </w:r>
      <w:r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>можность приписки или удаления данных, способны обеспечить правил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>ную систематизацию и порядок обобщения учетных сведений. Соверше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ствование структуры первичных документов и учетных регистров позв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лит учесть отдельные производственные особенности и характер упра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ленческих связей внутри компании. То же относительно порядка провед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ния инвентаризации, нельзя забывать о проведении внезапных тематич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ских инвентаризаций. Этот элемент метода бу</w:t>
      </w:r>
      <w:r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>галтерского учета призван обеспечить соответствие фактического наличия и состояния объектов уч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та. </w:t>
      </w:r>
    </w:p>
    <w:p w:rsidR="00411425" w:rsidRDefault="00411425" w:rsidP="00022217">
      <w:pPr>
        <w:pStyle w:val="ConsPlusCel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Сложность и многообразие хозяйственных связей и фактов хозяйс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венной жизни заставляют законодателя определять возможности отсту</w:t>
      </w:r>
      <w:r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ления от правил учета, установленных нормативно-правовыми актами. Так, пункт 6 ПБУ 4/99 «Бухгалтерская отчетность организации» (Приказ Минфина России от 06.07.1999 № 43н) допускает возможность отступл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ния от правил формирования отчетности Если при составлении бухгалте</w:t>
      </w: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ской отчетности применение правил настоящего Положения не позволяет сформировать достоверное и полное представление о финансовом полож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нии организации, финансовых резул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>татах ее деятельности и изменениях в ее финансовом положении</w:t>
      </w:r>
      <w:r w:rsidRPr="00183A35">
        <w:rPr>
          <w:rFonts w:ascii="Times New Roman" w:hAnsi="Times New Roman" w:cs="Times New Roman"/>
          <w:sz w:val="28"/>
          <w:szCs w:val="28"/>
        </w:rPr>
        <w:t xml:space="preserve"> [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183A35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</w:rPr>
        <w:t>. Однако это только исключительные случаи и на практике далеко не каждый бухгалтер рискнет уклонением от собл</w:t>
      </w:r>
      <w:r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>дения требований. Ориентация на междунаро</w:t>
      </w:r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ную практику ведения учета и преобразования правил составления отчётности требуют от бухгалтера не только беспрекословного исполнения прописанных положений, но и необходимость, вернее, возможность, принятия решений, о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нованных на собственном профессиональном опыте и оценки ситу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ции.Реализацией этой возможности и требования служит пояснительная записка или поя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нения к бухгалтерской отчетности, где бухгалтеру следует указ</w:t>
      </w:r>
      <w:r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>вать не только установленные позиции согласно правилам формирования показ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телей, но и предоставлена возможность дать характеристику экономич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ской ситуации и их последствиям для экономического субъекта, способной быть п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лезной пользователю отчетности. Пояснения к отчетности несут нагрузку по информированию пользователя о фактах несоблюдения пр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вил учета и формирования показателей отчетности, призванные обесп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чить достоверность пре</w:t>
      </w:r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 xml:space="preserve">ставленных данных. </w:t>
      </w:r>
    </w:p>
    <w:p w:rsidR="00411425" w:rsidRDefault="00411425" w:rsidP="004C79BA">
      <w:pPr>
        <w:pStyle w:val="ConsPlusCel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зависимости от набора мероприятий, выбранных для организации си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темы внутреннего контроля, определяется сложность и затраты на их осуществление. Так, большую часть указанных выше мероприятий, н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правленных на постановку системы контроля можно, и даже обязательно, прописать в учетной политике, следуя установленным нормативно-правовыми актами в области бу</w:t>
      </w:r>
      <w:r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>галтерского учета, требованиям ведения бухгалтерского учета. Серьезным направлением будет упрощение поря</w:t>
      </w:r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ков учета. Здесь многое поставлено в зав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симость от организационной структуры и хозяйственных особенностей субъекта. Чем более сложны х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зяйственные связи и внутренняя организация, тем, как правило, более ра</w:t>
      </w:r>
      <w:r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>витая система учета необходима для обеспечения возложенных на нее з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дач. </w:t>
      </w:r>
    </w:p>
    <w:p w:rsidR="00411425" w:rsidRDefault="00411425" w:rsidP="004C79BA">
      <w:pPr>
        <w:pStyle w:val="ConsPlusCel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Особым инструментом обеспечения достоверности учетных свед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ний являются средства автоматизации учетного и хозяйственного проце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са. Програ</w:t>
      </w:r>
      <w:r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ма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автоматизации способствует организации и полноте учета сведений. Однако не избавляет от основного сложности обеспечения до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товерности – правильное отражение и фиксация факта хозяйственной жи</w:t>
      </w:r>
      <w:r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>ни в первичном учетном документе. Тем не менее, указанные ранее при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мы проверки, контроля учетных св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дений с помощью автоматизированных средств реализуются на существенно более качественном уровне. Взаим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действие бухгалтерской программы с пр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граммами налогового органа, кредитной организации способны реализовать систему оперативного ко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 xml:space="preserve">троля учетных сведений. </w:t>
      </w:r>
    </w:p>
    <w:p w:rsidR="00411425" w:rsidRDefault="00411425" w:rsidP="004C79BA">
      <w:pPr>
        <w:pStyle w:val="ConsPlusCel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Таким образом, внутренний контроль для целей бухгалтерского уч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та следует толковать как организованную систему исследования фактов хозяйственной жизни экономического субъекта и процедур их докуме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тального отражения в целях обеспечения достоверности данных бухга</w:t>
      </w:r>
      <w:r>
        <w:rPr>
          <w:rFonts w:ascii="Times New Roman" w:hAnsi="Times New Roman" w:cs="Times New Roman"/>
          <w:sz w:val="28"/>
          <w:szCs w:val="28"/>
        </w:rPr>
        <w:t>л</w:t>
      </w:r>
      <w:r>
        <w:rPr>
          <w:rFonts w:ascii="Times New Roman" w:hAnsi="Times New Roman" w:cs="Times New Roman"/>
          <w:sz w:val="28"/>
          <w:szCs w:val="28"/>
        </w:rPr>
        <w:t>терского учета и о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четности. </w:t>
      </w:r>
    </w:p>
    <w:p w:rsidR="00411425" w:rsidRDefault="00411425" w:rsidP="008E5125">
      <w:pPr>
        <w:pStyle w:val="ConsPlusCel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 же важнейшей задачей системы внутреннего контроля следует сч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тать контроль фактов хозяйственной жизни. В зависимости от момента осущ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ствления, выделим оперативный, текущий и последующий его виды. По объему охватываемых фактов – полный, частичный, тематический. По времени осущ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ствления – постоянный, временный, периодический. </w:t>
      </w:r>
    </w:p>
    <w:p w:rsidR="00411425" w:rsidRDefault="00411425" w:rsidP="008E5125">
      <w:pPr>
        <w:pStyle w:val="ConsPlusCel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условиях российской действительности система организации внешнего контроля и мониторинга оказывается движущим факторов должной организации внутренней учетной среды. Достаточно обратить внимание на результаты налоговых проверок и тематических проверок иных контролирующих органов, указывающие на недостатки внутренней системы.</w:t>
      </w:r>
    </w:p>
    <w:p w:rsidR="00411425" w:rsidRPr="005A0EEE" w:rsidRDefault="00411425" w:rsidP="008E5125">
      <w:pPr>
        <w:pStyle w:val="ConsPlusCel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EEE">
        <w:rPr>
          <w:rFonts w:ascii="Times New Roman" w:hAnsi="Times New Roman" w:cs="Times New Roman"/>
          <w:sz w:val="28"/>
          <w:szCs w:val="28"/>
        </w:rPr>
        <w:t>Новым для российского хозяйственника в практике организации внешнего контроля</w:t>
      </w:r>
      <w:r>
        <w:rPr>
          <w:rFonts w:ascii="Times New Roman" w:hAnsi="Times New Roman" w:cs="Times New Roman"/>
          <w:sz w:val="28"/>
          <w:szCs w:val="28"/>
        </w:rPr>
        <w:t>, способствующего совершенствованию внутренних механизмов,</w:t>
      </w:r>
      <w:r w:rsidRPr="005A0EEE">
        <w:rPr>
          <w:rFonts w:ascii="Times New Roman" w:hAnsi="Times New Roman" w:cs="Times New Roman"/>
          <w:sz w:val="28"/>
          <w:szCs w:val="28"/>
        </w:rPr>
        <w:t xml:space="preserve"> является горизонтальный мониторинг. </w:t>
      </w:r>
      <w:r>
        <w:rPr>
          <w:rFonts w:ascii="Times New Roman" w:hAnsi="Times New Roman" w:cs="Times New Roman"/>
          <w:sz w:val="28"/>
          <w:szCs w:val="28"/>
        </w:rPr>
        <w:t>Э</w:t>
      </w:r>
      <w:r w:rsidRPr="00024076">
        <w:rPr>
          <w:rFonts w:ascii="Times New Roman" w:hAnsi="Times New Roman" w:cs="Times New Roman"/>
          <w:sz w:val="28"/>
          <w:szCs w:val="28"/>
        </w:rPr>
        <w:t>то осуществление н</w:t>
      </w:r>
      <w:r w:rsidRPr="00024076">
        <w:rPr>
          <w:rFonts w:ascii="Times New Roman" w:hAnsi="Times New Roman" w:cs="Times New Roman"/>
          <w:sz w:val="28"/>
          <w:szCs w:val="28"/>
        </w:rPr>
        <w:t>а</w:t>
      </w:r>
      <w:r w:rsidRPr="00024076">
        <w:rPr>
          <w:rFonts w:ascii="Times New Roman" w:hAnsi="Times New Roman" w:cs="Times New Roman"/>
          <w:sz w:val="28"/>
          <w:szCs w:val="28"/>
        </w:rPr>
        <w:t>логовым органом процедуры отслеживания и анализа налоговых рисков по финансово-хозяйственным операциям, проведенным и запланированным крупными налогоплательщиками. Основная цель горизонтального монит</w:t>
      </w:r>
      <w:r w:rsidRPr="00024076">
        <w:rPr>
          <w:rFonts w:ascii="Times New Roman" w:hAnsi="Times New Roman" w:cs="Times New Roman"/>
          <w:sz w:val="28"/>
          <w:szCs w:val="28"/>
        </w:rPr>
        <w:t>о</w:t>
      </w:r>
      <w:r w:rsidRPr="00024076">
        <w:rPr>
          <w:rFonts w:ascii="Times New Roman" w:hAnsi="Times New Roman" w:cs="Times New Roman"/>
          <w:sz w:val="28"/>
          <w:szCs w:val="28"/>
        </w:rPr>
        <w:t>ринга — создание партнерских взаимоотношений налоговых органов с крупными налогоплател</w:t>
      </w:r>
      <w:r w:rsidRPr="00024076">
        <w:rPr>
          <w:rFonts w:ascii="Times New Roman" w:hAnsi="Times New Roman" w:cs="Times New Roman"/>
          <w:sz w:val="28"/>
          <w:szCs w:val="28"/>
        </w:rPr>
        <w:t>ь</w:t>
      </w:r>
      <w:r w:rsidRPr="00024076">
        <w:rPr>
          <w:rFonts w:ascii="Times New Roman" w:hAnsi="Times New Roman" w:cs="Times New Roman"/>
          <w:sz w:val="28"/>
          <w:szCs w:val="28"/>
        </w:rPr>
        <w:t>щиками путем своевременного реагирования и предупреждения осуществления ими рисковых операций, которые могут привести к нарушениям налогового, валютного и другого законодательс</w:t>
      </w:r>
      <w:r w:rsidRPr="00024076">
        <w:rPr>
          <w:rFonts w:ascii="Times New Roman" w:hAnsi="Times New Roman" w:cs="Times New Roman"/>
          <w:sz w:val="28"/>
          <w:szCs w:val="28"/>
        </w:rPr>
        <w:t>т</w:t>
      </w:r>
      <w:r w:rsidRPr="00024076">
        <w:rPr>
          <w:rFonts w:ascii="Times New Roman" w:hAnsi="Times New Roman" w:cs="Times New Roman"/>
          <w:sz w:val="28"/>
          <w:szCs w:val="28"/>
        </w:rPr>
        <w:t>ва, контроль за которым осуществляется налоговыми органами. Его и</w:t>
      </w:r>
      <w:r w:rsidRPr="00024076">
        <w:rPr>
          <w:rFonts w:ascii="Times New Roman" w:hAnsi="Times New Roman" w:cs="Times New Roman"/>
          <w:sz w:val="28"/>
          <w:szCs w:val="28"/>
        </w:rPr>
        <w:t>с</w:t>
      </w:r>
      <w:r w:rsidRPr="00024076">
        <w:rPr>
          <w:rFonts w:ascii="Times New Roman" w:hAnsi="Times New Roman" w:cs="Times New Roman"/>
          <w:sz w:val="28"/>
          <w:szCs w:val="28"/>
        </w:rPr>
        <w:t>пользование распространено в странах западной Европы, но в российской практике такая форма взаимодействия положила свое начало в конце 2012 года подписанием «Соглашений о расширенном горизонтальном взаим</w:t>
      </w:r>
      <w:r w:rsidRPr="00024076">
        <w:rPr>
          <w:rFonts w:ascii="Times New Roman" w:hAnsi="Times New Roman" w:cs="Times New Roman"/>
          <w:sz w:val="28"/>
          <w:szCs w:val="28"/>
        </w:rPr>
        <w:t>о</w:t>
      </w:r>
      <w:r w:rsidRPr="00024076">
        <w:rPr>
          <w:rFonts w:ascii="Times New Roman" w:hAnsi="Times New Roman" w:cs="Times New Roman"/>
          <w:sz w:val="28"/>
          <w:szCs w:val="28"/>
        </w:rPr>
        <w:t>действии» (Соглашение) между ФНС России и компаниями - крупнейш</w:t>
      </w:r>
      <w:r w:rsidRPr="00024076">
        <w:rPr>
          <w:rFonts w:ascii="Times New Roman" w:hAnsi="Times New Roman" w:cs="Times New Roman"/>
          <w:sz w:val="28"/>
          <w:szCs w:val="28"/>
        </w:rPr>
        <w:t>и</w:t>
      </w:r>
      <w:r w:rsidRPr="00024076">
        <w:rPr>
          <w:rFonts w:ascii="Times New Roman" w:hAnsi="Times New Roman" w:cs="Times New Roman"/>
          <w:sz w:val="28"/>
          <w:szCs w:val="28"/>
        </w:rPr>
        <w:t>ми налогоплательщиками, в число которых вошло и ОАО «ИНТЕР РАО ЕЭС». </w:t>
      </w:r>
      <w:r>
        <w:rPr>
          <w:rFonts w:ascii="Times New Roman" w:hAnsi="Times New Roman" w:cs="Times New Roman"/>
          <w:sz w:val="28"/>
          <w:szCs w:val="28"/>
        </w:rPr>
        <w:t>По настоящее время указанная система не получила должного ра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пространения. Заметим, что и вышеназванное соглашение заключено при одновременных договоренностях о прекращении производства по арби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ражному спору после завершения </w:t>
      </w:r>
      <w:r w:rsidRPr="00EE3600">
        <w:rPr>
          <w:rFonts w:ascii="Times New Roman" w:hAnsi="Times New Roman" w:cs="Times New Roman"/>
          <w:sz w:val="28"/>
          <w:szCs w:val="28"/>
        </w:rPr>
        <w:t xml:space="preserve">МИФНС </w:t>
      </w:r>
      <w:r>
        <w:rPr>
          <w:rFonts w:ascii="Times New Roman" w:hAnsi="Times New Roman" w:cs="Times New Roman"/>
          <w:sz w:val="28"/>
          <w:szCs w:val="28"/>
        </w:rPr>
        <w:t>по</w:t>
      </w:r>
      <w:r w:rsidRPr="00BE37E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Крупнейшим налогопл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тельщикам </w:t>
      </w:r>
      <w:r w:rsidRPr="00EE3600">
        <w:rPr>
          <w:rFonts w:ascii="Times New Roman" w:hAnsi="Times New Roman" w:cs="Times New Roman"/>
          <w:sz w:val="28"/>
          <w:szCs w:val="28"/>
        </w:rPr>
        <w:t>№ 4 выездной налоговой проверки ОАО «ИНТЕР РАО ЕЭС» за период 2008-2009 год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EE3600">
        <w:rPr>
          <w:rFonts w:ascii="Times New Roman" w:hAnsi="Times New Roman" w:cs="Times New Roman"/>
          <w:sz w:val="28"/>
          <w:szCs w:val="28"/>
        </w:rPr>
        <w:t>.</w:t>
      </w:r>
      <w:r w:rsidRPr="00BE37E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Отечественные хозяйственники, привыкшие к скрытности, жесткой ко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курентной борьбе и недоверии государственным органам, слабой безопасности коммуникационных сетей, не стремятся к открытости и публичности внутренних рисков и особенностей хозяйств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вания. Эта причина, подкрепленная нежеланием приспосабливаться к н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вым условиям, в определенной степени сдерж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вает развитие электронного обмена сведениями и документами. Хотя механизм открытого доступа н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логовым органам к бухгалтерскому учету экономических субъектов, по нашему мнению, способен исключить многие сложности внешнего ко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троля, оптимизировать взаимоотношения.</w:t>
      </w:r>
    </w:p>
    <w:p w:rsidR="00411425" w:rsidRDefault="00411425" w:rsidP="007478F5">
      <w:pPr>
        <w:pStyle w:val="ConsPlusCel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то же время на внесенные законодателем изменения в закон «О бухгалтерском учете» по вопросам отражения мнимых и притворных об</w:t>
      </w:r>
      <w:r>
        <w:rPr>
          <w:rFonts w:ascii="Times New Roman" w:hAnsi="Times New Roman" w:cs="Times New Roman"/>
          <w:sz w:val="28"/>
          <w:szCs w:val="28"/>
        </w:rPr>
        <w:t>ъ</w:t>
      </w:r>
      <w:r>
        <w:rPr>
          <w:rFonts w:ascii="Times New Roman" w:hAnsi="Times New Roman" w:cs="Times New Roman"/>
          <w:sz w:val="28"/>
          <w:szCs w:val="28"/>
        </w:rPr>
        <w:t>ектов, можно посмотреть с разных сторон. С одной – снижение качества учетной информации обусловлено погрешностями, пропусками и ошибк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ми в работе учетной службы экономического субъекта, с другой стороны – аналогичные последствия возникают вследствие умышленного формир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вания ложных сведений, и именно эта причина является определяющей при возникновении в учете ук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занных негативных факторов. </w:t>
      </w:r>
    </w:p>
    <w:p w:rsidR="00411425" w:rsidRDefault="00411425" w:rsidP="009806E5">
      <w:pPr>
        <w:pStyle w:val="ConsPlusCel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Чаще всего, мнимым объектом, который стремятся отразить в учете недобросовестные хозяйственники</w:t>
      </w:r>
      <w:r w:rsidRPr="00BE37E2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являются обязательства. Так, отраж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ние величины несуществующей кредиторской задолженности приводит предприятие к состоянию банкротства, то есть неспособности погасить обязательства. Выгода заключается в том, что имея развитую корпорати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ную структуру с массой зависимых обществ, сумму обязательств, пог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шать которые нет ни желания, ни возможности переводят посредством различного рода хозяйственных операций на одно предприятие, которое, впоследствии и становится банкротом. Учитывая, что, к примеру, общес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во с ограниченной ответственностью в соответствии со статьей 2 Фед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рального закона от 08.02.1998 № 14-ФЗ «Об обществах с ограниченной о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ветственностью» участники общества не отвечают по его обяз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тельствам и несут риск убытков, связанных с деятельностью общества, в пред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лах стоимости принадлежащих им долей в уставном капитале общества</w:t>
      </w:r>
      <w:r w:rsidRPr="00183A35">
        <w:rPr>
          <w:rFonts w:ascii="Times New Roman" w:hAnsi="Times New Roman" w:cs="Times New Roman"/>
          <w:sz w:val="28"/>
          <w:szCs w:val="28"/>
        </w:rPr>
        <w:t>[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183A35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</w:rPr>
        <w:t>. Т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ким образом, после завершения процедуры банкротства обязательства пр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знаются нереальными к исполнению, и общество прекращает свою де</w:t>
      </w:r>
      <w:r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тельность. </w:t>
      </w:r>
    </w:p>
    <w:p w:rsidR="00411425" w:rsidRDefault="00411425" w:rsidP="009806E5">
      <w:pPr>
        <w:pStyle w:val="ConsPlusCel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Обязательства между юридическими лицами могут быть переданы согласно заключенным договорам о переводе долга, уступки права треб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вания, зачета в момент подписания соответствующих актов приема-передачи или з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чета. Следует отметить, что в бухгалтерском учете, исходя из принципа двойной записи, отражение возникновения обязательства п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ред контрагентом пр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изводят по кредиту пассивного счета учета расчетов с контрагентов по такому обязательству: 60 «Расчеты с поставщиками и подрядчиками», 76, «Расчеты с разными дебиторами и кредиторами», 67 «Расчеты по долгосрочным кредитам и займам» и другим. При этом, нео</w:t>
      </w:r>
      <w:r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>ходимо отразить источник его возникновения по дебету корреспондиру</w:t>
      </w:r>
      <w:r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>щего счета. С этой целью бухгалтер может и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пользовать пассивные счета учета кредиторской задолженности перед субъе</w:t>
      </w:r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том – иным участником соглашения о переводе долга, либо активные счета учета поступления того или иного актива. Однако, поступление актива требует оформления допо</w:t>
      </w:r>
      <w:r>
        <w:rPr>
          <w:rFonts w:ascii="Times New Roman" w:hAnsi="Times New Roman" w:cs="Times New Roman"/>
          <w:sz w:val="28"/>
          <w:szCs w:val="28"/>
        </w:rPr>
        <w:t>л</w:t>
      </w:r>
      <w:r>
        <w:rPr>
          <w:rFonts w:ascii="Times New Roman" w:hAnsi="Times New Roman" w:cs="Times New Roman"/>
          <w:sz w:val="28"/>
          <w:szCs w:val="28"/>
        </w:rPr>
        <w:t>нительных документов и при оценки платежеспособности экономического субъекта будет составлять объем ликвидных источников погашения обяз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тельств, что не выгодно в преследовании цели банкротства. И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пользование некорректных записей бухгалтерского учета, то есть отражение фактов х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зяйственной жизни на счетах учета, взаимосвязь которых не предусмотр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на инструкцией по применению счетов, либо противоречит здравой лог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ке, вызывает внимание контролирующих органов и быстро опровергается. Выявление мнимых фактов хозяйственной жизни, отраженное с использ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ванием типовых записей и правильно оформленных документально, гора</w:t>
      </w:r>
      <w:r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>до сложнее. Здесь необходимы мероприятия встречного контроля, пров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дение сверок расчетов, запрос подтверждающих документов у контраге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та, исследование природы и достоверности операций по возникновению задолженности, что тр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бует запроса сведений в государственных органах, например сведений Росре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стра, Управления ГИБДД, таможенных органов и других. Территориальная удаленность и недобросовестность контраге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тов, сложности в согласовании сведений между различными государстве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ными органами, взаимная догов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ренность участников операций и сделок, способны привести к невозможности достаточного контроля подозрител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 xml:space="preserve">ных операций. </w:t>
      </w:r>
    </w:p>
    <w:p w:rsidR="00411425" w:rsidRDefault="00411425" w:rsidP="009806E5">
      <w:pPr>
        <w:pStyle w:val="ConsPlusCel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Следует отметить, что, в связи с указанным, обязательства становя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ся привлекательным объектом для отражения в их составе мнимыми и фиктивных фактов хозяйственной жизни. Так, с целью уклонения от отр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жения в учете заведомо убыточных сделок, бухгалтер отражает возникн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вение дебиторской з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долженности записью:</w:t>
      </w:r>
    </w:p>
    <w:p w:rsidR="00411425" w:rsidRDefault="00411425" w:rsidP="009806E5">
      <w:pPr>
        <w:pStyle w:val="ConsPlusCel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Дебет счета 58 «Финансовые вложения», субсчет 3 «Предоставле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ные займы»</w:t>
      </w:r>
    </w:p>
    <w:p w:rsidR="00411425" w:rsidRDefault="00411425" w:rsidP="009806E5">
      <w:pPr>
        <w:pStyle w:val="ConsPlusCel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Кредит счета 67 «Расчеты по долгосрочным кредитам и займам».</w:t>
      </w:r>
    </w:p>
    <w:p w:rsidR="00411425" w:rsidRDefault="00411425" w:rsidP="009806E5">
      <w:pPr>
        <w:pStyle w:val="ConsPlusCel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Тогда как следовало отразить расходы по убыточной сделке записью:</w:t>
      </w:r>
    </w:p>
    <w:p w:rsidR="00411425" w:rsidRDefault="00411425" w:rsidP="009806E5">
      <w:pPr>
        <w:pStyle w:val="ConsPlusCel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Дебет счета 91 «Прочие доходы и расходы», субсчет 2 «Прочие ра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ходы»</w:t>
      </w:r>
    </w:p>
    <w:p w:rsidR="00411425" w:rsidRDefault="00411425" w:rsidP="009806E5">
      <w:pPr>
        <w:pStyle w:val="ConsPlusCel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Кредит счета 67 «Расчеты по долгосрочным кредитам и займам».</w:t>
      </w:r>
    </w:p>
    <w:p w:rsidR="00411425" w:rsidRDefault="00411425" w:rsidP="009806E5">
      <w:pPr>
        <w:pStyle w:val="ConsPlusCel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Указанным, бухгалтер уходит от необходимости демонстрации убытка по совершенной сделке в отчете о финансовых результатах, бу</w:t>
      </w:r>
      <w:r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>галтерском бала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се и отчете о движении денежных средств, что вызвало бы интерес у пользователей</w:t>
      </w:r>
      <w:r w:rsidRPr="00BE37E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 контролирующих органов. Фиктивное ув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личение дебиторской задо</w:t>
      </w:r>
      <w:r>
        <w:rPr>
          <w:rFonts w:ascii="Times New Roman" w:hAnsi="Times New Roman" w:cs="Times New Roman"/>
          <w:sz w:val="28"/>
          <w:szCs w:val="28"/>
        </w:rPr>
        <w:t>л</w:t>
      </w:r>
      <w:r>
        <w:rPr>
          <w:rFonts w:ascii="Times New Roman" w:hAnsi="Times New Roman" w:cs="Times New Roman"/>
          <w:sz w:val="28"/>
          <w:szCs w:val="28"/>
        </w:rPr>
        <w:t>женности малозаметно, к тому же при наличии существенной величины ее о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татка до момента отражения сделки. Даже исследование не предмет обнаружения признаков преднамеренного ба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кротства не всегда способно выявить по</w:t>
      </w:r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 xml:space="preserve">лог. </w:t>
      </w:r>
    </w:p>
    <w:p w:rsidR="00411425" w:rsidRDefault="00411425" w:rsidP="009806E5">
      <w:pPr>
        <w:pStyle w:val="ConsPlusCel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Отражение мнимого актива интересно с точки зрения увеличения стоим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сти имущества предприятия. Причем, чтобы такое увеличение не оказывало влияния на величину налога на имущество организаций, мн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мому увеличению подвергаются материально-производственные запасы, дебиторская задолже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ность, финансовые вложения.</w:t>
      </w:r>
      <w:r w:rsidRPr="00BE37E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Формально увеличить остаток денежных средств в кассе не позволяет требование Банка России о величине лимита остатка, хоть его величина о отдана на разрешение сам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го хозяйствующего субъекта. Мн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мый прирост остатка денежных средств на счетах в кредитных организациях практически невозможен, так как о</w:t>
      </w:r>
      <w:r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>служивание и контроль счета осуществл</w:t>
      </w:r>
      <w:r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>ются банком. Необоснованно возросшая величина актива обеспечивает инвестиционную привлекател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>ность предприятия, его платежеспособность и ф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нансовую устойчивость, что является непременным условием получения субсидий, субвенций, д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таций, кредитных ресурсов, возможность участия в конкурсах на заключ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ния государственного контракта и других целей.</w:t>
      </w:r>
    </w:p>
    <w:p w:rsidR="00411425" w:rsidRDefault="00411425" w:rsidP="00C57C98">
      <w:pPr>
        <w:pStyle w:val="ConsPlusCel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Искажение учетных данных можно обосновать ошибку в учете. Во</w:t>
      </w:r>
      <w:r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>мо</w:t>
      </w:r>
      <w:r>
        <w:rPr>
          <w:rFonts w:ascii="Times New Roman" w:hAnsi="Times New Roman" w:cs="Times New Roman"/>
          <w:sz w:val="28"/>
          <w:szCs w:val="28"/>
        </w:rPr>
        <w:t>ж</w:t>
      </w:r>
      <w:r>
        <w:rPr>
          <w:rFonts w:ascii="Times New Roman" w:hAnsi="Times New Roman" w:cs="Times New Roman"/>
          <w:sz w:val="28"/>
          <w:szCs w:val="28"/>
        </w:rPr>
        <w:t>ности ограничены величиной суммы по мнимому факту хозяйственной жизни, однако доказывание существенности величины возложено на ко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тролирующие органы или иные заинтересованные стороны операции. Так, в соответствии с ПБУ 22/2010 «Исправление ошибок в бухгалтерском уч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те и отчетности» (Пр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каз Минфина России от 28.06.2010 № 63н) Ошибка признается существенной, если она в отдельности или в совокупности с другими ошибками за один и тот же отчетный период может повлиять на экономические решения пользователей, принимаемые ими на основе бу</w:t>
      </w:r>
      <w:r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>галтерской отчетности, составленной за этот отчетный период. Сущес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венность ошибки организация определяет самосто</w:t>
      </w:r>
      <w:r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>тельно, исходя как из величины, так и характера соответствующей статьи (ст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тей) бухгалтерской отчетности. От признака существенности ошибки указанное Положение определяет последствия и порядок ее исправления.</w:t>
      </w:r>
    </w:p>
    <w:p w:rsidR="00411425" w:rsidRDefault="00411425" w:rsidP="009806E5">
      <w:pPr>
        <w:pStyle w:val="ConsPlusCel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Отражение в бухгалтерском учете притворной сделки приводит с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крытию истинного намерения и событий (операций) ответственных лиц хозяйствующего субъекта. Примером могут служить операции по отраж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нию недост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чи материальных ценностей с последующим возмещением его стоимости ответственным лицом, тогда как фактически произведена пр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дажа указанных ценностей работнику предприятия. Распространены сл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чаи отражение факт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чески не оказанных услуг сторонней организацией с последующим обналичиванием денежных средств через фиктивные юр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дические лица, тогда как пр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веденные финансовые средства направляются на оплату услуг наемных работников, без договорных отношений, допо</w:t>
      </w:r>
      <w:r>
        <w:rPr>
          <w:rFonts w:ascii="Times New Roman" w:hAnsi="Times New Roman" w:cs="Times New Roman"/>
          <w:sz w:val="28"/>
          <w:szCs w:val="28"/>
        </w:rPr>
        <w:t>л</w:t>
      </w:r>
      <w:r>
        <w:rPr>
          <w:rFonts w:ascii="Times New Roman" w:hAnsi="Times New Roman" w:cs="Times New Roman"/>
          <w:sz w:val="28"/>
          <w:szCs w:val="28"/>
        </w:rPr>
        <w:t>нительных выплат в счет расчетов с персоналом по оплате труда. Указа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ные сделки позволяют сэкономить ликви</w:t>
      </w:r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ные средства на уплате налогов и страховых взносов. Известны случаи отражения в учете объектов осно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ных средств и материалов, фактически не испол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>зуемых в хозяйственной деятельности, либо подмена их производственных х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рактеристик. Так, приобретение прогулочного катера для организации досуга сотрудников и оказания неучтенных услуг может быть отражено как приобретение груз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вого судна в целях транспортировки готовой продукции. Использ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вание персональных данных физических лиц происходит в целях формиров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ния видимости работы, хищения бюджетных средств. </w:t>
      </w:r>
    </w:p>
    <w:p w:rsidR="00411425" w:rsidRDefault="00411425" w:rsidP="003A3EA2">
      <w:pPr>
        <w:pStyle w:val="ConsPlusCel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Выявление случаев отражения в учете мнимых и притворных фактов х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зяйственной жизни прерогатива контролирующих органов, прежде всего нал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говых и специализированного подразделения органа внутренних дел. Законод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телем предусмотрена периодичность и иные случаи проведения проверок, ответственность за последствия искажения показателей бухга</w:t>
      </w:r>
      <w:r>
        <w:rPr>
          <w:rFonts w:ascii="Times New Roman" w:hAnsi="Times New Roman" w:cs="Times New Roman"/>
          <w:sz w:val="28"/>
          <w:szCs w:val="28"/>
        </w:rPr>
        <w:t>л</w:t>
      </w:r>
      <w:r>
        <w:rPr>
          <w:rFonts w:ascii="Times New Roman" w:hAnsi="Times New Roman" w:cs="Times New Roman"/>
          <w:sz w:val="28"/>
          <w:szCs w:val="28"/>
        </w:rPr>
        <w:t>терской и налоговой отчетности, сокрытие имущества от налогооблож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ния, преднамеренное и фиктивное банкротство, определена уголовная о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ветственность за покушение на мошенничество при совершении финанс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вых операций. Однако, судя по динамике количества выявляемых экон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мических преступлений и нарушений, выгода от манипуляции учетными сведениями остается определяющей в м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мент совершения пренебрежения законодательно установленными требовани</w:t>
      </w:r>
      <w:r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ми. </w:t>
      </w:r>
    </w:p>
    <w:p w:rsidR="00411425" w:rsidRDefault="00411425" w:rsidP="009806E5">
      <w:pPr>
        <w:pStyle w:val="ConsPlusCel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Таким образом, достоверности первичного документа уделяется большое внимание, так как он является основой формирования учетных сведений, опр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деляющих показатели отчетности. На стадии формирования сведений о факте хозяйственной жизни возникает отправной момент, о</w:t>
      </w:r>
      <w:r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ределяющий достоверность и пригодность документа для дальнейшего и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пользования. Возможности контроля существенно сокращаются по мере движения документа по схеме накопления и обобщения учетной информ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ции. Законодатель не имеет возможн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сти обеспечить полный контроль всех этапов и случаев формирования перви</w:t>
      </w:r>
      <w:r>
        <w:rPr>
          <w:rFonts w:ascii="Times New Roman" w:hAnsi="Times New Roman" w:cs="Times New Roman"/>
          <w:sz w:val="28"/>
          <w:szCs w:val="28"/>
        </w:rPr>
        <w:t>ч</w:t>
      </w:r>
      <w:r>
        <w:rPr>
          <w:rFonts w:ascii="Times New Roman" w:hAnsi="Times New Roman" w:cs="Times New Roman"/>
          <w:sz w:val="28"/>
          <w:szCs w:val="28"/>
        </w:rPr>
        <w:t>ных сведений, в связи с чем, многократно возрастает важность организации и функционирования вну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реннего контроля, развиваются и отдаются на разреш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ния самих субъектов процедуры реализации большинства существующих приемов обеспечения достоверности первичных сведений. Однако основным фактором остается профессионализм и ответственность самих участников экономических о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ношений. </w:t>
      </w:r>
    </w:p>
    <w:p w:rsidR="00411425" w:rsidRDefault="00411425" w:rsidP="00916E07">
      <w:pPr>
        <w:pStyle w:val="ConsPlusCell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916E07">
        <w:rPr>
          <w:rFonts w:ascii="Times New Roman" w:hAnsi="Times New Roman" w:cs="Times New Roman"/>
          <w:b/>
          <w:sz w:val="24"/>
          <w:szCs w:val="24"/>
        </w:rPr>
        <w:t>Библиографический список</w:t>
      </w:r>
    </w:p>
    <w:p w:rsidR="00411425" w:rsidRPr="00BE37E2" w:rsidRDefault="00411425" w:rsidP="00916E07">
      <w:pPr>
        <w:pStyle w:val="ConsPlusCell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411425" w:rsidRPr="00916E07" w:rsidRDefault="00411425" w:rsidP="00916E07">
      <w:pPr>
        <w:pStyle w:val="ConsPlusCell"/>
        <w:numPr>
          <w:ilvl w:val="0"/>
          <w:numId w:val="1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916E07">
        <w:rPr>
          <w:rFonts w:ascii="Times New Roman" w:hAnsi="Times New Roman" w:cs="Times New Roman"/>
          <w:sz w:val="24"/>
          <w:szCs w:val="24"/>
        </w:rPr>
        <w:t>О бухгалтерском учете. – Федеральный закон от 06.12.2011 № 402-ФЗ. - [Эле</w:t>
      </w:r>
      <w:r w:rsidRPr="00916E07">
        <w:rPr>
          <w:rFonts w:ascii="Times New Roman" w:hAnsi="Times New Roman" w:cs="Times New Roman"/>
          <w:sz w:val="24"/>
          <w:szCs w:val="24"/>
        </w:rPr>
        <w:t>к</w:t>
      </w:r>
      <w:r w:rsidRPr="00916E07">
        <w:rPr>
          <w:rFonts w:ascii="Times New Roman" w:hAnsi="Times New Roman" w:cs="Times New Roman"/>
          <w:sz w:val="24"/>
          <w:szCs w:val="24"/>
        </w:rPr>
        <w:t>тронный ресурс]. – СПС Консультант плюс.</w:t>
      </w:r>
    </w:p>
    <w:p w:rsidR="00411425" w:rsidRDefault="00411425" w:rsidP="00916E07">
      <w:pPr>
        <w:pStyle w:val="ConsPlusCell"/>
        <w:numPr>
          <w:ilvl w:val="0"/>
          <w:numId w:val="1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916E07">
        <w:rPr>
          <w:rFonts w:ascii="Times New Roman" w:hAnsi="Times New Roman" w:cs="Times New Roman"/>
          <w:sz w:val="24"/>
          <w:szCs w:val="24"/>
        </w:rPr>
        <w:t>О производственных кооперативах. – Федеральный закон от 08.05.1996 № 41-ФЗ. - [Электронный ресурс]. – СПС Консультант плюс.</w:t>
      </w:r>
    </w:p>
    <w:p w:rsidR="00411425" w:rsidRPr="00916E07" w:rsidRDefault="00411425" w:rsidP="00916E07">
      <w:pPr>
        <w:pStyle w:val="ConsPlusCell"/>
        <w:numPr>
          <w:ilvl w:val="0"/>
          <w:numId w:val="1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C30548">
        <w:rPr>
          <w:rFonts w:ascii="Times New Roman" w:hAnsi="Times New Roman" w:cs="Times New Roman"/>
          <w:sz w:val="24"/>
          <w:szCs w:val="24"/>
        </w:rPr>
        <w:t>О раскрытии информации о рисках хозяйственной деятельности организации в г</w:t>
      </w:r>
      <w:r w:rsidRPr="00C30548">
        <w:rPr>
          <w:rFonts w:ascii="Times New Roman" w:hAnsi="Times New Roman" w:cs="Times New Roman"/>
          <w:sz w:val="24"/>
          <w:szCs w:val="24"/>
        </w:rPr>
        <w:t>о</w:t>
      </w:r>
      <w:r w:rsidRPr="00C30548">
        <w:rPr>
          <w:rFonts w:ascii="Times New Roman" w:hAnsi="Times New Roman" w:cs="Times New Roman"/>
          <w:sz w:val="24"/>
          <w:szCs w:val="24"/>
        </w:rPr>
        <w:t xml:space="preserve">довой бухгалтерской отчетности. – Информация </w:t>
      </w:r>
      <w:r>
        <w:rPr>
          <w:rFonts w:ascii="Times New Roman" w:hAnsi="Times New Roman" w:cs="Times New Roman"/>
          <w:sz w:val="24"/>
          <w:szCs w:val="24"/>
        </w:rPr>
        <w:t>Мин</w:t>
      </w:r>
      <w:r w:rsidRPr="00C30548">
        <w:rPr>
          <w:rFonts w:ascii="Times New Roman" w:hAnsi="Times New Roman" w:cs="Times New Roman"/>
          <w:sz w:val="24"/>
          <w:szCs w:val="24"/>
        </w:rPr>
        <w:t xml:space="preserve">ина России № ПЗ-9/2012. - </w:t>
      </w:r>
      <w:r w:rsidRPr="00916E07">
        <w:rPr>
          <w:rFonts w:ascii="Times New Roman" w:hAnsi="Times New Roman" w:cs="Times New Roman"/>
          <w:sz w:val="24"/>
          <w:szCs w:val="24"/>
        </w:rPr>
        <w:t>- [Электро</w:t>
      </w:r>
      <w:r w:rsidRPr="00916E07">
        <w:rPr>
          <w:rFonts w:ascii="Times New Roman" w:hAnsi="Times New Roman" w:cs="Times New Roman"/>
          <w:sz w:val="24"/>
          <w:szCs w:val="24"/>
        </w:rPr>
        <w:t>н</w:t>
      </w:r>
      <w:r w:rsidRPr="00916E07">
        <w:rPr>
          <w:rFonts w:ascii="Times New Roman" w:hAnsi="Times New Roman" w:cs="Times New Roman"/>
          <w:sz w:val="24"/>
          <w:szCs w:val="24"/>
        </w:rPr>
        <w:t>ный ресурс]. – СПС Консультант плюс.</w:t>
      </w:r>
    </w:p>
    <w:p w:rsidR="00411425" w:rsidRPr="00916E07" w:rsidRDefault="00411425" w:rsidP="00916E07">
      <w:pPr>
        <w:pStyle w:val="ConsPlusCell"/>
        <w:numPr>
          <w:ilvl w:val="0"/>
          <w:numId w:val="1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916E07">
        <w:rPr>
          <w:rFonts w:ascii="Times New Roman" w:hAnsi="Times New Roman" w:cs="Times New Roman"/>
          <w:sz w:val="24"/>
          <w:szCs w:val="24"/>
        </w:rPr>
        <w:t>Об акционерных обществах. – Федеральный закон от 26.12.1995 № 208-ФЗ. - [Электро</w:t>
      </w:r>
      <w:r w:rsidRPr="00916E07">
        <w:rPr>
          <w:rFonts w:ascii="Times New Roman" w:hAnsi="Times New Roman" w:cs="Times New Roman"/>
          <w:sz w:val="24"/>
          <w:szCs w:val="24"/>
        </w:rPr>
        <w:t>н</w:t>
      </w:r>
      <w:r w:rsidRPr="00916E07">
        <w:rPr>
          <w:rFonts w:ascii="Times New Roman" w:hAnsi="Times New Roman" w:cs="Times New Roman"/>
          <w:sz w:val="24"/>
          <w:szCs w:val="24"/>
        </w:rPr>
        <w:t>ный ресурс]. – СПС Консультант плюс.</w:t>
      </w:r>
    </w:p>
    <w:p w:rsidR="00411425" w:rsidRPr="00916E07" w:rsidRDefault="00411425" w:rsidP="00916E07">
      <w:pPr>
        <w:pStyle w:val="ConsPlusCell"/>
        <w:numPr>
          <w:ilvl w:val="0"/>
          <w:numId w:val="1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916E07">
        <w:rPr>
          <w:rFonts w:ascii="Times New Roman" w:hAnsi="Times New Roman" w:cs="Times New Roman"/>
          <w:sz w:val="24"/>
          <w:szCs w:val="24"/>
        </w:rPr>
        <w:t>Об обществах с ограниченной ответственность. – Федеральный закон от 08.02.1998 № 14-ФЗ. - [Электронный ресурс]. – СПС Консультант плюс.</w:t>
      </w:r>
    </w:p>
    <w:p w:rsidR="00411425" w:rsidRPr="00916E07" w:rsidRDefault="00411425" w:rsidP="00916E07">
      <w:pPr>
        <w:pStyle w:val="ConsPlusCell"/>
        <w:numPr>
          <w:ilvl w:val="0"/>
          <w:numId w:val="1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916E07">
        <w:rPr>
          <w:rFonts w:ascii="Times New Roman" w:hAnsi="Times New Roman" w:cs="Times New Roman"/>
          <w:sz w:val="24"/>
          <w:szCs w:val="24"/>
        </w:rPr>
        <w:t>Об утверждении положений по бухгалтерскому учету (вместе с «Положением по бухгалтерскому учету «Учетная политика организации» (ПБУ 1/2008)», «Полож</w:t>
      </w:r>
      <w:r w:rsidRPr="00916E07">
        <w:rPr>
          <w:rFonts w:ascii="Times New Roman" w:hAnsi="Times New Roman" w:cs="Times New Roman"/>
          <w:sz w:val="24"/>
          <w:szCs w:val="24"/>
        </w:rPr>
        <w:t>е</w:t>
      </w:r>
      <w:r w:rsidRPr="00916E07">
        <w:rPr>
          <w:rFonts w:ascii="Times New Roman" w:hAnsi="Times New Roman" w:cs="Times New Roman"/>
          <w:sz w:val="24"/>
          <w:szCs w:val="24"/>
        </w:rPr>
        <w:t>нием по бу</w:t>
      </w:r>
      <w:r w:rsidRPr="00916E07">
        <w:rPr>
          <w:rFonts w:ascii="Times New Roman" w:hAnsi="Times New Roman" w:cs="Times New Roman"/>
          <w:sz w:val="24"/>
          <w:szCs w:val="24"/>
        </w:rPr>
        <w:t>х</w:t>
      </w:r>
      <w:r w:rsidRPr="00916E07">
        <w:rPr>
          <w:rFonts w:ascii="Times New Roman" w:hAnsi="Times New Roman" w:cs="Times New Roman"/>
          <w:sz w:val="24"/>
          <w:szCs w:val="24"/>
        </w:rPr>
        <w:t>галтерскому учету «Изменения оценочных значений» (ПБУ 21/2008). - Приказ Минфина России от 06.10.2008 № 106н. - [Электронный ресурс]. – СПС Консультант плюс.</w:t>
      </w:r>
    </w:p>
    <w:p w:rsidR="00411425" w:rsidRPr="00916E07" w:rsidRDefault="00411425" w:rsidP="00916E07">
      <w:pPr>
        <w:pStyle w:val="ConsPlusCell"/>
        <w:numPr>
          <w:ilvl w:val="0"/>
          <w:numId w:val="1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916E07">
        <w:rPr>
          <w:rFonts w:ascii="Times New Roman" w:hAnsi="Times New Roman" w:cs="Times New Roman"/>
          <w:sz w:val="24"/>
          <w:szCs w:val="24"/>
        </w:rPr>
        <w:t>Першин С.П. Совершенствование контроля финансово-хозяйственной деятельн</w:t>
      </w:r>
      <w:r w:rsidRPr="00916E07">
        <w:rPr>
          <w:rFonts w:ascii="Times New Roman" w:hAnsi="Times New Roman" w:cs="Times New Roman"/>
          <w:sz w:val="24"/>
          <w:szCs w:val="24"/>
        </w:rPr>
        <w:t>о</w:t>
      </w:r>
      <w:r w:rsidRPr="00916E07">
        <w:rPr>
          <w:rFonts w:ascii="Times New Roman" w:hAnsi="Times New Roman" w:cs="Times New Roman"/>
          <w:sz w:val="24"/>
          <w:szCs w:val="24"/>
        </w:rPr>
        <w:t>сти коммерческих организаций посредством развития учетной системы / С.П. Першин // Политематический сетевой электронный научный журнал Куба</w:t>
      </w:r>
      <w:r w:rsidRPr="00916E07">
        <w:rPr>
          <w:rFonts w:ascii="Times New Roman" w:hAnsi="Times New Roman" w:cs="Times New Roman"/>
          <w:sz w:val="24"/>
          <w:szCs w:val="24"/>
        </w:rPr>
        <w:t>н</w:t>
      </w:r>
      <w:r w:rsidRPr="00916E07">
        <w:rPr>
          <w:rFonts w:ascii="Times New Roman" w:hAnsi="Times New Roman" w:cs="Times New Roman"/>
          <w:sz w:val="24"/>
          <w:szCs w:val="24"/>
        </w:rPr>
        <w:t>ского государственного аграрного университета (Научный журнал КубГАУ) [Эле</w:t>
      </w:r>
      <w:r w:rsidRPr="00916E07">
        <w:rPr>
          <w:rFonts w:ascii="Times New Roman" w:hAnsi="Times New Roman" w:cs="Times New Roman"/>
          <w:sz w:val="24"/>
          <w:szCs w:val="24"/>
        </w:rPr>
        <w:t>к</w:t>
      </w:r>
      <w:r w:rsidRPr="00916E07">
        <w:rPr>
          <w:rFonts w:ascii="Times New Roman" w:hAnsi="Times New Roman" w:cs="Times New Roman"/>
          <w:sz w:val="24"/>
          <w:szCs w:val="24"/>
        </w:rPr>
        <w:t>тронный ресурс]. – Краснодар: КубГАУ, 2007. – №03(027). С. 313 – 333. – Шифр Информрегистра: 0420700012\0058, IDA [article ID]: 0270703028. – Режим доступа: http://ej.kubagro.ru/2007/03/pdf/28.pdf</w:t>
      </w:r>
    </w:p>
    <w:p w:rsidR="00411425" w:rsidRDefault="00411425" w:rsidP="00916E07">
      <w:pPr>
        <w:pStyle w:val="ConsPlusCell"/>
        <w:numPr>
          <w:ilvl w:val="0"/>
          <w:numId w:val="1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916E07">
        <w:rPr>
          <w:rFonts w:ascii="Times New Roman" w:hAnsi="Times New Roman" w:cs="Times New Roman"/>
          <w:sz w:val="24"/>
          <w:szCs w:val="24"/>
        </w:rPr>
        <w:t>Положение по бухгалтерскому учету «Бухгалтерская отчетность организации» (ПБУ 4/99). –Приказ Минфина России от 06.07.1999 № 43н. – [Электронный р</w:t>
      </w:r>
      <w:r w:rsidRPr="00916E07">
        <w:rPr>
          <w:rFonts w:ascii="Times New Roman" w:hAnsi="Times New Roman" w:cs="Times New Roman"/>
          <w:sz w:val="24"/>
          <w:szCs w:val="24"/>
        </w:rPr>
        <w:t>е</w:t>
      </w:r>
      <w:r w:rsidRPr="00916E07">
        <w:rPr>
          <w:rFonts w:ascii="Times New Roman" w:hAnsi="Times New Roman" w:cs="Times New Roman"/>
          <w:sz w:val="24"/>
          <w:szCs w:val="24"/>
        </w:rPr>
        <w:t>сурс]. – СПС Консультант плюс.</w:t>
      </w:r>
    </w:p>
    <w:p w:rsidR="00411425" w:rsidRPr="002B27B7" w:rsidRDefault="00411425" w:rsidP="002B27B7">
      <w:pPr>
        <w:pStyle w:val="ConsPlusCell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411425" w:rsidRPr="002B27B7" w:rsidRDefault="00411425" w:rsidP="002B27B7">
      <w:pPr>
        <w:pStyle w:val="ConsPlusCell"/>
        <w:ind w:left="426"/>
        <w:jc w:val="center"/>
        <w:rPr>
          <w:rFonts w:ascii="Times New Roman" w:hAnsi="Times New Roman" w:cs="Times New Roman"/>
          <w:b/>
          <w:bCs/>
          <w:sz w:val="23"/>
          <w:szCs w:val="23"/>
          <w:lang w:val="en-US"/>
        </w:rPr>
      </w:pPr>
      <w:r w:rsidRPr="002B27B7">
        <w:rPr>
          <w:rFonts w:ascii="Times New Roman" w:hAnsi="Times New Roman" w:cs="Times New Roman"/>
          <w:b/>
          <w:bCs/>
          <w:sz w:val="23"/>
          <w:szCs w:val="23"/>
          <w:lang w:val="en-US"/>
        </w:rPr>
        <w:t>References</w:t>
      </w:r>
    </w:p>
    <w:p w:rsidR="00411425" w:rsidRPr="00BE37E2" w:rsidRDefault="00411425" w:rsidP="00BE37E2">
      <w:pPr>
        <w:pStyle w:val="ConsPlusCell"/>
        <w:ind w:left="426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B27B7">
        <w:rPr>
          <w:sz w:val="19"/>
          <w:szCs w:val="19"/>
          <w:lang w:val="en-US"/>
        </w:rPr>
        <w:br/>
      </w:r>
      <w:r w:rsidRPr="00BE37E2">
        <w:rPr>
          <w:rFonts w:ascii="Times New Roman" w:hAnsi="Times New Roman" w:cs="Times New Roman"/>
          <w:sz w:val="24"/>
          <w:szCs w:val="24"/>
          <w:lang w:val="en-US"/>
        </w:rPr>
        <w:t>1.</w:t>
      </w:r>
      <w:r w:rsidRPr="00BE37E2">
        <w:rPr>
          <w:rFonts w:ascii="Times New Roman" w:hAnsi="Times New Roman" w:cs="Times New Roman"/>
          <w:sz w:val="24"/>
          <w:szCs w:val="24"/>
          <w:lang w:val="en-US"/>
        </w:rPr>
        <w:tab/>
        <w:t>O buhgalterskom uchete. – Federal'nyj zakon ot 06.12.2011 № 402-FZ. - [Jelek-tronnyj resurs]. – SPS Konsul'tant pljus.</w:t>
      </w:r>
    </w:p>
    <w:p w:rsidR="00411425" w:rsidRPr="00BE37E2" w:rsidRDefault="00411425" w:rsidP="00BE37E2">
      <w:pPr>
        <w:pStyle w:val="ConsPlusCell"/>
        <w:ind w:left="426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E37E2">
        <w:rPr>
          <w:rFonts w:ascii="Times New Roman" w:hAnsi="Times New Roman" w:cs="Times New Roman"/>
          <w:sz w:val="24"/>
          <w:szCs w:val="24"/>
          <w:lang w:val="en-US"/>
        </w:rPr>
        <w:t>2.</w:t>
      </w:r>
      <w:r w:rsidRPr="00BE37E2">
        <w:rPr>
          <w:rFonts w:ascii="Times New Roman" w:hAnsi="Times New Roman" w:cs="Times New Roman"/>
          <w:sz w:val="24"/>
          <w:szCs w:val="24"/>
          <w:lang w:val="en-US"/>
        </w:rPr>
        <w:tab/>
        <w:t>O proizvodstvennyh kooperativah. – Federal'nyj zakon ot 08.05.1996 № 41-FZ. - [Jelektronnyj r</w:t>
      </w:r>
      <w:r w:rsidRPr="00BE37E2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BE37E2">
        <w:rPr>
          <w:rFonts w:ascii="Times New Roman" w:hAnsi="Times New Roman" w:cs="Times New Roman"/>
          <w:sz w:val="24"/>
          <w:szCs w:val="24"/>
          <w:lang w:val="en-US"/>
        </w:rPr>
        <w:t>surs]. – SPS Konsul'tant pljus.</w:t>
      </w:r>
    </w:p>
    <w:p w:rsidR="00411425" w:rsidRPr="00BE37E2" w:rsidRDefault="00411425" w:rsidP="00BE37E2">
      <w:pPr>
        <w:pStyle w:val="ConsPlusCell"/>
        <w:ind w:left="426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E37E2">
        <w:rPr>
          <w:rFonts w:ascii="Times New Roman" w:hAnsi="Times New Roman" w:cs="Times New Roman"/>
          <w:sz w:val="24"/>
          <w:szCs w:val="24"/>
          <w:lang w:val="en-US"/>
        </w:rPr>
        <w:t>3.</w:t>
      </w:r>
      <w:r w:rsidRPr="00BE37E2">
        <w:rPr>
          <w:rFonts w:ascii="Times New Roman" w:hAnsi="Times New Roman" w:cs="Times New Roman"/>
          <w:sz w:val="24"/>
          <w:szCs w:val="24"/>
          <w:lang w:val="en-US"/>
        </w:rPr>
        <w:tab/>
        <w:t>O raskrytii informacii o riskah hozjajstvennoj dejatel'nosti organizacii v go-dovoj buhgalterskoj otchetnosti. – Informacija Minina Rossii № PZ-9/2012. - - [Jelektronnyj r</w:t>
      </w:r>
      <w:r w:rsidRPr="00BE37E2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BE37E2">
        <w:rPr>
          <w:rFonts w:ascii="Times New Roman" w:hAnsi="Times New Roman" w:cs="Times New Roman"/>
          <w:sz w:val="24"/>
          <w:szCs w:val="24"/>
          <w:lang w:val="en-US"/>
        </w:rPr>
        <w:t>surs]. – SPS Konsul'tant pljus.</w:t>
      </w:r>
    </w:p>
    <w:p w:rsidR="00411425" w:rsidRPr="00BE37E2" w:rsidRDefault="00411425" w:rsidP="00BE37E2">
      <w:pPr>
        <w:pStyle w:val="ConsPlusCell"/>
        <w:ind w:left="426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E37E2">
        <w:rPr>
          <w:rFonts w:ascii="Times New Roman" w:hAnsi="Times New Roman" w:cs="Times New Roman"/>
          <w:sz w:val="24"/>
          <w:szCs w:val="24"/>
          <w:lang w:val="en-US"/>
        </w:rPr>
        <w:t>4.</w:t>
      </w:r>
      <w:r w:rsidRPr="00BE37E2">
        <w:rPr>
          <w:rFonts w:ascii="Times New Roman" w:hAnsi="Times New Roman" w:cs="Times New Roman"/>
          <w:sz w:val="24"/>
          <w:szCs w:val="24"/>
          <w:lang w:val="en-US"/>
        </w:rPr>
        <w:tab/>
        <w:t>Ob akcionernyh obshhestvah. – Federal'nyj zakon ot 26.12.1995 № 208-FZ. - [Jele</w:t>
      </w:r>
      <w:r w:rsidRPr="00BE37E2">
        <w:rPr>
          <w:rFonts w:ascii="Times New Roman" w:hAnsi="Times New Roman" w:cs="Times New Roman"/>
          <w:sz w:val="24"/>
          <w:szCs w:val="24"/>
          <w:lang w:val="en-US"/>
        </w:rPr>
        <w:t>k</w:t>
      </w:r>
      <w:r w:rsidRPr="00BE37E2">
        <w:rPr>
          <w:rFonts w:ascii="Times New Roman" w:hAnsi="Times New Roman" w:cs="Times New Roman"/>
          <w:sz w:val="24"/>
          <w:szCs w:val="24"/>
          <w:lang w:val="en-US"/>
        </w:rPr>
        <w:t>tronnyj resurs]. – SPS Konsul'tant pljus.</w:t>
      </w:r>
    </w:p>
    <w:p w:rsidR="00411425" w:rsidRPr="00BE37E2" w:rsidRDefault="00411425" w:rsidP="00BE37E2">
      <w:pPr>
        <w:pStyle w:val="ConsPlusCell"/>
        <w:ind w:left="426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E37E2">
        <w:rPr>
          <w:rFonts w:ascii="Times New Roman" w:hAnsi="Times New Roman" w:cs="Times New Roman"/>
          <w:sz w:val="24"/>
          <w:szCs w:val="24"/>
          <w:lang w:val="en-US"/>
        </w:rPr>
        <w:t>5.</w:t>
      </w:r>
      <w:r w:rsidRPr="00BE37E2">
        <w:rPr>
          <w:rFonts w:ascii="Times New Roman" w:hAnsi="Times New Roman" w:cs="Times New Roman"/>
          <w:sz w:val="24"/>
          <w:szCs w:val="24"/>
          <w:lang w:val="en-US"/>
        </w:rPr>
        <w:tab/>
        <w:t>Ob obshhestvah s ogranichennoj otvetstvennost'. – Federal'nyj zakon ot 08.02.1998 № 14-FZ. - [Jelektronnyj resurs]. – SPS Konsul'tant pljus.</w:t>
      </w:r>
    </w:p>
    <w:p w:rsidR="00411425" w:rsidRPr="00BE37E2" w:rsidRDefault="00411425" w:rsidP="00BE37E2">
      <w:pPr>
        <w:pStyle w:val="ConsPlusCell"/>
        <w:ind w:left="426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E37E2">
        <w:rPr>
          <w:rFonts w:ascii="Times New Roman" w:hAnsi="Times New Roman" w:cs="Times New Roman"/>
          <w:sz w:val="24"/>
          <w:szCs w:val="24"/>
          <w:lang w:val="en-US"/>
        </w:rPr>
        <w:t>6.</w:t>
      </w:r>
      <w:r w:rsidRPr="00BE37E2">
        <w:rPr>
          <w:rFonts w:ascii="Times New Roman" w:hAnsi="Times New Roman" w:cs="Times New Roman"/>
          <w:sz w:val="24"/>
          <w:szCs w:val="24"/>
          <w:lang w:val="en-US"/>
        </w:rPr>
        <w:tab/>
        <w:t>Ob utverzhdenii polozhenij po buhgalterskomu uchetu (vmeste s «Polozh</w:t>
      </w:r>
      <w:r w:rsidRPr="00BE37E2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BE37E2">
        <w:rPr>
          <w:rFonts w:ascii="Times New Roman" w:hAnsi="Times New Roman" w:cs="Times New Roman"/>
          <w:sz w:val="24"/>
          <w:szCs w:val="24"/>
          <w:lang w:val="en-US"/>
        </w:rPr>
        <w:t>niem po buhgalterskomu uchetu «Uchetnaja politika organizacii» (PBU 1/2008)», «Polozhe-niem po buhgalterskomu uchetu «Izmenenija ocenochnyh znachenij» (PBU 21/2008). - Prikaz Minfina Rossii ot 06.10.2008 № 106n. - [Jelektronnyj r</w:t>
      </w:r>
      <w:r w:rsidRPr="00BE37E2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BE37E2">
        <w:rPr>
          <w:rFonts w:ascii="Times New Roman" w:hAnsi="Times New Roman" w:cs="Times New Roman"/>
          <w:sz w:val="24"/>
          <w:szCs w:val="24"/>
          <w:lang w:val="en-US"/>
        </w:rPr>
        <w:t>surs]. – SPS Konsul'tant pljus.</w:t>
      </w:r>
    </w:p>
    <w:p w:rsidR="00411425" w:rsidRPr="00BE37E2" w:rsidRDefault="00411425" w:rsidP="00BE37E2">
      <w:pPr>
        <w:pStyle w:val="ConsPlusCell"/>
        <w:ind w:left="426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E37E2">
        <w:rPr>
          <w:rFonts w:ascii="Times New Roman" w:hAnsi="Times New Roman" w:cs="Times New Roman"/>
          <w:sz w:val="24"/>
          <w:szCs w:val="24"/>
          <w:lang w:val="en-US"/>
        </w:rPr>
        <w:t>7.</w:t>
      </w:r>
      <w:r w:rsidRPr="00BE37E2">
        <w:rPr>
          <w:rFonts w:ascii="Times New Roman" w:hAnsi="Times New Roman" w:cs="Times New Roman"/>
          <w:sz w:val="24"/>
          <w:szCs w:val="24"/>
          <w:lang w:val="en-US"/>
        </w:rPr>
        <w:tab/>
        <w:t>Pershin S.P. Sovershenstvovanie kontrolja finansovo-hozjajstvennoj d</w:t>
      </w:r>
      <w:r w:rsidRPr="00BE37E2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BE37E2">
        <w:rPr>
          <w:rFonts w:ascii="Times New Roman" w:hAnsi="Times New Roman" w:cs="Times New Roman"/>
          <w:sz w:val="24"/>
          <w:szCs w:val="24"/>
          <w:lang w:val="en-US"/>
        </w:rPr>
        <w:t>jatel'no-sti kommercheskih organizacij posredstvom razvitija uchetnoj sistemy / S.P. Pershin // Politematicheskij setevoj jelektro</w:t>
      </w:r>
      <w:r w:rsidRPr="00BE37E2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BE37E2">
        <w:rPr>
          <w:rFonts w:ascii="Times New Roman" w:hAnsi="Times New Roman" w:cs="Times New Roman"/>
          <w:sz w:val="24"/>
          <w:szCs w:val="24"/>
          <w:lang w:val="en-US"/>
        </w:rPr>
        <w:t>nyj nauchnyj zhurnal Kuban-skogo gosudarstvennogo agrarnogo universiteta (Nauchnyj zhurnal Ku</w:t>
      </w:r>
      <w:r w:rsidRPr="00BE37E2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BE37E2">
        <w:rPr>
          <w:rFonts w:ascii="Times New Roman" w:hAnsi="Times New Roman" w:cs="Times New Roman"/>
          <w:sz w:val="24"/>
          <w:szCs w:val="24"/>
          <w:lang w:val="en-US"/>
        </w:rPr>
        <w:t>GAU) [Jelek-tronnyj resurs]. – Krasnodar: KubGAU, 2007. – №03(027). S. 313 – 333. – Shifr Informregistra: 0420700012\0058, IDA [article ID]: 0270703028. – Rezhim dostupa: http://ej.kubagro.ru/2007/03/pdf/28.pdf</w:t>
      </w:r>
    </w:p>
    <w:p w:rsidR="00411425" w:rsidRPr="00BE37E2" w:rsidRDefault="00411425" w:rsidP="00BE37E2">
      <w:pPr>
        <w:pStyle w:val="ConsPlusCell"/>
        <w:ind w:left="426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E37E2">
        <w:rPr>
          <w:rFonts w:ascii="Times New Roman" w:hAnsi="Times New Roman" w:cs="Times New Roman"/>
          <w:sz w:val="24"/>
          <w:szCs w:val="24"/>
          <w:lang w:val="en-US"/>
        </w:rPr>
        <w:t>8.</w:t>
      </w:r>
      <w:r w:rsidRPr="00BE37E2">
        <w:rPr>
          <w:rFonts w:ascii="Times New Roman" w:hAnsi="Times New Roman" w:cs="Times New Roman"/>
          <w:sz w:val="24"/>
          <w:szCs w:val="24"/>
          <w:lang w:val="en-US"/>
        </w:rPr>
        <w:tab/>
        <w:t>Polozhenie po buhgalterskomu uchetu «Buhgalterskaja otchetnost' organ</w:t>
      </w:r>
      <w:r w:rsidRPr="00BE37E2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BE37E2">
        <w:rPr>
          <w:rFonts w:ascii="Times New Roman" w:hAnsi="Times New Roman" w:cs="Times New Roman"/>
          <w:sz w:val="24"/>
          <w:szCs w:val="24"/>
          <w:lang w:val="en-US"/>
        </w:rPr>
        <w:t>zacii» (PBU 4/99). –Prikaz Minfina Rossii ot 06.07.1999 № 43n. – [Jelektronnyj re-surs]. – SPS Ko</w:t>
      </w:r>
      <w:r w:rsidRPr="00BE37E2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BE37E2">
        <w:rPr>
          <w:rFonts w:ascii="Times New Roman" w:hAnsi="Times New Roman" w:cs="Times New Roman"/>
          <w:sz w:val="24"/>
          <w:szCs w:val="24"/>
          <w:lang w:val="en-US"/>
        </w:rPr>
        <w:t>sul'tant pljus.</w:t>
      </w:r>
    </w:p>
    <w:sectPr w:rsidR="00411425" w:rsidRPr="00BE37E2" w:rsidSect="006D5973">
      <w:headerReference w:type="even" r:id="rId7"/>
      <w:headerReference w:type="default" r:id="rId8"/>
      <w:foot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11425" w:rsidRDefault="00411425">
      <w:r>
        <w:separator/>
      </w:r>
    </w:p>
  </w:endnote>
  <w:endnote w:type="continuationSeparator" w:id="1">
    <w:p w:rsidR="00411425" w:rsidRDefault="004114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1425" w:rsidRDefault="00411425">
    <w:pPr>
      <w:pStyle w:val="Footer"/>
    </w:pPr>
    <w:r w:rsidRPr="00F41643">
      <w:rPr>
        <w:rFonts w:ascii="Times New Roman" w:hAnsi="Times New Roman"/>
        <w:sz w:val="24"/>
        <w:szCs w:val="24"/>
      </w:rPr>
      <w:t>http://ej.kubagro.ru/201</w:t>
    </w:r>
    <w:r w:rsidRPr="00F41643">
      <w:rPr>
        <w:rFonts w:ascii="Times New Roman" w:hAnsi="Times New Roman"/>
        <w:sz w:val="24"/>
        <w:szCs w:val="24"/>
        <w:lang w:val="en-US"/>
      </w:rPr>
      <w:t>4</w:t>
    </w:r>
    <w:r w:rsidRPr="00F41643">
      <w:rPr>
        <w:rFonts w:ascii="Times New Roman" w:hAnsi="Times New Roman"/>
        <w:sz w:val="24"/>
        <w:szCs w:val="24"/>
      </w:rPr>
      <w:t>/</w:t>
    </w:r>
    <w:r w:rsidRPr="00F41643">
      <w:rPr>
        <w:rFonts w:ascii="Times New Roman" w:hAnsi="Times New Roman"/>
        <w:sz w:val="24"/>
        <w:szCs w:val="24"/>
        <w:lang w:val="en-US"/>
      </w:rPr>
      <w:t>02</w:t>
    </w:r>
    <w:r w:rsidRPr="00F41643">
      <w:rPr>
        <w:rFonts w:ascii="Times New Roman" w:hAnsi="Times New Roman"/>
        <w:sz w:val="24"/>
        <w:szCs w:val="24"/>
      </w:rPr>
      <w:t>/pdf/</w:t>
    </w:r>
    <w:r>
      <w:rPr>
        <w:rFonts w:ascii="Times New Roman" w:hAnsi="Times New Roman"/>
        <w:sz w:val="24"/>
        <w:szCs w:val="24"/>
        <w:lang w:val="en-US"/>
      </w:rPr>
      <w:t>66</w:t>
    </w:r>
    <w:r w:rsidRPr="00F41643">
      <w:rPr>
        <w:rFonts w:ascii="Times New Roman" w:hAnsi="Times New Roman"/>
        <w:sz w:val="24"/>
        <w:szCs w:val="24"/>
      </w:rPr>
      <w:t>.pdf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11425" w:rsidRDefault="00411425">
      <w:r>
        <w:separator/>
      </w:r>
    </w:p>
  </w:footnote>
  <w:footnote w:type="continuationSeparator" w:id="1">
    <w:p w:rsidR="00411425" w:rsidRDefault="0041142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1425" w:rsidRDefault="00411425" w:rsidP="00C23415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11425" w:rsidRDefault="00411425" w:rsidP="006D5973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1425" w:rsidRPr="006D5973" w:rsidRDefault="00411425" w:rsidP="00C23415">
    <w:pPr>
      <w:pStyle w:val="Header"/>
      <w:framePr w:wrap="around" w:vAnchor="text" w:hAnchor="margin" w:xAlign="right" w:y="1"/>
      <w:rPr>
        <w:rStyle w:val="PageNumber"/>
        <w:rFonts w:ascii="Times New Roman" w:hAnsi="Times New Roman"/>
        <w:sz w:val="28"/>
        <w:szCs w:val="28"/>
      </w:rPr>
    </w:pPr>
    <w:r w:rsidRPr="006D5973">
      <w:rPr>
        <w:rStyle w:val="PageNumber"/>
        <w:rFonts w:ascii="Times New Roman" w:hAnsi="Times New Roman"/>
        <w:sz w:val="28"/>
        <w:szCs w:val="28"/>
      </w:rPr>
      <w:fldChar w:fldCharType="begin"/>
    </w:r>
    <w:r w:rsidRPr="006D5973">
      <w:rPr>
        <w:rStyle w:val="PageNumber"/>
        <w:rFonts w:ascii="Times New Roman" w:hAnsi="Times New Roman"/>
        <w:sz w:val="28"/>
        <w:szCs w:val="28"/>
      </w:rPr>
      <w:instrText xml:space="preserve">PAGE  </w:instrText>
    </w:r>
    <w:r w:rsidRPr="006D5973">
      <w:rPr>
        <w:rStyle w:val="PageNumber"/>
        <w:rFonts w:ascii="Times New Roman" w:hAnsi="Times New Roman"/>
        <w:sz w:val="28"/>
        <w:szCs w:val="28"/>
      </w:rPr>
      <w:fldChar w:fldCharType="separate"/>
    </w:r>
    <w:r>
      <w:rPr>
        <w:rStyle w:val="PageNumber"/>
        <w:rFonts w:ascii="Times New Roman" w:hAnsi="Times New Roman"/>
        <w:noProof/>
        <w:sz w:val="28"/>
        <w:szCs w:val="28"/>
      </w:rPr>
      <w:t>15</w:t>
    </w:r>
    <w:r w:rsidRPr="006D5973">
      <w:rPr>
        <w:rStyle w:val="PageNumber"/>
        <w:rFonts w:ascii="Times New Roman" w:hAnsi="Times New Roman"/>
        <w:sz w:val="28"/>
        <w:szCs w:val="28"/>
      </w:rPr>
      <w:fldChar w:fldCharType="end"/>
    </w:r>
  </w:p>
  <w:p w:rsidR="00411425" w:rsidRDefault="00411425" w:rsidP="006D5973">
    <w:pPr>
      <w:pStyle w:val="Header"/>
      <w:ind w:right="360"/>
    </w:pPr>
    <w:r w:rsidRPr="00C94673">
      <w:rPr>
        <w:rFonts w:ascii="Times New Roman" w:hAnsi="Times New Roman"/>
        <w:sz w:val="24"/>
        <w:szCs w:val="24"/>
      </w:rPr>
      <w:t>Научный журнал КубГАУ, №9</w:t>
    </w:r>
    <w:r w:rsidRPr="00C94673">
      <w:rPr>
        <w:rFonts w:ascii="Times New Roman" w:hAnsi="Times New Roman"/>
        <w:sz w:val="24"/>
        <w:szCs w:val="24"/>
        <w:lang w:val="en-US"/>
      </w:rPr>
      <w:t>6</w:t>
    </w:r>
    <w:r w:rsidRPr="00C94673">
      <w:rPr>
        <w:rFonts w:ascii="Times New Roman" w:hAnsi="Times New Roman"/>
        <w:sz w:val="24"/>
        <w:szCs w:val="24"/>
      </w:rPr>
      <w:t>(</w:t>
    </w:r>
    <w:r w:rsidRPr="00C94673">
      <w:rPr>
        <w:rFonts w:ascii="Times New Roman" w:hAnsi="Times New Roman"/>
        <w:sz w:val="24"/>
        <w:szCs w:val="24"/>
        <w:lang w:val="en-US"/>
      </w:rPr>
      <w:t>02</w:t>
    </w:r>
    <w:r w:rsidRPr="00C94673">
      <w:rPr>
        <w:rFonts w:ascii="Times New Roman" w:hAnsi="Times New Roman"/>
        <w:sz w:val="24"/>
        <w:szCs w:val="24"/>
      </w:rPr>
      <w:t>), 201</w:t>
    </w:r>
    <w:r w:rsidRPr="00C94673">
      <w:rPr>
        <w:rFonts w:ascii="Times New Roman" w:hAnsi="Times New Roman"/>
        <w:sz w:val="24"/>
        <w:szCs w:val="24"/>
        <w:lang w:val="en-US"/>
      </w:rPr>
      <w:t>4</w:t>
    </w:r>
    <w:r w:rsidRPr="00C94673">
      <w:rPr>
        <w:rFonts w:ascii="Times New Roman" w:hAnsi="Times New Roman"/>
        <w:sz w:val="24"/>
        <w:szCs w:val="24"/>
      </w:rPr>
      <w:t xml:space="preserve"> года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134AEC"/>
    <w:multiLevelType w:val="hybridMultilevel"/>
    <w:tmpl w:val="BABAFE78"/>
    <w:lvl w:ilvl="0" w:tplc="C70EE196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D619D"/>
    <w:rsid w:val="00021F84"/>
    <w:rsid w:val="00022217"/>
    <w:rsid w:val="00024076"/>
    <w:rsid w:val="00031D6C"/>
    <w:rsid w:val="00043444"/>
    <w:rsid w:val="000509B8"/>
    <w:rsid w:val="00051A7B"/>
    <w:rsid w:val="00052361"/>
    <w:rsid w:val="00056195"/>
    <w:rsid w:val="00062DE3"/>
    <w:rsid w:val="000809C0"/>
    <w:rsid w:val="000825F7"/>
    <w:rsid w:val="000829E3"/>
    <w:rsid w:val="00093535"/>
    <w:rsid w:val="0009468C"/>
    <w:rsid w:val="000946CF"/>
    <w:rsid w:val="000A6190"/>
    <w:rsid w:val="000B309B"/>
    <w:rsid w:val="000C19C3"/>
    <w:rsid w:val="000E6153"/>
    <w:rsid w:val="000E6534"/>
    <w:rsid w:val="000E711B"/>
    <w:rsid w:val="000F4425"/>
    <w:rsid w:val="000F5135"/>
    <w:rsid w:val="00125A04"/>
    <w:rsid w:val="0013062B"/>
    <w:rsid w:val="00134D7B"/>
    <w:rsid w:val="00142E40"/>
    <w:rsid w:val="001458A0"/>
    <w:rsid w:val="00152731"/>
    <w:rsid w:val="00163238"/>
    <w:rsid w:val="001642CF"/>
    <w:rsid w:val="00167FB3"/>
    <w:rsid w:val="00183A35"/>
    <w:rsid w:val="00186C2C"/>
    <w:rsid w:val="001949ED"/>
    <w:rsid w:val="00195F9F"/>
    <w:rsid w:val="00196B47"/>
    <w:rsid w:val="001D042C"/>
    <w:rsid w:val="001D4562"/>
    <w:rsid w:val="001D7614"/>
    <w:rsid w:val="001F6E7C"/>
    <w:rsid w:val="002030BC"/>
    <w:rsid w:val="00207887"/>
    <w:rsid w:val="0021525C"/>
    <w:rsid w:val="00216BB2"/>
    <w:rsid w:val="002237A3"/>
    <w:rsid w:val="00225BD7"/>
    <w:rsid w:val="0023534F"/>
    <w:rsid w:val="00253768"/>
    <w:rsid w:val="00257017"/>
    <w:rsid w:val="0026652B"/>
    <w:rsid w:val="00273930"/>
    <w:rsid w:val="002815B7"/>
    <w:rsid w:val="00281ECD"/>
    <w:rsid w:val="002874BB"/>
    <w:rsid w:val="002A45D4"/>
    <w:rsid w:val="002A58B5"/>
    <w:rsid w:val="002B27B7"/>
    <w:rsid w:val="002B3511"/>
    <w:rsid w:val="002D397E"/>
    <w:rsid w:val="002D64D1"/>
    <w:rsid w:val="002D705D"/>
    <w:rsid w:val="002E2365"/>
    <w:rsid w:val="002E3FA7"/>
    <w:rsid w:val="003014FF"/>
    <w:rsid w:val="0030431E"/>
    <w:rsid w:val="00312C95"/>
    <w:rsid w:val="003277B5"/>
    <w:rsid w:val="00334756"/>
    <w:rsid w:val="00334EEA"/>
    <w:rsid w:val="00336505"/>
    <w:rsid w:val="003431F4"/>
    <w:rsid w:val="003637F1"/>
    <w:rsid w:val="00364A4D"/>
    <w:rsid w:val="00366335"/>
    <w:rsid w:val="003669C5"/>
    <w:rsid w:val="00371387"/>
    <w:rsid w:val="00382E4B"/>
    <w:rsid w:val="00393B2E"/>
    <w:rsid w:val="00394EDA"/>
    <w:rsid w:val="003957AA"/>
    <w:rsid w:val="00395D37"/>
    <w:rsid w:val="003A3EA2"/>
    <w:rsid w:val="003A58B9"/>
    <w:rsid w:val="003B04FA"/>
    <w:rsid w:val="003B0525"/>
    <w:rsid w:val="003B140E"/>
    <w:rsid w:val="003B1604"/>
    <w:rsid w:val="003C3163"/>
    <w:rsid w:val="003C48FC"/>
    <w:rsid w:val="003D4AFD"/>
    <w:rsid w:val="003F4240"/>
    <w:rsid w:val="003F550B"/>
    <w:rsid w:val="00401D03"/>
    <w:rsid w:val="00411425"/>
    <w:rsid w:val="00433366"/>
    <w:rsid w:val="00433E01"/>
    <w:rsid w:val="00435870"/>
    <w:rsid w:val="004455F4"/>
    <w:rsid w:val="004462EE"/>
    <w:rsid w:val="00453F4E"/>
    <w:rsid w:val="00455628"/>
    <w:rsid w:val="00475D02"/>
    <w:rsid w:val="00494F5B"/>
    <w:rsid w:val="004B0136"/>
    <w:rsid w:val="004B1282"/>
    <w:rsid w:val="004B7AF3"/>
    <w:rsid w:val="004C305A"/>
    <w:rsid w:val="004C4C35"/>
    <w:rsid w:val="004C79BA"/>
    <w:rsid w:val="004D063F"/>
    <w:rsid w:val="004D2BA6"/>
    <w:rsid w:val="004D3284"/>
    <w:rsid w:val="00522D13"/>
    <w:rsid w:val="00536F98"/>
    <w:rsid w:val="00543B6E"/>
    <w:rsid w:val="005457A8"/>
    <w:rsid w:val="00546AF5"/>
    <w:rsid w:val="005559A8"/>
    <w:rsid w:val="005576DD"/>
    <w:rsid w:val="00572E64"/>
    <w:rsid w:val="0057528E"/>
    <w:rsid w:val="005854CA"/>
    <w:rsid w:val="005900F0"/>
    <w:rsid w:val="005A0EEE"/>
    <w:rsid w:val="005C1ABD"/>
    <w:rsid w:val="005C428F"/>
    <w:rsid w:val="005D1B32"/>
    <w:rsid w:val="005D4FB2"/>
    <w:rsid w:val="005E4C75"/>
    <w:rsid w:val="005E634D"/>
    <w:rsid w:val="0062681B"/>
    <w:rsid w:val="00627A5A"/>
    <w:rsid w:val="00632F7C"/>
    <w:rsid w:val="006335AC"/>
    <w:rsid w:val="0063382F"/>
    <w:rsid w:val="00636E2C"/>
    <w:rsid w:val="00641898"/>
    <w:rsid w:val="00650990"/>
    <w:rsid w:val="00663335"/>
    <w:rsid w:val="00671D2B"/>
    <w:rsid w:val="006837E1"/>
    <w:rsid w:val="00685EC8"/>
    <w:rsid w:val="00691F8D"/>
    <w:rsid w:val="0069259F"/>
    <w:rsid w:val="006940AA"/>
    <w:rsid w:val="006A663A"/>
    <w:rsid w:val="006A7800"/>
    <w:rsid w:val="006B0495"/>
    <w:rsid w:val="006C4316"/>
    <w:rsid w:val="006D202E"/>
    <w:rsid w:val="006D5973"/>
    <w:rsid w:val="006D5D0F"/>
    <w:rsid w:val="006E7676"/>
    <w:rsid w:val="006F1BDC"/>
    <w:rsid w:val="006F4ABF"/>
    <w:rsid w:val="00707C73"/>
    <w:rsid w:val="0071243D"/>
    <w:rsid w:val="0072557B"/>
    <w:rsid w:val="0073053B"/>
    <w:rsid w:val="00742637"/>
    <w:rsid w:val="007478F5"/>
    <w:rsid w:val="00753413"/>
    <w:rsid w:val="00763038"/>
    <w:rsid w:val="00764659"/>
    <w:rsid w:val="007671E6"/>
    <w:rsid w:val="00770D03"/>
    <w:rsid w:val="007840B1"/>
    <w:rsid w:val="007A20A4"/>
    <w:rsid w:val="007A3447"/>
    <w:rsid w:val="007A581A"/>
    <w:rsid w:val="007A64BF"/>
    <w:rsid w:val="007D5371"/>
    <w:rsid w:val="00805E9E"/>
    <w:rsid w:val="008076EA"/>
    <w:rsid w:val="00815844"/>
    <w:rsid w:val="00826965"/>
    <w:rsid w:val="0087303E"/>
    <w:rsid w:val="008816B7"/>
    <w:rsid w:val="00893995"/>
    <w:rsid w:val="0089437D"/>
    <w:rsid w:val="008A3E52"/>
    <w:rsid w:val="008B027F"/>
    <w:rsid w:val="008B0417"/>
    <w:rsid w:val="008B2F30"/>
    <w:rsid w:val="008B70A3"/>
    <w:rsid w:val="008C7E44"/>
    <w:rsid w:val="008D183C"/>
    <w:rsid w:val="008E5125"/>
    <w:rsid w:val="008F1D14"/>
    <w:rsid w:val="0091196E"/>
    <w:rsid w:val="00916E07"/>
    <w:rsid w:val="00917CEA"/>
    <w:rsid w:val="0093134F"/>
    <w:rsid w:val="0095154E"/>
    <w:rsid w:val="00953396"/>
    <w:rsid w:val="0096255D"/>
    <w:rsid w:val="00962D7F"/>
    <w:rsid w:val="00972C5B"/>
    <w:rsid w:val="009806E5"/>
    <w:rsid w:val="00997857"/>
    <w:rsid w:val="009A47C3"/>
    <w:rsid w:val="009C40AD"/>
    <w:rsid w:val="009D6D00"/>
    <w:rsid w:val="009E0A8A"/>
    <w:rsid w:val="009E2BB5"/>
    <w:rsid w:val="009E352E"/>
    <w:rsid w:val="009E475E"/>
    <w:rsid w:val="009E5CF6"/>
    <w:rsid w:val="00A0246A"/>
    <w:rsid w:val="00A200D1"/>
    <w:rsid w:val="00A22EB2"/>
    <w:rsid w:val="00A24003"/>
    <w:rsid w:val="00A25244"/>
    <w:rsid w:val="00A2782C"/>
    <w:rsid w:val="00A32D1E"/>
    <w:rsid w:val="00A341EF"/>
    <w:rsid w:val="00A3680D"/>
    <w:rsid w:val="00A47106"/>
    <w:rsid w:val="00A475A3"/>
    <w:rsid w:val="00A547B9"/>
    <w:rsid w:val="00A60054"/>
    <w:rsid w:val="00A61687"/>
    <w:rsid w:val="00A7005D"/>
    <w:rsid w:val="00A72428"/>
    <w:rsid w:val="00A92AC2"/>
    <w:rsid w:val="00AB4CB6"/>
    <w:rsid w:val="00AD18DC"/>
    <w:rsid w:val="00AD619D"/>
    <w:rsid w:val="00AE091C"/>
    <w:rsid w:val="00AE4003"/>
    <w:rsid w:val="00AF7276"/>
    <w:rsid w:val="00B05B68"/>
    <w:rsid w:val="00B246C9"/>
    <w:rsid w:val="00B261B3"/>
    <w:rsid w:val="00B34CFF"/>
    <w:rsid w:val="00B43A0F"/>
    <w:rsid w:val="00B44D70"/>
    <w:rsid w:val="00B47A3F"/>
    <w:rsid w:val="00B60CAF"/>
    <w:rsid w:val="00B64F8B"/>
    <w:rsid w:val="00B75311"/>
    <w:rsid w:val="00B779F7"/>
    <w:rsid w:val="00B860F8"/>
    <w:rsid w:val="00B90367"/>
    <w:rsid w:val="00B91868"/>
    <w:rsid w:val="00B97B79"/>
    <w:rsid w:val="00B97BEB"/>
    <w:rsid w:val="00BA21C7"/>
    <w:rsid w:val="00BB0AD1"/>
    <w:rsid w:val="00BC3D07"/>
    <w:rsid w:val="00BD6200"/>
    <w:rsid w:val="00BE37E2"/>
    <w:rsid w:val="00BE7069"/>
    <w:rsid w:val="00BF15BF"/>
    <w:rsid w:val="00BF7E41"/>
    <w:rsid w:val="00C03701"/>
    <w:rsid w:val="00C12AF3"/>
    <w:rsid w:val="00C23415"/>
    <w:rsid w:val="00C30548"/>
    <w:rsid w:val="00C325A6"/>
    <w:rsid w:val="00C37888"/>
    <w:rsid w:val="00C37A3A"/>
    <w:rsid w:val="00C50631"/>
    <w:rsid w:val="00C51A51"/>
    <w:rsid w:val="00C5441F"/>
    <w:rsid w:val="00C57645"/>
    <w:rsid w:val="00C57C98"/>
    <w:rsid w:val="00C670D6"/>
    <w:rsid w:val="00C70B73"/>
    <w:rsid w:val="00C70E20"/>
    <w:rsid w:val="00C71894"/>
    <w:rsid w:val="00C732FB"/>
    <w:rsid w:val="00C773DD"/>
    <w:rsid w:val="00C94673"/>
    <w:rsid w:val="00C94C9F"/>
    <w:rsid w:val="00CA0461"/>
    <w:rsid w:val="00CA0D09"/>
    <w:rsid w:val="00CA0D3D"/>
    <w:rsid w:val="00CA5C08"/>
    <w:rsid w:val="00CC1B73"/>
    <w:rsid w:val="00CD26DE"/>
    <w:rsid w:val="00CD3600"/>
    <w:rsid w:val="00CE0E07"/>
    <w:rsid w:val="00CE6224"/>
    <w:rsid w:val="00CE7982"/>
    <w:rsid w:val="00CF5340"/>
    <w:rsid w:val="00D0096E"/>
    <w:rsid w:val="00D13213"/>
    <w:rsid w:val="00D13288"/>
    <w:rsid w:val="00D16010"/>
    <w:rsid w:val="00D27584"/>
    <w:rsid w:val="00D35EDB"/>
    <w:rsid w:val="00D360ED"/>
    <w:rsid w:val="00D40390"/>
    <w:rsid w:val="00D62006"/>
    <w:rsid w:val="00D736CF"/>
    <w:rsid w:val="00D90E4B"/>
    <w:rsid w:val="00D93FAD"/>
    <w:rsid w:val="00DC6CAB"/>
    <w:rsid w:val="00DD1F0D"/>
    <w:rsid w:val="00DD4267"/>
    <w:rsid w:val="00DD6CD5"/>
    <w:rsid w:val="00DE5674"/>
    <w:rsid w:val="00DF57E1"/>
    <w:rsid w:val="00E00B1D"/>
    <w:rsid w:val="00E02AB3"/>
    <w:rsid w:val="00E15454"/>
    <w:rsid w:val="00E279B5"/>
    <w:rsid w:val="00E31EFD"/>
    <w:rsid w:val="00E34643"/>
    <w:rsid w:val="00E36732"/>
    <w:rsid w:val="00E47B80"/>
    <w:rsid w:val="00E52FAA"/>
    <w:rsid w:val="00E71A90"/>
    <w:rsid w:val="00E91208"/>
    <w:rsid w:val="00E96D2B"/>
    <w:rsid w:val="00EB61E4"/>
    <w:rsid w:val="00EB7916"/>
    <w:rsid w:val="00ED1FA8"/>
    <w:rsid w:val="00ED21B9"/>
    <w:rsid w:val="00ED337D"/>
    <w:rsid w:val="00EE3600"/>
    <w:rsid w:val="00EF1D6C"/>
    <w:rsid w:val="00F040E1"/>
    <w:rsid w:val="00F13F57"/>
    <w:rsid w:val="00F141A4"/>
    <w:rsid w:val="00F17DC0"/>
    <w:rsid w:val="00F22C64"/>
    <w:rsid w:val="00F24B97"/>
    <w:rsid w:val="00F273AE"/>
    <w:rsid w:val="00F303C1"/>
    <w:rsid w:val="00F377C3"/>
    <w:rsid w:val="00F41643"/>
    <w:rsid w:val="00F46109"/>
    <w:rsid w:val="00F5511D"/>
    <w:rsid w:val="00F577E5"/>
    <w:rsid w:val="00F60AB8"/>
    <w:rsid w:val="00F61287"/>
    <w:rsid w:val="00F65D78"/>
    <w:rsid w:val="00F73ADA"/>
    <w:rsid w:val="00F9181B"/>
    <w:rsid w:val="00F931C3"/>
    <w:rsid w:val="00FA51D5"/>
    <w:rsid w:val="00FB27AC"/>
    <w:rsid w:val="00FC48D0"/>
    <w:rsid w:val="00FC69A7"/>
    <w:rsid w:val="00FC7D5E"/>
    <w:rsid w:val="00FD41F0"/>
    <w:rsid w:val="00FD4A67"/>
    <w:rsid w:val="00FF5E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7887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7478F5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character" w:styleId="Emphasis">
    <w:name w:val="Emphasis"/>
    <w:basedOn w:val="DefaultParagraphFont"/>
    <w:uiPriority w:val="99"/>
    <w:qFormat/>
    <w:rsid w:val="005A0EEE"/>
    <w:rPr>
      <w:rFonts w:cs="Times New Roman"/>
      <w:i/>
      <w:iCs/>
    </w:rPr>
  </w:style>
  <w:style w:type="character" w:styleId="Hyperlink">
    <w:name w:val="Hyperlink"/>
    <w:basedOn w:val="DefaultParagraphFont"/>
    <w:uiPriority w:val="99"/>
    <w:rsid w:val="00F13F57"/>
    <w:rPr>
      <w:rFonts w:cs="Times New Roman"/>
      <w:color w:val="0563C1"/>
      <w:u w:val="single"/>
    </w:rPr>
  </w:style>
  <w:style w:type="table" w:styleId="TableGrid">
    <w:name w:val="Table Grid"/>
    <w:basedOn w:val="TableNormal"/>
    <w:uiPriority w:val="99"/>
    <w:rsid w:val="00F73ADA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6D5973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358A8"/>
    <w:rPr>
      <w:lang w:eastAsia="en-US"/>
    </w:rPr>
  </w:style>
  <w:style w:type="paragraph" w:styleId="Footer">
    <w:name w:val="footer"/>
    <w:basedOn w:val="Normal"/>
    <w:link w:val="FooterChar"/>
    <w:uiPriority w:val="99"/>
    <w:rsid w:val="006D5973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358A8"/>
    <w:rPr>
      <w:lang w:eastAsia="en-US"/>
    </w:rPr>
  </w:style>
  <w:style w:type="character" w:styleId="PageNumber">
    <w:name w:val="page number"/>
    <w:basedOn w:val="DefaultParagraphFont"/>
    <w:uiPriority w:val="99"/>
    <w:rsid w:val="006D5973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1060</TotalTime>
  <Pages>15</Pages>
  <Words>4447</Words>
  <Characters>25348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QZ</dc:creator>
  <cp:keywords/>
  <dc:description/>
  <cp:lastModifiedBy>admin</cp:lastModifiedBy>
  <cp:revision>596</cp:revision>
  <dcterms:created xsi:type="dcterms:W3CDTF">2014-01-29T14:00:00Z</dcterms:created>
  <dcterms:modified xsi:type="dcterms:W3CDTF">2014-02-20T14:06:00Z</dcterms:modified>
</cp:coreProperties>
</file>