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419"/>
        <w:tblW w:w="0" w:type="auto"/>
        <w:tblLook w:val="00A0"/>
      </w:tblPr>
      <w:tblGrid>
        <w:gridCol w:w="4643"/>
        <w:gridCol w:w="4643"/>
      </w:tblGrid>
      <w:tr w:rsidR="00FA34AD" w:rsidRPr="00BE2A95" w:rsidTr="002D341A">
        <w:tc>
          <w:tcPr>
            <w:tcW w:w="4643" w:type="dxa"/>
          </w:tcPr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59"/>
            <w:bookmarkStart w:id="1" w:name="OLE_LINK60"/>
            <w:bookmarkStart w:id="2" w:name="OLE_LINK61"/>
            <w:r w:rsidRPr="00BE2A95">
              <w:rPr>
                <w:rFonts w:ascii="Times New Roman" w:hAnsi="Times New Roman"/>
                <w:sz w:val="20"/>
                <w:szCs w:val="20"/>
              </w:rPr>
              <w:t>УДК 657.3</w:t>
            </w:r>
            <w:bookmarkEnd w:id="0"/>
            <w:bookmarkEnd w:id="1"/>
            <w:bookmarkEnd w:id="2"/>
          </w:p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2A95">
              <w:rPr>
                <w:rFonts w:ascii="Times New Roman" w:hAnsi="Times New Roman"/>
                <w:sz w:val="20"/>
                <w:szCs w:val="20"/>
              </w:rPr>
              <w:t>UDC 657.3</w:t>
            </w:r>
          </w:p>
        </w:tc>
      </w:tr>
      <w:tr w:rsidR="00FA34AD" w:rsidRPr="009C70CF" w:rsidTr="002D341A">
        <w:tc>
          <w:tcPr>
            <w:tcW w:w="4643" w:type="dxa"/>
          </w:tcPr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E2A95">
              <w:rPr>
                <w:rFonts w:ascii="Times New Roman" w:hAnsi="Times New Roman"/>
                <w:b/>
                <w:sz w:val="20"/>
                <w:szCs w:val="20"/>
              </w:rPr>
              <w:t>ОСОБЕННОСТИ УЧЕТА НЕМАТЕРИАЛ</w:t>
            </w:r>
            <w:r w:rsidRPr="00BE2A95">
              <w:rPr>
                <w:rFonts w:ascii="Times New Roman" w:hAnsi="Times New Roman"/>
                <w:b/>
                <w:sz w:val="20"/>
                <w:szCs w:val="20"/>
              </w:rPr>
              <w:t>Ь</w:t>
            </w:r>
            <w:r w:rsidRPr="00BE2A95">
              <w:rPr>
                <w:rFonts w:ascii="Times New Roman" w:hAnsi="Times New Roman"/>
                <w:b/>
                <w:sz w:val="20"/>
                <w:szCs w:val="20"/>
              </w:rPr>
              <w:t>НЫХ АКТИВОВ ПО РСБУ И US GAAP</w:t>
            </w:r>
          </w:p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C70C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FEATURES OF ACCOUNTING OF INTANG</w:t>
            </w:r>
            <w:r w:rsidRPr="009C70C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9C70C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BLE RAR AND US GAAP ASSETS</w:t>
            </w:r>
          </w:p>
        </w:tc>
      </w:tr>
      <w:tr w:rsidR="00FA34AD" w:rsidRPr="009C70CF" w:rsidTr="002D341A">
        <w:tc>
          <w:tcPr>
            <w:tcW w:w="4643" w:type="dxa"/>
          </w:tcPr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2A95">
              <w:rPr>
                <w:rFonts w:ascii="Times New Roman" w:hAnsi="Times New Roman"/>
                <w:sz w:val="20"/>
                <w:szCs w:val="20"/>
              </w:rPr>
              <w:t>Башкатов Вадим Викторович</w:t>
            </w:r>
          </w:p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2A95">
              <w:rPr>
                <w:rFonts w:ascii="Times New Roman" w:hAnsi="Times New Roman"/>
                <w:sz w:val="20"/>
                <w:szCs w:val="20"/>
              </w:rPr>
              <w:t xml:space="preserve">кандидат экономических наук, старший </w:t>
            </w:r>
          </w:p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2A95">
              <w:rPr>
                <w:rFonts w:ascii="Times New Roman" w:hAnsi="Times New Roman"/>
                <w:sz w:val="20"/>
                <w:szCs w:val="20"/>
              </w:rPr>
              <w:t>преподаватель кафедры теории бухгалтерского учета</w:t>
            </w:r>
          </w:p>
        </w:tc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Bashkatov Vadim Viktorovich</w:t>
            </w:r>
          </w:p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Candidate of Economics, Senior Teacher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the D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partment of accounting theory</w:t>
            </w:r>
          </w:p>
        </w:tc>
      </w:tr>
      <w:tr w:rsidR="00FA34AD" w:rsidRPr="009C70CF" w:rsidTr="002D341A"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FA34AD" w:rsidRPr="009C70CF" w:rsidTr="002D341A">
        <w:tc>
          <w:tcPr>
            <w:tcW w:w="4643" w:type="dxa"/>
          </w:tcPr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2A95">
              <w:rPr>
                <w:rFonts w:ascii="Times New Roman" w:hAnsi="Times New Roman"/>
                <w:sz w:val="20"/>
                <w:szCs w:val="20"/>
              </w:rPr>
              <w:t>Дагаргулия Руслан Гарриевич</w:t>
            </w:r>
          </w:p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2A95">
              <w:rPr>
                <w:rFonts w:ascii="Times New Roman" w:hAnsi="Times New Roman"/>
                <w:sz w:val="20"/>
                <w:szCs w:val="20"/>
              </w:rPr>
              <w:t>студент учетно-финансового факультета</w:t>
            </w:r>
          </w:p>
        </w:tc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Dagarguliya Ruslan Garrievich</w:t>
            </w:r>
          </w:p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student of the Accounting and financial department</w:t>
            </w:r>
          </w:p>
        </w:tc>
      </w:tr>
      <w:tr w:rsidR="00FA34AD" w:rsidRPr="009C70CF" w:rsidTr="002D341A">
        <w:tc>
          <w:tcPr>
            <w:tcW w:w="4643" w:type="dxa"/>
          </w:tcPr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2A95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аграрный </w:t>
            </w:r>
          </w:p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2A95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C70C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9C70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C70C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9C70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C70C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9C70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C70C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9C70C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9C70C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9C70C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C70C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FA34AD" w:rsidRPr="009C70CF" w:rsidTr="002D341A"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62"/>
            <w:bookmarkStart w:id="4" w:name="OLE_LINK63"/>
            <w:bookmarkStart w:id="5" w:name="OLE_LINK64"/>
            <w:r w:rsidRPr="00BE2A95">
              <w:rPr>
                <w:rFonts w:ascii="Times New Roman" w:hAnsi="Times New Roman"/>
                <w:sz w:val="20"/>
                <w:szCs w:val="20"/>
              </w:rPr>
              <w:t>В статье дан обзор результатов сравнения особе</w:t>
            </w:r>
            <w:r w:rsidRPr="00BE2A95">
              <w:rPr>
                <w:rFonts w:ascii="Times New Roman" w:hAnsi="Times New Roman"/>
                <w:sz w:val="20"/>
                <w:szCs w:val="20"/>
              </w:rPr>
              <w:t>н</w:t>
            </w:r>
            <w:r w:rsidRPr="00BE2A95">
              <w:rPr>
                <w:rFonts w:ascii="Times New Roman" w:hAnsi="Times New Roman"/>
                <w:sz w:val="20"/>
                <w:szCs w:val="20"/>
              </w:rPr>
              <w:t>ностей учета нематериальных активов по РСБУ и US GAAP, также были выявлены плюсы и минусы учета по этим стандартам и предложены варианты улучшения Российско</w:t>
            </w:r>
            <w:r>
              <w:rPr>
                <w:rFonts w:ascii="Times New Roman" w:hAnsi="Times New Roman"/>
                <w:sz w:val="20"/>
                <w:szCs w:val="20"/>
              </w:rPr>
              <w:t>го учета нематериальных активов</w:t>
            </w:r>
          </w:p>
          <w:bookmarkEnd w:id="3"/>
          <w:bookmarkEnd w:id="4"/>
          <w:bookmarkEnd w:id="5"/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The article gives an overview of the results of a co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parison of features of intangible assets RAS and US GAAP, were also elucidating the pros and cons of these accounting standards and proposed options for improving the Russi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an accounting intangible assets</w:t>
            </w:r>
          </w:p>
        </w:tc>
      </w:tr>
      <w:tr w:rsidR="00FA34AD" w:rsidRPr="009C70CF" w:rsidTr="002D341A">
        <w:tc>
          <w:tcPr>
            <w:tcW w:w="4643" w:type="dxa"/>
          </w:tcPr>
          <w:p w:rsidR="00FA34AD" w:rsidRPr="00BE2A95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2A95">
              <w:rPr>
                <w:rFonts w:ascii="Times New Roman" w:hAnsi="Times New Roman"/>
                <w:sz w:val="20"/>
                <w:szCs w:val="20"/>
              </w:rPr>
              <w:t>Ключевые слова: НЕМАТЕРИАЛЬНЫЕ АКТИВЫ, ТРАНСФОРМАЦИЯ, УЧЕТ, US GAAP, РСБУ, СУЩЕСТВЕННОСТЬ, ПЕРВОНОЧАЛЬНАЯ ОЦЕНКА, ПЕРЕОЦЕНКА НЕМАТЕРИАЛЬНЫХ АКТИВОВ, АМОРТИЗАЦИЯ НЕМАТЕРИАЛ</w:t>
            </w:r>
            <w:r w:rsidRPr="00BE2A95">
              <w:rPr>
                <w:rFonts w:ascii="Times New Roman" w:hAnsi="Times New Roman"/>
                <w:sz w:val="20"/>
                <w:szCs w:val="20"/>
              </w:rPr>
              <w:t>Ь</w:t>
            </w:r>
            <w:r w:rsidRPr="00BE2A95">
              <w:rPr>
                <w:rFonts w:ascii="Times New Roman" w:hAnsi="Times New Roman"/>
                <w:sz w:val="20"/>
                <w:szCs w:val="20"/>
              </w:rPr>
              <w:t>НЫХ АКТИВОВ</w:t>
            </w:r>
          </w:p>
        </w:tc>
        <w:tc>
          <w:tcPr>
            <w:tcW w:w="4643" w:type="dxa"/>
          </w:tcPr>
          <w:p w:rsidR="00FA34AD" w:rsidRPr="009C70CF" w:rsidRDefault="00FA34AD" w:rsidP="002D34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Keywords:   INTANGIBLE ASSETS, TRANSFO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MATION, </w:t>
            </w:r>
            <w:smartTag w:uri="urn:schemas-microsoft-com:office:smarttags" w:element="place">
              <w:smartTag w:uri="urn:schemas-microsoft-com:office:smarttags" w:element="City">
                <w:r w:rsidRPr="009C70CF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ACCOUNTING</w:t>
                </w:r>
              </w:smartTag>
              <w:r w:rsidRPr="009C70CF">
                <w:rPr>
                  <w:rFonts w:ascii="Times New Roman" w:hAnsi="Times New Roman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9C70CF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US</w:t>
                </w:r>
              </w:smartTag>
            </w:smartTag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GAAP, RAS, SU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STANTIALLY, MAKE THE INITIAL APPRAISAL, REVALUATION OF INTANGIBLE ASSETS A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9C70CF">
              <w:rPr>
                <w:rFonts w:ascii="Times New Roman" w:hAnsi="Times New Roman"/>
                <w:sz w:val="20"/>
                <w:szCs w:val="20"/>
                <w:lang w:val="en-US"/>
              </w:rPr>
              <w:t>ORTIZATION OF INTANGIBLE ASSETS</w:t>
            </w:r>
          </w:p>
        </w:tc>
      </w:tr>
    </w:tbl>
    <w:p w:rsidR="00FA34AD" w:rsidRPr="00C4114D" w:rsidRDefault="00FA34AD" w:rsidP="00360E5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8"/>
          <w:szCs w:val="20"/>
          <w:lang w:val="en-US"/>
        </w:rPr>
      </w:pPr>
    </w:p>
    <w:p w:rsidR="00FA34AD" w:rsidRDefault="00FA34AD" w:rsidP="001E6EE4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Правила учета</w:t>
      </w:r>
      <w:r w:rsidRPr="004A34C4">
        <w:rPr>
          <w:rFonts w:ascii="Times New Roman" w:hAnsi="Times New Roman"/>
          <w:sz w:val="28"/>
          <w:szCs w:val="20"/>
        </w:rPr>
        <w:t xml:space="preserve"> нематериальных активов по РСБУ и US GAAP имеет суще</w:t>
      </w:r>
      <w:r>
        <w:rPr>
          <w:rFonts w:ascii="Times New Roman" w:hAnsi="Times New Roman"/>
          <w:sz w:val="28"/>
          <w:szCs w:val="20"/>
        </w:rPr>
        <w:t>ствен</w:t>
      </w:r>
      <w:r w:rsidRPr="004A34C4">
        <w:rPr>
          <w:rFonts w:ascii="Times New Roman" w:hAnsi="Times New Roman"/>
          <w:sz w:val="28"/>
          <w:szCs w:val="20"/>
        </w:rPr>
        <w:t xml:space="preserve">ные отличия. Некоторые </w:t>
      </w:r>
      <w:r>
        <w:rPr>
          <w:rFonts w:ascii="Times New Roman" w:hAnsi="Times New Roman"/>
          <w:sz w:val="28"/>
          <w:szCs w:val="20"/>
        </w:rPr>
        <w:t>объекты учета в</w:t>
      </w:r>
      <w:r w:rsidRPr="004A34C4">
        <w:rPr>
          <w:rFonts w:ascii="Times New Roman" w:hAnsi="Times New Roman"/>
          <w:sz w:val="28"/>
          <w:szCs w:val="20"/>
        </w:rPr>
        <w:t xml:space="preserve"> российской практике не являются нематериальными</w:t>
      </w:r>
      <w:r>
        <w:rPr>
          <w:rFonts w:ascii="Times New Roman" w:hAnsi="Times New Roman"/>
          <w:sz w:val="28"/>
          <w:szCs w:val="20"/>
        </w:rPr>
        <w:t xml:space="preserve"> активами, а по американским стандартам</w:t>
      </w:r>
      <w:r w:rsidRPr="004A34C4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относятся</w:t>
      </w:r>
      <w:r w:rsidRPr="004A34C4">
        <w:rPr>
          <w:rFonts w:ascii="Times New Roman" w:hAnsi="Times New Roman"/>
          <w:sz w:val="28"/>
          <w:szCs w:val="20"/>
        </w:rPr>
        <w:t xml:space="preserve"> в их состав. Специалистам нужно заранее установить данные а</w:t>
      </w:r>
      <w:r w:rsidRPr="004A34C4">
        <w:rPr>
          <w:rFonts w:ascii="Times New Roman" w:hAnsi="Times New Roman"/>
          <w:sz w:val="28"/>
          <w:szCs w:val="20"/>
        </w:rPr>
        <w:t>к</w:t>
      </w:r>
      <w:r w:rsidRPr="004A34C4">
        <w:rPr>
          <w:rFonts w:ascii="Times New Roman" w:hAnsi="Times New Roman"/>
          <w:sz w:val="28"/>
          <w:szCs w:val="20"/>
        </w:rPr>
        <w:t>тивы и вести по ним подробную аналитику – что облегчит процесс тран</w:t>
      </w:r>
      <w:r w:rsidRPr="004A34C4">
        <w:rPr>
          <w:rFonts w:ascii="Times New Roman" w:hAnsi="Times New Roman"/>
          <w:sz w:val="28"/>
          <w:szCs w:val="20"/>
        </w:rPr>
        <w:t>с</w:t>
      </w:r>
      <w:r w:rsidRPr="004A34C4">
        <w:rPr>
          <w:rFonts w:ascii="Times New Roman" w:hAnsi="Times New Roman"/>
          <w:sz w:val="28"/>
          <w:szCs w:val="20"/>
        </w:rPr>
        <w:t>формации отчетности по РСБУ в соответствии с US GAAP.</w:t>
      </w:r>
    </w:p>
    <w:p w:rsidR="00FA34AD" w:rsidRPr="009F66BD" w:rsidRDefault="00FA34AD" w:rsidP="001E6EE4">
      <w:pPr>
        <w:shd w:val="clear" w:color="auto" w:fill="FFFFFF"/>
        <w:tabs>
          <w:tab w:val="left" w:pos="1276"/>
          <w:tab w:val="left" w:pos="1843"/>
        </w:tabs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Трансформация бухгалтерской отчетности — это составление отче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ности по определенным стандартам путем корректировки статей име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щейся отчетности, т.е. перегруппировка отчетных (учетных) данных. Пр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чины, по которым российское предприятие формирует отчетность в соо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ветствии с GAAP либо в соответствии с </w:t>
      </w:r>
      <w:hyperlink r:id="rId7" w:history="1">
        <w:r w:rsidRPr="009F66BD">
          <w:rPr>
            <w:rFonts w:ascii="Times New Roman" w:hAnsi="Times New Roman"/>
            <w:color w:val="000000"/>
            <w:sz w:val="28"/>
            <w:szCs w:val="28"/>
            <w:lang w:eastAsia="ru-RU"/>
          </w:rPr>
          <w:t>МСФО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>, следующие:</w:t>
      </w:r>
    </w:p>
    <w:p w:rsidR="00FA34AD" w:rsidRPr="009F66BD" w:rsidRDefault="00FA34AD" w:rsidP="001E6EE4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  <w:tab w:val="left" w:pos="1843"/>
        </w:tabs>
        <w:spacing w:after="0" w:line="31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Необходимость получения кредита за рубежом или для привлеч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ния к участию в предприятии иностранного инвестора.</w:t>
      </w:r>
    </w:p>
    <w:p w:rsidR="00FA34AD" w:rsidRPr="009F66BD" w:rsidRDefault="00FA34AD" w:rsidP="001E6EE4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  <w:tab w:val="left" w:pos="1843"/>
        </w:tabs>
        <w:spacing w:after="0" w:line="31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Для представления ее российскому кредитору или инвестору (н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пример, этого требуют некоторые банки).</w:t>
      </w:r>
    </w:p>
    <w:p w:rsidR="00FA34AD" w:rsidRPr="009F66BD" w:rsidRDefault="00FA34AD" w:rsidP="001E6EE4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  <w:tab w:val="left" w:pos="1843"/>
        </w:tabs>
        <w:spacing w:after="0" w:line="31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Акционерные общества, чьи ценные бумаги обращаются на фо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довом рынке, должны помимо отчетности, сформированной по российским стандартам, составлять отчетность исходя из требований международных стандартов и представлять ее заинтересованным лицам по их требованию.</w:t>
      </w:r>
    </w:p>
    <w:p w:rsidR="00FA34AD" w:rsidRDefault="00FA34AD" w:rsidP="001E6EE4">
      <w:pPr>
        <w:numPr>
          <w:ilvl w:val="0"/>
          <w:numId w:val="1"/>
        </w:numPr>
        <w:shd w:val="clear" w:color="auto" w:fill="FFFFFF"/>
        <w:tabs>
          <w:tab w:val="left" w:pos="993"/>
          <w:tab w:val="left" w:pos="1276"/>
          <w:tab w:val="left" w:pos="1843"/>
        </w:tabs>
        <w:spacing w:after="0" w:line="312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Для управления предприятием (по собственной инициативе). Классический финансовый анализ базируется на анализе показателей ф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F66BD">
        <w:rPr>
          <w:rFonts w:ascii="Times New Roman" w:hAnsi="Times New Roman"/>
          <w:color w:val="000000"/>
          <w:sz w:val="28"/>
          <w:szCs w:val="28"/>
          <w:lang w:eastAsia="ru-RU"/>
        </w:rPr>
        <w:t>нансовой отчетности, составленной в соответствии с GAAP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[3</w:t>
      </w:r>
      <w:r w:rsidRPr="001A33C9">
        <w:rPr>
          <w:rFonts w:ascii="Times New Roman" w:hAnsi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A34AD" w:rsidRDefault="00FA34AD" w:rsidP="001E6EE4">
      <w:pPr>
        <w:shd w:val="clear" w:color="auto" w:fill="FFFFFF"/>
        <w:tabs>
          <w:tab w:val="left" w:pos="993"/>
          <w:tab w:val="left" w:pos="1276"/>
          <w:tab w:val="left" w:pos="1843"/>
        </w:tabs>
        <w:spacing w:after="0" w:line="312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34AD" w:rsidRDefault="00FA34AD" w:rsidP="001E6EE4">
      <w:pPr>
        <w:shd w:val="clear" w:color="auto" w:fill="FFFFFF"/>
        <w:tabs>
          <w:tab w:val="left" w:pos="993"/>
          <w:tab w:val="left" w:pos="1276"/>
          <w:tab w:val="left" w:pos="1843"/>
        </w:tabs>
        <w:spacing w:after="0" w:line="312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34AD" w:rsidRDefault="00FA34AD" w:rsidP="001E6EE4">
      <w:pPr>
        <w:shd w:val="clear" w:color="auto" w:fill="FFFFFF"/>
        <w:tabs>
          <w:tab w:val="left" w:pos="1276"/>
          <w:tab w:val="left" w:pos="1843"/>
        </w:tabs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33B4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Нормативное регулирование бухгалтерского учета </w:t>
      </w:r>
    </w:p>
    <w:p w:rsidR="00FA34AD" w:rsidRPr="00DB1B52" w:rsidRDefault="00FA34AD" w:rsidP="001E6EE4">
      <w:pPr>
        <w:shd w:val="clear" w:color="auto" w:fill="FFFFFF"/>
        <w:tabs>
          <w:tab w:val="left" w:pos="1276"/>
          <w:tab w:val="left" w:pos="1843"/>
        </w:tabs>
        <w:spacing w:after="0" w:line="312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нематериальных </w:t>
      </w:r>
      <w:r w:rsidRPr="00733B4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активов по РСБУ и </w:t>
      </w:r>
      <w:r w:rsidRPr="00733B40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US</w:t>
      </w:r>
      <w:r w:rsidRPr="00733B40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733B40"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  <w:t>GAAP</w:t>
      </w:r>
    </w:p>
    <w:p w:rsidR="00FA34AD" w:rsidRPr="00360E54" w:rsidRDefault="00FA34AD" w:rsidP="001E6EE4">
      <w:pPr>
        <w:shd w:val="clear" w:color="auto" w:fill="FFFFFF"/>
        <w:tabs>
          <w:tab w:val="left" w:pos="1276"/>
          <w:tab w:val="left" w:pos="1843"/>
        </w:tabs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бухгалтерском учете по РСБУ, нематериальные активы регулир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ются Федеральным законом от 06.12.11 № 402-ФЗ «О бухгалтерском уч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те» и Положением по бухгалтерскому учету от 27.12.2007</w:t>
      </w:r>
      <w:r w:rsidRPr="001B63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№</w:t>
      </w:r>
      <w:r w:rsidRPr="001B63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153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 14/2007 «Учет нематериальных активов» (ПБУ 14/2007). Со стороны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US</w:t>
      </w:r>
      <w:r w:rsidRPr="00733B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GAAP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материальные активы регулируются</w:t>
      </w:r>
      <w:r w:rsidRPr="004A34C4">
        <w:rPr>
          <w:rFonts w:ascii="Times New Roman" w:hAnsi="Times New Roman"/>
          <w:sz w:val="28"/>
          <w:szCs w:val="20"/>
        </w:rPr>
        <w:t xml:space="preserve"> SFAS № 142 «Гудвил и другие нем</w:t>
      </w:r>
      <w:r w:rsidRPr="004A34C4">
        <w:rPr>
          <w:rFonts w:ascii="Times New Roman" w:hAnsi="Times New Roman"/>
          <w:sz w:val="28"/>
          <w:szCs w:val="20"/>
        </w:rPr>
        <w:t>а</w:t>
      </w:r>
      <w:r w:rsidRPr="004A34C4">
        <w:rPr>
          <w:rFonts w:ascii="Times New Roman" w:hAnsi="Times New Roman"/>
          <w:sz w:val="28"/>
          <w:szCs w:val="20"/>
        </w:rPr>
        <w:t>териальные активы» (Goodwill and other intangible assets)</w:t>
      </w:r>
      <w:r>
        <w:rPr>
          <w:rFonts w:ascii="Times New Roman" w:hAnsi="Times New Roman"/>
          <w:sz w:val="28"/>
          <w:szCs w:val="20"/>
        </w:rPr>
        <w:t>,</w:t>
      </w:r>
      <w:r w:rsidRPr="00923051">
        <w:rPr>
          <w:rFonts w:ascii="Times New Roman" w:hAnsi="Times New Roman"/>
          <w:sz w:val="28"/>
          <w:szCs w:val="20"/>
        </w:rPr>
        <w:t xml:space="preserve"> </w:t>
      </w:r>
      <w:r w:rsidRPr="004A34C4">
        <w:rPr>
          <w:rFonts w:ascii="Times New Roman" w:hAnsi="Times New Roman"/>
          <w:sz w:val="28"/>
          <w:szCs w:val="20"/>
        </w:rPr>
        <w:t>SFAS № 144 «Учет обесценения или от</w:t>
      </w:r>
      <w:r>
        <w:rPr>
          <w:rFonts w:ascii="Times New Roman" w:hAnsi="Times New Roman"/>
          <w:sz w:val="28"/>
          <w:szCs w:val="20"/>
        </w:rPr>
        <w:t>чуждения долгосрочных акти</w:t>
      </w:r>
      <w:r w:rsidRPr="004A34C4">
        <w:rPr>
          <w:rFonts w:ascii="Times New Roman" w:hAnsi="Times New Roman"/>
          <w:sz w:val="28"/>
          <w:szCs w:val="20"/>
        </w:rPr>
        <w:t>вов»</w:t>
      </w:r>
      <w:r>
        <w:rPr>
          <w:rFonts w:ascii="Times New Roman" w:hAnsi="Times New Roman"/>
          <w:sz w:val="28"/>
          <w:szCs w:val="20"/>
        </w:rPr>
        <w:t>,</w:t>
      </w:r>
      <w:r w:rsidRPr="00923051">
        <w:rPr>
          <w:rFonts w:ascii="Times New Roman" w:hAnsi="Times New Roman"/>
          <w:sz w:val="28"/>
          <w:szCs w:val="20"/>
        </w:rPr>
        <w:t xml:space="preserve"> </w:t>
      </w:r>
      <w:r w:rsidRPr="004A34C4">
        <w:rPr>
          <w:rFonts w:ascii="Times New Roman" w:hAnsi="Times New Roman"/>
          <w:sz w:val="28"/>
          <w:szCs w:val="20"/>
        </w:rPr>
        <w:t>FASB № 2 «Качественные характеристики учетной информации» (Concept № 2 Qualitative characteristics of accounting information) и в SAB № 99 «Сущес</w:t>
      </w:r>
      <w:r w:rsidRPr="004A34C4">
        <w:rPr>
          <w:rFonts w:ascii="Times New Roman" w:hAnsi="Times New Roman"/>
          <w:sz w:val="28"/>
          <w:szCs w:val="20"/>
        </w:rPr>
        <w:t>т</w:t>
      </w:r>
      <w:r w:rsidRPr="004A34C4">
        <w:rPr>
          <w:rFonts w:ascii="Times New Roman" w:hAnsi="Times New Roman"/>
          <w:sz w:val="28"/>
          <w:szCs w:val="20"/>
        </w:rPr>
        <w:t>венность» (Materiality)</w:t>
      </w:r>
      <w:r>
        <w:rPr>
          <w:rFonts w:ascii="Times New Roman" w:hAnsi="Times New Roman"/>
          <w:sz w:val="28"/>
          <w:szCs w:val="20"/>
        </w:rPr>
        <w:t>.</w:t>
      </w:r>
    </w:p>
    <w:p w:rsidR="00FA34AD" w:rsidRDefault="00FA34AD" w:rsidP="001E6EE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Times New Roman" w:hAnsi="Times New Roman"/>
          <w:b/>
          <w:sz w:val="28"/>
          <w:szCs w:val="20"/>
        </w:rPr>
      </w:pPr>
    </w:p>
    <w:p w:rsidR="00FA34AD" w:rsidRPr="0039751E" w:rsidRDefault="00FA34AD" w:rsidP="001E6EE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Times New Roman" w:hAnsi="Times New Roman"/>
          <w:b/>
          <w:sz w:val="28"/>
          <w:szCs w:val="20"/>
        </w:rPr>
      </w:pPr>
      <w:r w:rsidRPr="0039751E">
        <w:rPr>
          <w:rFonts w:ascii="Times New Roman" w:hAnsi="Times New Roman"/>
          <w:b/>
          <w:sz w:val="28"/>
          <w:szCs w:val="20"/>
        </w:rPr>
        <w:t>Критерии признания</w:t>
      </w:r>
    </w:p>
    <w:p w:rsidR="00FA34AD" w:rsidRPr="004A34C4" w:rsidRDefault="00FA34AD" w:rsidP="001E6EE4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Российская практика учета и US GAAP различно устанавливают п</w:t>
      </w:r>
      <w:r w:rsidRPr="004A34C4">
        <w:rPr>
          <w:rFonts w:ascii="Times New Roman" w:hAnsi="Times New Roman"/>
          <w:sz w:val="28"/>
          <w:szCs w:val="20"/>
        </w:rPr>
        <w:t>е</w:t>
      </w:r>
      <w:r w:rsidRPr="004A34C4">
        <w:rPr>
          <w:rFonts w:ascii="Times New Roman" w:hAnsi="Times New Roman"/>
          <w:sz w:val="28"/>
          <w:szCs w:val="20"/>
        </w:rPr>
        <w:t xml:space="preserve">речень </w:t>
      </w:r>
      <w:r>
        <w:rPr>
          <w:rFonts w:ascii="Times New Roman" w:hAnsi="Times New Roman"/>
          <w:sz w:val="28"/>
          <w:szCs w:val="20"/>
        </w:rPr>
        <w:t>объектов</w:t>
      </w:r>
      <w:r w:rsidRPr="004A34C4">
        <w:rPr>
          <w:rFonts w:ascii="Times New Roman" w:hAnsi="Times New Roman"/>
          <w:sz w:val="28"/>
          <w:szCs w:val="20"/>
        </w:rPr>
        <w:t>, относящихся к нематериальным</w:t>
      </w:r>
      <w:r>
        <w:rPr>
          <w:rFonts w:ascii="Times New Roman" w:hAnsi="Times New Roman"/>
          <w:sz w:val="28"/>
          <w:szCs w:val="20"/>
        </w:rPr>
        <w:t xml:space="preserve"> активам</w:t>
      </w:r>
      <w:r w:rsidRPr="004A34C4">
        <w:rPr>
          <w:rFonts w:ascii="Times New Roman" w:hAnsi="Times New Roman"/>
          <w:sz w:val="28"/>
          <w:szCs w:val="20"/>
        </w:rPr>
        <w:t>. По US GAAP понятие нематериальных активов намного шире, поэтому часто активы, не относящиеся к нематериальным в РСБУ и отчетности</w:t>
      </w:r>
      <w:r>
        <w:rPr>
          <w:rFonts w:ascii="Times New Roman" w:hAnsi="Times New Roman"/>
          <w:sz w:val="28"/>
          <w:szCs w:val="20"/>
        </w:rPr>
        <w:t>,</w:t>
      </w:r>
      <w:r w:rsidRPr="004A34C4">
        <w:rPr>
          <w:rFonts w:ascii="Times New Roman" w:hAnsi="Times New Roman"/>
          <w:sz w:val="28"/>
          <w:szCs w:val="20"/>
        </w:rPr>
        <w:t xml:space="preserve"> по US GAAP вкл</w:t>
      </w:r>
      <w:r w:rsidRPr="004A34C4">
        <w:rPr>
          <w:rFonts w:ascii="Times New Roman" w:hAnsi="Times New Roman"/>
          <w:sz w:val="28"/>
          <w:szCs w:val="20"/>
        </w:rPr>
        <w:t>ю</w:t>
      </w:r>
      <w:r w:rsidRPr="004A34C4">
        <w:rPr>
          <w:rFonts w:ascii="Times New Roman" w:hAnsi="Times New Roman"/>
          <w:sz w:val="28"/>
          <w:szCs w:val="20"/>
        </w:rPr>
        <w:t xml:space="preserve">чаются в состав </w:t>
      </w:r>
      <w:r>
        <w:rPr>
          <w:rFonts w:ascii="Times New Roman" w:hAnsi="Times New Roman"/>
          <w:sz w:val="28"/>
          <w:szCs w:val="20"/>
        </w:rPr>
        <w:t>нематериальных активов</w:t>
      </w:r>
      <w:r w:rsidRPr="004A34C4">
        <w:rPr>
          <w:rFonts w:ascii="Times New Roman" w:hAnsi="Times New Roman"/>
          <w:sz w:val="28"/>
          <w:szCs w:val="20"/>
        </w:rPr>
        <w:t>. Это относится к таким категор</w:t>
      </w:r>
      <w:r w:rsidRPr="004A34C4">
        <w:rPr>
          <w:rFonts w:ascii="Times New Roman" w:hAnsi="Times New Roman"/>
          <w:sz w:val="28"/>
          <w:szCs w:val="20"/>
        </w:rPr>
        <w:t>и</w:t>
      </w:r>
      <w:r w:rsidRPr="004A34C4">
        <w:rPr>
          <w:rFonts w:ascii="Times New Roman" w:hAnsi="Times New Roman"/>
          <w:sz w:val="28"/>
          <w:szCs w:val="20"/>
        </w:rPr>
        <w:t>ям, как квалификация сотрудников, активы, предназначенные для продажи или являющиеся долгосрочными и т.д. Также допустима ситуация, когда предмет учета, признанный нематериальным</w:t>
      </w:r>
      <w:r>
        <w:rPr>
          <w:rFonts w:ascii="Times New Roman" w:hAnsi="Times New Roman"/>
          <w:sz w:val="28"/>
          <w:szCs w:val="20"/>
        </w:rPr>
        <w:t xml:space="preserve"> активом</w:t>
      </w:r>
      <w:r w:rsidRPr="004A34C4">
        <w:rPr>
          <w:rFonts w:ascii="Times New Roman" w:hAnsi="Times New Roman"/>
          <w:sz w:val="28"/>
          <w:szCs w:val="20"/>
        </w:rPr>
        <w:t xml:space="preserve"> в российской пра</w:t>
      </w:r>
      <w:r w:rsidRPr="004A34C4">
        <w:rPr>
          <w:rFonts w:ascii="Times New Roman" w:hAnsi="Times New Roman"/>
          <w:sz w:val="28"/>
          <w:szCs w:val="20"/>
        </w:rPr>
        <w:t>к</w:t>
      </w:r>
      <w:r w:rsidRPr="004A34C4">
        <w:rPr>
          <w:rFonts w:ascii="Times New Roman" w:hAnsi="Times New Roman"/>
          <w:sz w:val="28"/>
          <w:szCs w:val="20"/>
        </w:rPr>
        <w:t xml:space="preserve">тике, исключается из состава </w:t>
      </w:r>
      <w:r>
        <w:rPr>
          <w:rFonts w:ascii="Times New Roman" w:hAnsi="Times New Roman"/>
          <w:sz w:val="28"/>
          <w:szCs w:val="20"/>
        </w:rPr>
        <w:t>нематериальных активов</w:t>
      </w:r>
      <w:r w:rsidRPr="004A34C4">
        <w:rPr>
          <w:rFonts w:ascii="Times New Roman" w:hAnsi="Times New Roman"/>
          <w:sz w:val="28"/>
          <w:szCs w:val="20"/>
        </w:rPr>
        <w:t xml:space="preserve"> при подготовке о</w:t>
      </w:r>
      <w:r w:rsidRPr="004A34C4">
        <w:rPr>
          <w:rFonts w:ascii="Times New Roman" w:hAnsi="Times New Roman"/>
          <w:sz w:val="28"/>
          <w:szCs w:val="20"/>
        </w:rPr>
        <w:t>т</w:t>
      </w:r>
      <w:r w:rsidRPr="004A34C4">
        <w:rPr>
          <w:rFonts w:ascii="Times New Roman" w:hAnsi="Times New Roman"/>
          <w:sz w:val="28"/>
          <w:szCs w:val="20"/>
        </w:rPr>
        <w:t>четности по US GAAP. US GAAP определяет особенные правила учета о</w:t>
      </w:r>
      <w:r w:rsidRPr="004A34C4">
        <w:rPr>
          <w:rFonts w:ascii="Times New Roman" w:hAnsi="Times New Roman"/>
          <w:sz w:val="28"/>
          <w:szCs w:val="20"/>
        </w:rPr>
        <w:t>р</w:t>
      </w:r>
      <w:r w:rsidRPr="004A34C4">
        <w:rPr>
          <w:rFonts w:ascii="Times New Roman" w:hAnsi="Times New Roman"/>
          <w:sz w:val="28"/>
          <w:szCs w:val="20"/>
        </w:rPr>
        <w:t>ганизационных расходов начального периода, и к нематериальным акт</w:t>
      </w:r>
      <w:r w:rsidRPr="004A34C4">
        <w:rPr>
          <w:rFonts w:ascii="Times New Roman" w:hAnsi="Times New Roman"/>
          <w:sz w:val="28"/>
          <w:szCs w:val="20"/>
        </w:rPr>
        <w:t>и</w:t>
      </w:r>
      <w:r w:rsidRPr="004A34C4">
        <w:rPr>
          <w:rFonts w:ascii="Times New Roman" w:hAnsi="Times New Roman"/>
          <w:sz w:val="28"/>
          <w:szCs w:val="20"/>
        </w:rPr>
        <w:t>вам многие виды данных расходов не включаются.</w:t>
      </w:r>
    </w:p>
    <w:p w:rsidR="00FA34AD" w:rsidRDefault="00FA34AD" w:rsidP="00DB1B52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2024C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 – </w:t>
      </w:r>
      <w:r w:rsidRPr="002024C9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Основные сходства и различия между РСБУ и US GAAP</w:t>
      </w:r>
    </w:p>
    <w:p w:rsidR="00FA34AD" w:rsidRPr="00DB1B52" w:rsidRDefault="00FA34AD" w:rsidP="00DB1B52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16"/>
        <w:gridCol w:w="203"/>
        <w:gridCol w:w="2243"/>
        <w:gridCol w:w="575"/>
        <w:gridCol w:w="2710"/>
      </w:tblGrid>
      <w:tr w:rsidR="00FA34AD" w:rsidRPr="009C70CF" w:rsidTr="009C70CF">
        <w:tc>
          <w:tcPr>
            <w:tcW w:w="341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4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РСБУ</w:t>
            </w:r>
          </w:p>
        </w:tc>
        <w:tc>
          <w:tcPr>
            <w:tcW w:w="32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US GAAP</w:t>
            </w:r>
          </w:p>
        </w:tc>
      </w:tr>
      <w:tr w:rsidR="00FA34AD" w:rsidRPr="009C70CF" w:rsidTr="009C70CF">
        <w:tc>
          <w:tcPr>
            <w:tcW w:w="9147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Критерии признания нематериальных активов</w:t>
            </w:r>
          </w:p>
        </w:tc>
      </w:tr>
      <w:tr w:rsidR="00FA34AD" w:rsidRPr="009C70CF" w:rsidTr="009C70CF">
        <w:tc>
          <w:tcPr>
            <w:tcW w:w="341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Отсутствие материально-вещественной базы</w:t>
            </w:r>
          </w:p>
        </w:tc>
        <w:tc>
          <w:tcPr>
            <w:tcW w:w="24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обязательном      порядке</w:t>
            </w:r>
          </w:p>
        </w:tc>
        <w:tc>
          <w:tcPr>
            <w:tcW w:w="32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6" w:name="OLE_LINK65"/>
            <w:bookmarkStart w:id="7" w:name="OLE_LINK66"/>
            <w:bookmarkStart w:id="8" w:name="OLE_LINK67"/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обязательном 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порядке</w:t>
            </w:r>
            <w:bookmarkEnd w:id="6"/>
            <w:bookmarkEnd w:id="7"/>
            <w:bookmarkEnd w:id="8"/>
          </w:p>
        </w:tc>
      </w:tr>
      <w:tr w:rsidR="00FA34AD" w:rsidRPr="009C70CF" w:rsidTr="009C70CF">
        <w:tc>
          <w:tcPr>
            <w:tcW w:w="341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Возможность идентификации (выделения, отделения) с др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гим имуществом</w:t>
            </w:r>
          </w:p>
        </w:tc>
        <w:tc>
          <w:tcPr>
            <w:tcW w:w="24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обязательном      порядке</w:t>
            </w:r>
          </w:p>
        </w:tc>
        <w:tc>
          <w:tcPr>
            <w:tcW w:w="32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Добровольно</w:t>
            </w:r>
          </w:p>
        </w:tc>
      </w:tr>
      <w:tr w:rsidR="00FA34AD" w:rsidRPr="009C70CF" w:rsidTr="009C70CF">
        <w:tc>
          <w:tcPr>
            <w:tcW w:w="341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Использование в течение дл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тельного времени, свыше 12 месяцев</w:t>
            </w:r>
          </w:p>
        </w:tc>
        <w:tc>
          <w:tcPr>
            <w:tcW w:w="24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обязательном      порядке</w:t>
            </w:r>
          </w:p>
        </w:tc>
        <w:tc>
          <w:tcPr>
            <w:tcW w:w="32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Добровольно</w:t>
            </w:r>
          </w:p>
        </w:tc>
      </w:tr>
      <w:tr w:rsidR="00FA34AD" w:rsidRPr="009C70CF" w:rsidTr="009C70CF">
        <w:tc>
          <w:tcPr>
            <w:tcW w:w="341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 приносить орг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низации экономические выг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ды (доход) в будущем</w:t>
            </w:r>
          </w:p>
        </w:tc>
        <w:tc>
          <w:tcPr>
            <w:tcW w:w="24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обязательном      порядке</w:t>
            </w:r>
          </w:p>
        </w:tc>
        <w:tc>
          <w:tcPr>
            <w:tcW w:w="32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обязательном 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порядке</w:t>
            </w:r>
          </w:p>
        </w:tc>
      </w:tr>
      <w:tr w:rsidR="00FA34AD" w:rsidRPr="009C70CF" w:rsidTr="009C70CF">
        <w:tc>
          <w:tcPr>
            <w:tcW w:w="341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BD08C1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Наличие документов (патенты, свидетельства и другие охра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ные документы)</w:t>
            </w:r>
          </w:p>
        </w:tc>
        <w:tc>
          <w:tcPr>
            <w:tcW w:w="244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обязательном      порядке</w:t>
            </w:r>
          </w:p>
        </w:tc>
        <w:tc>
          <w:tcPr>
            <w:tcW w:w="328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BD08C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Добровольно</w:t>
            </w:r>
          </w:p>
        </w:tc>
      </w:tr>
      <w:tr w:rsidR="00FA34AD" w:rsidRPr="009C70CF" w:rsidTr="00DB1B52">
        <w:tc>
          <w:tcPr>
            <w:tcW w:w="9147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241E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Учет нематериальных активов</w:t>
            </w:r>
          </w:p>
        </w:tc>
      </w:tr>
      <w:tr w:rsidR="00FA34AD" w:rsidRPr="009C70CF" w:rsidTr="00DB1B52">
        <w:tc>
          <w:tcPr>
            <w:tcW w:w="361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D23B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Намерение не продавать актив</w:t>
            </w:r>
          </w:p>
        </w:tc>
        <w:tc>
          <w:tcPr>
            <w:tcW w:w="281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D23B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обязательном      п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27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D23B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Добровольно</w:t>
            </w:r>
          </w:p>
        </w:tc>
      </w:tr>
      <w:tr w:rsidR="00FA34AD" w:rsidRPr="009C70CF" w:rsidTr="00DB1B52">
        <w:tc>
          <w:tcPr>
            <w:tcW w:w="361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D23B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Первоначальная стоимость нем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териальных активов</w:t>
            </w:r>
          </w:p>
        </w:tc>
        <w:tc>
          <w:tcPr>
            <w:tcW w:w="281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D23B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Фактическая стоимость</w:t>
            </w:r>
          </w:p>
        </w:tc>
        <w:tc>
          <w:tcPr>
            <w:tcW w:w="27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D23B3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Справедливая стоимость</w:t>
            </w:r>
          </w:p>
        </w:tc>
      </w:tr>
      <w:tr w:rsidR="00FA34AD" w:rsidRPr="009C70CF" w:rsidTr="00DB1B52">
        <w:tc>
          <w:tcPr>
            <w:tcW w:w="361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241E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Переоценка нематериальных а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тивов</w:t>
            </w:r>
          </w:p>
        </w:tc>
        <w:tc>
          <w:tcPr>
            <w:tcW w:w="281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241E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допускается (кроме случаев, предусмотре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ных законодательством РФ)</w:t>
            </w:r>
          </w:p>
        </w:tc>
        <w:tc>
          <w:tcPr>
            <w:tcW w:w="27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241E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обязательном              порядке</w:t>
            </w:r>
          </w:p>
        </w:tc>
      </w:tr>
      <w:tr w:rsidR="00FA34AD" w:rsidRPr="009C70CF" w:rsidTr="00DB1B52">
        <w:tc>
          <w:tcPr>
            <w:tcW w:w="361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34AD" w:rsidRPr="009C70CF" w:rsidRDefault="00FA34AD" w:rsidP="00241E8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Амортизация нематериальных активов с неопределенным ср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 полезного использования</w:t>
            </w:r>
          </w:p>
        </w:tc>
        <w:tc>
          <w:tcPr>
            <w:tcW w:w="281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241E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Нематериальные активы с неопределенным ср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 полезного использ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вания и в некоммерч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ских организациях не амортизируются</w:t>
            </w:r>
          </w:p>
        </w:tc>
        <w:tc>
          <w:tcPr>
            <w:tcW w:w="27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34AD" w:rsidRPr="009C70CF" w:rsidRDefault="00FA34AD" w:rsidP="00241E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Нематериальные активы с неопределенным ср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 полезного испол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C70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зования и гудвил не амортизируются</w:t>
            </w:r>
          </w:p>
        </w:tc>
      </w:tr>
    </w:tbl>
    <w:p w:rsidR="00FA34AD" w:rsidRPr="002024C9" w:rsidRDefault="00FA34AD" w:rsidP="00C4114D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A34AD" w:rsidRDefault="00FA34AD" w:rsidP="00AD04F8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0"/>
          <w:szCs w:val="20"/>
          <w:highlight w:val="white"/>
        </w:rPr>
      </w:pP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Рассмотрим о</w:t>
      </w:r>
      <w:r w:rsidRPr="004A34C4">
        <w:rPr>
          <w:rFonts w:ascii="Times New Roman" w:hAnsi="Times New Roman"/>
          <w:sz w:val="28"/>
          <w:szCs w:val="20"/>
        </w:rPr>
        <w:t>сновные сходства и отличия условий признания нем</w:t>
      </w:r>
      <w:r w:rsidRPr="004A34C4">
        <w:rPr>
          <w:rFonts w:ascii="Times New Roman" w:hAnsi="Times New Roman"/>
          <w:sz w:val="28"/>
          <w:szCs w:val="20"/>
        </w:rPr>
        <w:t>а</w:t>
      </w:r>
      <w:r w:rsidRPr="004A34C4">
        <w:rPr>
          <w:rFonts w:ascii="Times New Roman" w:hAnsi="Times New Roman"/>
          <w:sz w:val="28"/>
          <w:szCs w:val="20"/>
        </w:rPr>
        <w:t>териальных акти</w:t>
      </w:r>
      <w:r>
        <w:rPr>
          <w:rFonts w:ascii="Times New Roman" w:hAnsi="Times New Roman"/>
          <w:sz w:val="28"/>
          <w:szCs w:val="20"/>
        </w:rPr>
        <w:t>вов в РСБУ и US GAAP, приведенные в таблице 1, более подробно: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1.  В соответствии с  определением, приведенн</w:t>
      </w:r>
      <w:r>
        <w:rPr>
          <w:rFonts w:ascii="Times New Roman" w:hAnsi="Times New Roman"/>
          <w:sz w:val="28"/>
          <w:szCs w:val="20"/>
        </w:rPr>
        <w:t>ы</w:t>
      </w:r>
      <w:r w:rsidRPr="004A34C4">
        <w:rPr>
          <w:rFonts w:ascii="Times New Roman" w:hAnsi="Times New Roman"/>
          <w:sz w:val="28"/>
          <w:szCs w:val="20"/>
        </w:rPr>
        <w:t xml:space="preserve">м в приложении F к SFAS № 142 «Гудвил и другие нематериальные активы» (Goodwill and other intangible assets), </w:t>
      </w:r>
      <w:r>
        <w:rPr>
          <w:rFonts w:ascii="Times New Roman" w:hAnsi="Times New Roman"/>
          <w:sz w:val="28"/>
          <w:szCs w:val="20"/>
        </w:rPr>
        <w:t>нематериальные активы</w:t>
      </w:r>
      <w:r w:rsidRPr="004A34C4">
        <w:rPr>
          <w:rFonts w:ascii="Times New Roman" w:hAnsi="Times New Roman"/>
          <w:sz w:val="28"/>
          <w:szCs w:val="20"/>
        </w:rPr>
        <w:t xml:space="preserve"> – это активы (за вычетом финансовых), которые не имеют материально-вещественной  структуры. Данное положение имеет сходства по РСБУ и US GAAP.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2.  Сходны моменты,</w:t>
      </w:r>
      <w:r>
        <w:rPr>
          <w:rFonts w:ascii="Times New Roman" w:hAnsi="Times New Roman"/>
          <w:sz w:val="28"/>
          <w:szCs w:val="20"/>
        </w:rPr>
        <w:t xml:space="preserve"> </w:t>
      </w:r>
      <w:r w:rsidRPr="004A34C4">
        <w:rPr>
          <w:rFonts w:ascii="Times New Roman" w:hAnsi="Times New Roman"/>
          <w:sz w:val="28"/>
          <w:szCs w:val="20"/>
        </w:rPr>
        <w:t>касающиеся способности приносить организ</w:t>
      </w:r>
      <w:r w:rsidRPr="004A34C4">
        <w:rPr>
          <w:rFonts w:ascii="Times New Roman" w:hAnsi="Times New Roman"/>
          <w:sz w:val="28"/>
          <w:szCs w:val="20"/>
        </w:rPr>
        <w:t>а</w:t>
      </w:r>
      <w:r w:rsidRPr="004A34C4">
        <w:rPr>
          <w:rFonts w:ascii="Times New Roman" w:hAnsi="Times New Roman"/>
          <w:sz w:val="28"/>
          <w:szCs w:val="20"/>
        </w:rPr>
        <w:t>ции экономические выгоды в будущем. Необходимо отметить о сходстве стандартов по вопросу применения активов при производстве продукции (оказании услуг) или для управленческих нужд организации.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3. Согласно ПБУ 14/2007 объект предназначен для использования в течение длительного времени (более 12 месяцев). По US GAAP нематер</w:t>
      </w:r>
      <w:r w:rsidRPr="004A34C4">
        <w:rPr>
          <w:rFonts w:ascii="Times New Roman" w:hAnsi="Times New Roman"/>
          <w:sz w:val="28"/>
          <w:szCs w:val="20"/>
        </w:rPr>
        <w:t>и</w:t>
      </w:r>
      <w:r w:rsidRPr="004A34C4">
        <w:rPr>
          <w:rFonts w:ascii="Times New Roman" w:hAnsi="Times New Roman"/>
          <w:sz w:val="28"/>
          <w:szCs w:val="20"/>
        </w:rPr>
        <w:t>альные активы могут быть с меньшим сроком полезного использования. Вследствие это</w:t>
      </w:r>
      <w:r>
        <w:rPr>
          <w:rFonts w:ascii="Times New Roman" w:hAnsi="Times New Roman"/>
          <w:sz w:val="28"/>
          <w:szCs w:val="20"/>
        </w:rPr>
        <w:t>го организации, имеющей нематериальные активы</w:t>
      </w:r>
      <w:r w:rsidRPr="004A34C4">
        <w:rPr>
          <w:rFonts w:ascii="Times New Roman" w:hAnsi="Times New Roman"/>
          <w:sz w:val="28"/>
          <w:szCs w:val="20"/>
        </w:rPr>
        <w:t>, целес</w:t>
      </w:r>
      <w:r w:rsidRPr="004A34C4">
        <w:rPr>
          <w:rFonts w:ascii="Times New Roman" w:hAnsi="Times New Roman"/>
          <w:sz w:val="28"/>
          <w:szCs w:val="20"/>
        </w:rPr>
        <w:t>о</w:t>
      </w:r>
      <w:r w:rsidRPr="004A34C4">
        <w:rPr>
          <w:rFonts w:ascii="Times New Roman" w:hAnsi="Times New Roman"/>
          <w:sz w:val="28"/>
          <w:szCs w:val="20"/>
        </w:rPr>
        <w:t>образно в РСБУ вести по ним отдель</w:t>
      </w:r>
      <w:r>
        <w:rPr>
          <w:rFonts w:ascii="Times New Roman" w:hAnsi="Times New Roman"/>
          <w:sz w:val="28"/>
          <w:szCs w:val="20"/>
        </w:rPr>
        <w:t>ный учет</w:t>
      </w:r>
      <w:r w:rsidRPr="004A34C4">
        <w:rPr>
          <w:rFonts w:ascii="Times New Roman" w:hAnsi="Times New Roman"/>
          <w:sz w:val="28"/>
          <w:szCs w:val="20"/>
        </w:rPr>
        <w:t xml:space="preserve"> при переходе на US GAAP.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 xml:space="preserve">4. По РСБУ актив,  который возможно будет продан, не относится к  нематериальным активам.  US GAAP, в </w:t>
      </w:r>
      <w:r>
        <w:rPr>
          <w:rFonts w:ascii="Times New Roman" w:hAnsi="Times New Roman"/>
          <w:sz w:val="28"/>
          <w:szCs w:val="20"/>
        </w:rPr>
        <w:t>отличие от РСБУ, определяет во</w:t>
      </w:r>
      <w:r>
        <w:rPr>
          <w:rFonts w:ascii="Times New Roman" w:hAnsi="Times New Roman"/>
          <w:sz w:val="28"/>
          <w:szCs w:val="20"/>
        </w:rPr>
        <w:t>з</w:t>
      </w:r>
      <w:r w:rsidRPr="004A34C4">
        <w:rPr>
          <w:rFonts w:ascii="Times New Roman" w:hAnsi="Times New Roman"/>
          <w:sz w:val="28"/>
          <w:szCs w:val="20"/>
        </w:rPr>
        <w:t xml:space="preserve">можность отнесения данных активов к </w:t>
      </w:r>
      <w:r>
        <w:rPr>
          <w:rFonts w:ascii="Times New Roman" w:hAnsi="Times New Roman"/>
          <w:sz w:val="28"/>
          <w:szCs w:val="20"/>
        </w:rPr>
        <w:t>нематериальным активам</w:t>
      </w:r>
      <w:r w:rsidRPr="004A34C4">
        <w:rPr>
          <w:rFonts w:ascii="Times New Roman" w:hAnsi="Times New Roman"/>
          <w:sz w:val="28"/>
          <w:szCs w:val="20"/>
        </w:rPr>
        <w:t>. В РСБУ рекомендовано учитывать данный актив отдельно, чтобы при переходе на отчетность по US GAAP  его можно было выделить.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5. В соответствии с российской практикой при отсутствии формал</w:t>
      </w:r>
      <w:r w:rsidRPr="004A34C4">
        <w:rPr>
          <w:rFonts w:ascii="Times New Roman" w:hAnsi="Times New Roman"/>
          <w:sz w:val="28"/>
          <w:szCs w:val="20"/>
        </w:rPr>
        <w:t>ь</w:t>
      </w:r>
      <w:r w:rsidRPr="004A34C4">
        <w:rPr>
          <w:rFonts w:ascii="Times New Roman" w:hAnsi="Times New Roman"/>
          <w:sz w:val="28"/>
          <w:szCs w:val="20"/>
        </w:rPr>
        <w:t xml:space="preserve">ных документов  актив может быть не отнесен к </w:t>
      </w:r>
      <w:r>
        <w:rPr>
          <w:rFonts w:ascii="Times New Roman" w:hAnsi="Times New Roman"/>
          <w:sz w:val="28"/>
          <w:szCs w:val="20"/>
        </w:rPr>
        <w:t>нематериальным активам</w:t>
      </w:r>
      <w:r w:rsidRPr="004A34C4">
        <w:rPr>
          <w:rFonts w:ascii="Times New Roman" w:hAnsi="Times New Roman"/>
          <w:sz w:val="28"/>
          <w:szCs w:val="20"/>
        </w:rPr>
        <w:t>, а в соответствии с US GAAP данный аспект рассматривается несколько иначе. К примеру, если  организация имеет уникальную разработку, и</w:t>
      </w:r>
      <w:r w:rsidRPr="004A34C4">
        <w:rPr>
          <w:rFonts w:ascii="Times New Roman" w:hAnsi="Times New Roman"/>
          <w:sz w:val="28"/>
          <w:szCs w:val="20"/>
        </w:rPr>
        <w:t>с</w:t>
      </w:r>
      <w:r w:rsidRPr="004A34C4">
        <w:rPr>
          <w:rFonts w:ascii="Times New Roman" w:hAnsi="Times New Roman"/>
          <w:sz w:val="28"/>
          <w:szCs w:val="20"/>
        </w:rPr>
        <w:t xml:space="preserve">пользуемую в целях экономической выгоды, но патента на нее еще нет, то данную разработку можно отнести к </w:t>
      </w:r>
      <w:r>
        <w:rPr>
          <w:rFonts w:ascii="Times New Roman" w:hAnsi="Times New Roman"/>
          <w:sz w:val="28"/>
          <w:szCs w:val="20"/>
        </w:rPr>
        <w:t>нематериальным активам</w:t>
      </w:r>
      <w:r w:rsidRPr="004A34C4">
        <w:rPr>
          <w:rFonts w:ascii="Times New Roman" w:hAnsi="Times New Roman"/>
          <w:sz w:val="28"/>
          <w:szCs w:val="20"/>
        </w:rPr>
        <w:t xml:space="preserve">. В РСБУ данные объекты в состав </w:t>
      </w:r>
      <w:r>
        <w:rPr>
          <w:rFonts w:ascii="Times New Roman" w:hAnsi="Times New Roman"/>
          <w:sz w:val="28"/>
          <w:szCs w:val="20"/>
        </w:rPr>
        <w:t>нематериальных активов</w:t>
      </w:r>
      <w:r w:rsidRPr="004A34C4">
        <w:rPr>
          <w:rFonts w:ascii="Times New Roman" w:hAnsi="Times New Roman"/>
          <w:sz w:val="28"/>
          <w:szCs w:val="20"/>
        </w:rPr>
        <w:t xml:space="preserve"> не относят</w:t>
      </w:r>
      <w:r>
        <w:rPr>
          <w:rFonts w:ascii="Times New Roman" w:hAnsi="Times New Roman"/>
          <w:sz w:val="28"/>
          <w:szCs w:val="20"/>
        </w:rPr>
        <w:t>.</w:t>
      </w:r>
    </w:p>
    <w:p w:rsidR="00FA34AD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6. Если актив не</w:t>
      </w:r>
      <w:r w:rsidRPr="004A34C4">
        <w:rPr>
          <w:rFonts w:ascii="Times New Roman" w:hAnsi="Times New Roman"/>
          <w:sz w:val="28"/>
          <w:szCs w:val="20"/>
        </w:rPr>
        <w:t xml:space="preserve">отделим от </w:t>
      </w:r>
      <w:r>
        <w:rPr>
          <w:rFonts w:ascii="Times New Roman" w:hAnsi="Times New Roman"/>
          <w:sz w:val="28"/>
          <w:szCs w:val="20"/>
        </w:rPr>
        <w:t>других активов организации</w:t>
      </w:r>
      <w:r w:rsidRPr="004A34C4">
        <w:rPr>
          <w:rFonts w:ascii="Times New Roman" w:hAnsi="Times New Roman"/>
          <w:sz w:val="28"/>
          <w:szCs w:val="20"/>
        </w:rPr>
        <w:t xml:space="preserve">, то  по US GAAP  это не будет препятствовать отнесению актива к </w:t>
      </w:r>
      <w:r>
        <w:rPr>
          <w:rFonts w:ascii="Times New Roman" w:hAnsi="Times New Roman"/>
          <w:sz w:val="28"/>
          <w:szCs w:val="20"/>
        </w:rPr>
        <w:t>нематериальным активам</w:t>
      </w:r>
      <w:r w:rsidRPr="004A34C4">
        <w:rPr>
          <w:rFonts w:ascii="Times New Roman" w:hAnsi="Times New Roman"/>
          <w:sz w:val="28"/>
          <w:szCs w:val="20"/>
        </w:rPr>
        <w:t>. В РСБУ указан</w:t>
      </w:r>
      <w:r>
        <w:rPr>
          <w:rFonts w:ascii="Times New Roman" w:hAnsi="Times New Roman"/>
          <w:sz w:val="28"/>
          <w:szCs w:val="20"/>
        </w:rPr>
        <w:t>ный мо</w:t>
      </w:r>
      <w:r w:rsidRPr="004A34C4">
        <w:rPr>
          <w:rFonts w:ascii="Times New Roman" w:hAnsi="Times New Roman"/>
          <w:sz w:val="28"/>
          <w:szCs w:val="20"/>
        </w:rPr>
        <w:t>мент бу</w:t>
      </w:r>
      <w:r>
        <w:rPr>
          <w:rFonts w:ascii="Times New Roman" w:hAnsi="Times New Roman"/>
          <w:sz w:val="28"/>
          <w:szCs w:val="20"/>
        </w:rPr>
        <w:t>де</w:t>
      </w:r>
      <w:r w:rsidRPr="004A34C4">
        <w:rPr>
          <w:rFonts w:ascii="Times New Roman" w:hAnsi="Times New Roman"/>
          <w:sz w:val="28"/>
          <w:szCs w:val="20"/>
        </w:rPr>
        <w:t>т существенным препятствием при отн</w:t>
      </w:r>
      <w:r>
        <w:rPr>
          <w:rFonts w:ascii="Times New Roman" w:hAnsi="Times New Roman"/>
          <w:sz w:val="28"/>
          <w:szCs w:val="20"/>
        </w:rPr>
        <w:t>есении актива к нематериальным активам</w:t>
      </w:r>
      <w:r w:rsidRPr="004A34C4">
        <w:rPr>
          <w:rFonts w:ascii="Times New Roman" w:hAnsi="Times New Roman"/>
          <w:sz w:val="28"/>
          <w:szCs w:val="20"/>
        </w:rPr>
        <w:t>.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FA34AD" w:rsidRPr="0039751E" w:rsidRDefault="00FA34AD" w:rsidP="00DB1B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Определение существенности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До  перехода к трансформации, нужно определить, являются ли да</w:t>
      </w:r>
      <w:r w:rsidRPr="004A34C4">
        <w:rPr>
          <w:rFonts w:ascii="Times New Roman" w:hAnsi="Times New Roman"/>
          <w:sz w:val="28"/>
          <w:szCs w:val="20"/>
        </w:rPr>
        <w:t>н</w:t>
      </w:r>
      <w:r w:rsidRPr="004A34C4">
        <w:rPr>
          <w:rFonts w:ascii="Times New Roman" w:hAnsi="Times New Roman"/>
          <w:sz w:val="28"/>
          <w:szCs w:val="20"/>
        </w:rPr>
        <w:t>ные активы существенными для организации. Основные вопросы опред</w:t>
      </w:r>
      <w:r w:rsidRPr="004A34C4">
        <w:rPr>
          <w:rFonts w:ascii="Times New Roman" w:hAnsi="Times New Roman"/>
          <w:sz w:val="28"/>
          <w:szCs w:val="20"/>
        </w:rPr>
        <w:t>е</w:t>
      </w:r>
      <w:r w:rsidRPr="004A34C4">
        <w:rPr>
          <w:rFonts w:ascii="Times New Roman" w:hAnsi="Times New Roman"/>
          <w:sz w:val="28"/>
          <w:szCs w:val="20"/>
        </w:rPr>
        <w:t>ления существенности нематериальных активов определены в концепции FASB № 2 «Качественные характеристики учетной информации» (Concept № 2 Qualitative characteristics of accounting information) и в SAB № 99 «С</w:t>
      </w:r>
      <w:r w:rsidRPr="004A34C4">
        <w:rPr>
          <w:rFonts w:ascii="Times New Roman" w:hAnsi="Times New Roman"/>
          <w:sz w:val="28"/>
          <w:szCs w:val="20"/>
        </w:rPr>
        <w:t>у</w:t>
      </w:r>
      <w:r w:rsidRPr="004A34C4">
        <w:rPr>
          <w:rFonts w:ascii="Times New Roman" w:hAnsi="Times New Roman"/>
          <w:sz w:val="28"/>
          <w:szCs w:val="20"/>
        </w:rPr>
        <w:t xml:space="preserve">щественность» (Materiality). </w:t>
      </w:r>
      <w:r w:rsidRPr="00923051">
        <w:rPr>
          <w:rFonts w:ascii="Times New Roman" w:hAnsi="Times New Roman"/>
          <w:sz w:val="28"/>
          <w:szCs w:val="20"/>
        </w:rPr>
        <w:t>При определении существенности нематер</w:t>
      </w:r>
      <w:r w:rsidRPr="00923051">
        <w:rPr>
          <w:rFonts w:ascii="Times New Roman" w:hAnsi="Times New Roman"/>
          <w:sz w:val="28"/>
          <w:szCs w:val="20"/>
        </w:rPr>
        <w:t>и</w:t>
      </w:r>
      <w:r w:rsidRPr="00923051">
        <w:rPr>
          <w:rFonts w:ascii="Times New Roman" w:hAnsi="Times New Roman"/>
          <w:sz w:val="28"/>
          <w:szCs w:val="20"/>
        </w:rPr>
        <w:t>альных активов необходимо учитывать важность информации для польз</w:t>
      </w:r>
      <w:r w:rsidRPr="00923051">
        <w:rPr>
          <w:rFonts w:ascii="Times New Roman" w:hAnsi="Times New Roman"/>
          <w:sz w:val="28"/>
          <w:szCs w:val="20"/>
        </w:rPr>
        <w:t>о</w:t>
      </w:r>
      <w:r w:rsidRPr="00923051">
        <w:rPr>
          <w:rFonts w:ascii="Times New Roman" w:hAnsi="Times New Roman"/>
          <w:sz w:val="28"/>
          <w:szCs w:val="20"/>
        </w:rPr>
        <w:t>вателей</w:t>
      </w:r>
      <w:r w:rsidRPr="004A34C4">
        <w:rPr>
          <w:rFonts w:ascii="Times New Roman" w:hAnsi="Times New Roman"/>
          <w:sz w:val="28"/>
          <w:szCs w:val="20"/>
        </w:rPr>
        <w:t>. Если уже решено, что информация не является несущественной, то изменения по  стандарту SFAS № 142 не нужны. Данного принципа н</w:t>
      </w:r>
      <w:r w:rsidRPr="004A34C4">
        <w:rPr>
          <w:rFonts w:ascii="Times New Roman" w:hAnsi="Times New Roman"/>
          <w:sz w:val="28"/>
          <w:szCs w:val="20"/>
        </w:rPr>
        <w:t>е</w:t>
      </w:r>
      <w:r w:rsidRPr="004A34C4">
        <w:rPr>
          <w:rFonts w:ascii="Times New Roman" w:hAnsi="Times New Roman"/>
          <w:sz w:val="28"/>
          <w:szCs w:val="20"/>
        </w:rPr>
        <w:t>обходимо придерживаться если отражены операции по обесценению (в с</w:t>
      </w:r>
      <w:r w:rsidRPr="004A34C4">
        <w:rPr>
          <w:rFonts w:ascii="Times New Roman" w:hAnsi="Times New Roman"/>
          <w:sz w:val="28"/>
          <w:szCs w:val="20"/>
        </w:rPr>
        <w:t>о</w:t>
      </w:r>
      <w:r w:rsidRPr="004A34C4">
        <w:rPr>
          <w:rFonts w:ascii="Times New Roman" w:hAnsi="Times New Roman"/>
          <w:sz w:val="28"/>
          <w:szCs w:val="20"/>
        </w:rPr>
        <w:t>ответствии с SFAS № 144 «Учет обесценения или от</w:t>
      </w:r>
      <w:r>
        <w:rPr>
          <w:rFonts w:ascii="Times New Roman" w:hAnsi="Times New Roman"/>
          <w:sz w:val="28"/>
          <w:szCs w:val="20"/>
        </w:rPr>
        <w:t>чуждения долгосро</w:t>
      </w:r>
      <w:r>
        <w:rPr>
          <w:rFonts w:ascii="Times New Roman" w:hAnsi="Times New Roman"/>
          <w:sz w:val="28"/>
          <w:szCs w:val="20"/>
        </w:rPr>
        <w:t>ч</w:t>
      </w:r>
      <w:r>
        <w:rPr>
          <w:rFonts w:ascii="Times New Roman" w:hAnsi="Times New Roman"/>
          <w:sz w:val="28"/>
          <w:szCs w:val="20"/>
        </w:rPr>
        <w:t>ных акти</w:t>
      </w:r>
      <w:r w:rsidRPr="004A34C4">
        <w:rPr>
          <w:rFonts w:ascii="Times New Roman" w:hAnsi="Times New Roman"/>
          <w:sz w:val="28"/>
          <w:szCs w:val="20"/>
        </w:rPr>
        <w:t>вов»).</w:t>
      </w:r>
    </w:p>
    <w:p w:rsidR="00FA34AD" w:rsidRDefault="00FA34AD" w:rsidP="00337B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0"/>
        </w:rPr>
      </w:pPr>
    </w:p>
    <w:p w:rsidR="00FA34AD" w:rsidRPr="00337B39" w:rsidRDefault="00FA34AD" w:rsidP="00337B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0"/>
        </w:rPr>
      </w:pPr>
      <w:r w:rsidRPr="00337B39">
        <w:rPr>
          <w:rFonts w:ascii="Times New Roman" w:hAnsi="Times New Roman"/>
          <w:b/>
          <w:sz w:val="28"/>
          <w:szCs w:val="20"/>
        </w:rPr>
        <w:t>Первоначальная оценка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 xml:space="preserve">По РСБУ </w:t>
      </w:r>
      <w:r>
        <w:rPr>
          <w:rFonts w:ascii="Times New Roman" w:hAnsi="Times New Roman"/>
          <w:sz w:val="28"/>
          <w:szCs w:val="20"/>
        </w:rPr>
        <w:t>нематериальные активы</w:t>
      </w:r>
      <w:r w:rsidRPr="004A34C4">
        <w:rPr>
          <w:rFonts w:ascii="Times New Roman" w:hAnsi="Times New Roman"/>
          <w:sz w:val="28"/>
          <w:szCs w:val="20"/>
        </w:rPr>
        <w:t xml:space="preserve"> принимаются к бух</w:t>
      </w:r>
      <w:r>
        <w:rPr>
          <w:rFonts w:ascii="Times New Roman" w:hAnsi="Times New Roman"/>
          <w:sz w:val="28"/>
          <w:szCs w:val="20"/>
        </w:rPr>
        <w:t>галтерскому учету по фактической</w:t>
      </w:r>
      <w:r w:rsidRPr="004A34C4">
        <w:rPr>
          <w:rFonts w:ascii="Times New Roman" w:hAnsi="Times New Roman"/>
          <w:sz w:val="28"/>
          <w:szCs w:val="20"/>
        </w:rPr>
        <w:t xml:space="preserve"> (пер</w:t>
      </w:r>
      <w:r>
        <w:rPr>
          <w:rFonts w:ascii="Times New Roman" w:hAnsi="Times New Roman"/>
          <w:sz w:val="28"/>
          <w:szCs w:val="20"/>
        </w:rPr>
        <w:t>воначальной) стоимости, определенной</w:t>
      </w:r>
      <w:r w:rsidRPr="004A34C4">
        <w:rPr>
          <w:rFonts w:ascii="Times New Roman" w:hAnsi="Times New Roman"/>
          <w:sz w:val="28"/>
          <w:szCs w:val="20"/>
        </w:rPr>
        <w:t xml:space="preserve"> по с</w:t>
      </w:r>
      <w:r w:rsidRPr="004A34C4">
        <w:rPr>
          <w:rFonts w:ascii="Times New Roman" w:hAnsi="Times New Roman"/>
          <w:sz w:val="28"/>
          <w:szCs w:val="20"/>
        </w:rPr>
        <w:t>о</w:t>
      </w:r>
      <w:r w:rsidRPr="004A34C4">
        <w:rPr>
          <w:rFonts w:ascii="Times New Roman" w:hAnsi="Times New Roman"/>
          <w:sz w:val="28"/>
          <w:szCs w:val="20"/>
        </w:rPr>
        <w:t>стоянию на дат</w:t>
      </w:r>
      <w:r>
        <w:rPr>
          <w:rFonts w:ascii="Times New Roman" w:hAnsi="Times New Roman"/>
          <w:sz w:val="28"/>
          <w:szCs w:val="20"/>
        </w:rPr>
        <w:t>у</w:t>
      </w:r>
      <w:r w:rsidRPr="004A34C4">
        <w:rPr>
          <w:rFonts w:ascii="Times New Roman" w:hAnsi="Times New Roman"/>
          <w:sz w:val="28"/>
          <w:szCs w:val="20"/>
        </w:rPr>
        <w:t xml:space="preserve"> принятия их к бухгалтерскому учету (п</w:t>
      </w:r>
      <w:r>
        <w:rPr>
          <w:rFonts w:ascii="Times New Roman" w:hAnsi="Times New Roman"/>
          <w:sz w:val="28"/>
          <w:szCs w:val="20"/>
        </w:rPr>
        <w:t>.</w:t>
      </w:r>
      <w:r w:rsidRPr="004A34C4">
        <w:rPr>
          <w:rFonts w:ascii="Times New Roman" w:hAnsi="Times New Roman"/>
          <w:sz w:val="28"/>
          <w:szCs w:val="20"/>
        </w:rPr>
        <w:t xml:space="preserve"> 6 ПБУ 14/2007). Другими словами, фактиче</w:t>
      </w:r>
      <w:r>
        <w:rPr>
          <w:rFonts w:ascii="Times New Roman" w:hAnsi="Times New Roman"/>
          <w:sz w:val="28"/>
          <w:szCs w:val="20"/>
        </w:rPr>
        <w:t>ской</w:t>
      </w:r>
      <w:r w:rsidRPr="004A34C4">
        <w:rPr>
          <w:rFonts w:ascii="Times New Roman" w:hAnsi="Times New Roman"/>
          <w:sz w:val="28"/>
          <w:szCs w:val="20"/>
        </w:rPr>
        <w:t xml:space="preserve"> (пер</w:t>
      </w:r>
      <w:r>
        <w:rPr>
          <w:rFonts w:ascii="Times New Roman" w:hAnsi="Times New Roman"/>
          <w:sz w:val="28"/>
          <w:szCs w:val="20"/>
        </w:rPr>
        <w:t>воначальной) стоимостью</w:t>
      </w:r>
      <w:r w:rsidRPr="004A34C4">
        <w:rPr>
          <w:rFonts w:ascii="Times New Roman" w:hAnsi="Times New Roman"/>
          <w:sz w:val="28"/>
          <w:szCs w:val="20"/>
        </w:rPr>
        <w:t xml:space="preserve"> нем</w:t>
      </w:r>
      <w:r>
        <w:rPr>
          <w:rFonts w:ascii="Times New Roman" w:hAnsi="Times New Roman"/>
          <w:sz w:val="28"/>
          <w:szCs w:val="20"/>
        </w:rPr>
        <w:t>атер</w:t>
      </w:r>
      <w:r>
        <w:rPr>
          <w:rFonts w:ascii="Times New Roman" w:hAnsi="Times New Roman"/>
          <w:sz w:val="28"/>
          <w:szCs w:val="20"/>
        </w:rPr>
        <w:t>и</w:t>
      </w:r>
      <w:r>
        <w:rPr>
          <w:rFonts w:ascii="Times New Roman" w:hAnsi="Times New Roman"/>
          <w:sz w:val="28"/>
          <w:szCs w:val="20"/>
        </w:rPr>
        <w:t>альных активов признаю</w:t>
      </w:r>
      <w:r w:rsidRPr="004A34C4">
        <w:rPr>
          <w:rFonts w:ascii="Times New Roman" w:hAnsi="Times New Roman"/>
          <w:sz w:val="28"/>
          <w:szCs w:val="20"/>
        </w:rPr>
        <w:t>тся суммы, исчис</w:t>
      </w:r>
      <w:r>
        <w:rPr>
          <w:rFonts w:ascii="Times New Roman" w:hAnsi="Times New Roman"/>
          <w:sz w:val="28"/>
          <w:szCs w:val="20"/>
        </w:rPr>
        <w:t>ленные в денежном выражении</w:t>
      </w:r>
      <w:r w:rsidRPr="004A34C4">
        <w:rPr>
          <w:rFonts w:ascii="Times New Roman" w:hAnsi="Times New Roman"/>
          <w:sz w:val="28"/>
          <w:szCs w:val="20"/>
        </w:rPr>
        <w:t>, равн</w:t>
      </w:r>
      <w:r w:rsidRPr="00A057B6">
        <w:rPr>
          <w:rFonts w:ascii="Times New Roman" w:hAnsi="Times New Roman"/>
          <w:sz w:val="28"/>
          <w:szCs w:val="20"/>
        </w:rPr>
        <w:t>ы</w:t>
      </w:r>
      <w:r w:rsidRPr="004A34C4">
        <w:rPr>
          <w:rFonts w:ascii="Times New Roman" w:hAnsi="Times New Roman"/>
          <w:sz w:val="28"/>
          <w:szCs w:val="20"/>
        </w:rPr>
        <w:t xml:space="preserve"> величине оплаты в денеж</w:t>
      </w:r>
      <w:r>
        <w:rPr>
          <w:rFonts w:ascii="Times New Roman" w:hAnsi="Times New Roman"/>
          <w:sz w:val="28"/>
          <w:szCs w:val="20"/>
        </w:rPr>
        <w:t>ной</w:t>
      </w:r>
      <w:r w:rsidRPr="004A34C4">
        <w:rPr>
          <w:rFonts w:ascii="Times New Roman" w:hAnsi="Times New Roman"/>
          <w:sz w:val="28"/>
          <w:szCs w:val="20"/>
        </w:rPr>
        <w:t xml:space="preserve"> и иных формах или величине кред</w:t>
      </w:r>
      <w:r w:rsidRPr="004A34C4">
        <w:rPr>
          <w:rFonts w:ascii="Times New Roman" w:hAnsi="Times New Roman"/>
          <w:sz w:val="28"/>
          <w:szCs w:val="20"/>
        </w:rPr>
        <w:t>и</w:t>
      </w:r>
      <w:r w:rsidRPr="004A34C4">
        <w:rPr>
          <w:rFonts w:ascii="Times New Roman" w:hAnsi="Times New Roman"/>
          <w:sz w:val="28"/>
          <w:szCs w:val="20"/>
        </w:rPr>
        <w:t>торских задолженностей, уплаченных либо начисленных организациями при приобретении, создании актива и обеспечении условий для использ</w:t>
      </w:r>
      <w:r w:rsidRPr="004A34C4">
        <w:rPr>
          <w:rFonts w:ascii="Times New Roman" w:hAnsi="Times New Roman"/>
          <w:sz w:val="28"/>
          <w:szCs w:val="20"/>
        </w:rPr>
        <w:t>о</w:t>
      </w:r>
      <w:r w:rsidRPr="004A34C4">
        <w:rPr>
          <w:rFonts w:ascii="Times New Roman" w:hAnsi="Times New Roman"/>
          <w:sz w:val="28"/>
          <w:szCs w:val="20"/>
        </w:rPr>
        <w:t>вания актива в запланирован</w:t>
      </w:r>
      <w:r>
        <w:rPr>
          <w:rFonts w:ascii="Times New Roman" w:hAnsi="Times New Roman"/>
          <w:sz w:val="28"/>
          <w:szCs w:val="20"/>
        </w:rPr>
        <w:t xml:space="preserve">ной </w:t>
      </w:r>
      <w:r w:rsidRPr="0085503F">
        <w:rPr>
          <w:rFonts w:ascii="Times New Roman" w:hAnsi="Times New Roman"/>
          <w:sz w:val="28"/>
          <w:szCs w:val="20"/>
        </w:rPr>
        <w:t>деятельности. В целях учета</w:t>
      </w:r>
      <w:r w:rsidRPr="004A34C4">
        <w:rPr>
          <w:rFonts w:ascii="Times New Roman" w:hAnsi="Times New Roman"/>
          <w:sz w:val="28"/>
          <w:szCs w:val="20"/>
        </w:rPr>
        <w:t xml:space="preserve"> указанная простота удобна, но в</w:t>
      </w:r>
      <w:r>
        <w:rPr>
          <w:rFonts w:ascii="Times New Roman" w:hAnsi="Times New Roman"/>
          <w:sz w:val="28"/>
          <w:szCs w:val="20"/>
        </w:rPr>
        <w:t>последствии</w:t>
      </w:r>
      <w:r w:rsidRPr="004A34C4">
        <w:rPr>
          <w:rFonts w:ascii="Times New Roman" w:hAnsi="Times New Roman"/>
          <w:sz w:val="28"/>
          <w:szCs w:val="20"/>
        </w:rPr>
        <w:t xml:space="preserve"> пользователи отчетности могут быть введены в заблуждения</w:t>
      </w:r>
      <w:r>
        <w:rPr>
          <w:rFonts w:ascii="Times New Roman" w:hAnsi="Times New Roman"/>
          <w:sz w:val="28"/>
          <w:szCs w:val="20"/>
        </w:rPr>
        <w:t>,</w:t>
      </w:r>
      <w:r w:rsidRPr="004A34C4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т.к. стоимость нематериального актива в отчетн</w:t>
      </w:r>
      <w:r>
        <w:rPr>
          <w:rFonts w:ascii="Times New Roman" w:hAnsi="Times New Roman"/>
          <w:sz w:val="28"/>
          <w:szCs w:val="20"/>
        </w:rPr>
        <w:t>о</w:t>
      </w:r>
      <w:r>
        <w:rPr>
          <w:rFonts w:ascii="Times New Roman" w:hAnsi="Times New Roman"/>
          <w:sz w:val="28"/>
          <w:szCs w:val="20"/>
        </w:rPr>
        <w:t>сти может</w:t>
      </w:r>
      <w:r w:rsidRPr="004A34C4">
        <w:rPr>
          <w:rFonts w:ascii="Times New Roman" w:hAnsi="Times New Roman"/>
          <w:sz w:val="28"/>
          <w:szCs w:val="20"/>
        </w:rPr>
        <w:t xml:space="preserve"> значительно </w:t>
      </w:r>
      <w:r>
        <w:rPr>
          <w:rFonts w:ascii="Times New Roman" w:hAnsi="Times New Roman"/>
          <w:sz w:val="28"/>
          <w:szCs w:val="20"/>
        </w:rPr>
        <w:t>отличаться от реальности</w:t>
      </w:r>
      <w:r w:rsidRPr="00955818">
        <w:rPr>
          <w:rFonts w:ascii="Times New Roman" w:hAnsi="Times New Roman"/>
          <w:sz w:val="28"/>
          <w:szCs w:val="20"/>
        </w:rPr>
        <w:t xml:space="preserve"> [2]</w:t>
      </w:r>
      <w:r w:rsidRPr="004A34C4">
        <w:rPr>
          <w:rFonts w:ascii="Times New Roman" w:hAnsi="Times New Roman"/>
          <w:sz w:val="28"/>
          <w:szCs w:val="20"/>
        </w:rPr>
        <w:t>.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 xml:space="preserve">При невозможности установить стоимость активов, переданных или подлежащих передаче организацией по таким договорам, стоимость </w:t>
      </w:r>
      <w:r>
        <w:rPr>
          <w:rFonts w:ascii="Times New Roman" w:hAnsi="Times New Roman"/>
          <w:sz w:val="28"/>
          <w:szCs w:val="20"/>
        </w:rPr>
        <w:t>нем</w:t>
      </w:r>
      <w:r>
        <w:rPr>
          <w:rFonts w:ascii="Times New Roman" w:hAnsi="Times New Roman"/>
          <w:sz w:val="28"/>
          <w:szCs w:val="20"/>
        </w:rPr>
        <w:t>а</w:t>
      </w:r>
      <w:r>
        <w:rPr>
          <w:rFonts w:ascii="Times New Roman" w:hAnsi="Times New Roman"/>
          <w:sz w:val="28"/>
          <w:szCs w:val="20"/>
        </w:rPr>
        <w:t>териальных активов</w:t>
      </w:r>
      <w:r w:rsidRPr="004A34C4">
        <w:rPr>
          <w:rFonts w:ascii="Times New Roman" w:hAnsi="Times New Roman"/>
          <w:sz w:val="28"/>
          <w:szCs w:val="20"/>
        </w:rPr>
        <w:t>, полученных организацией, устанавливается исходя из цен, по которым в сравнимых обстоятельствах приобретаются аналоги</w:t>
      </w:r>
      <w:r w:rsidRPr="004A34C4">
        <w:rPr>
          <w:rFonts w:ascii="Times New Roman" w:hAnsi="Times New Roman"/>
          <w:sz w:val="28"/>
          <w:szCs w:val="20"/>
        </w:rPr>
        <w:t>ч</w:t>
      </w:r>
      <w:r w:rsidRPr="004A34C4">
        <w:rPr>
          <w:rFonts w:ascii="Times New Roman" w:hAnsi="Times New Roman"/>
          <w:sz w:val="28"/>
          <w:szCs w:val="20"/>
        </w:rPr>
        <w:t>ные нематериальные активы</w:t>
      </w:r>
      <w:r>
        <w:rPr>
          <w:rFonts w:ascii="Times New Roman" w:hAnsi="Times New Roman"/>
          <w:sz w:val="28"/>
          <w:szCs w:val="20"/>
        </w:rPr>
        <w:t xml:space="preserve"> [4</w:t>
      </w:r>
      <w:r w:rsidRPr="00350456">
        <w:rPr>
          <w:rFonts w:ascii="Times New Roman" w:hAnsi="Times New Roman"/>
          <w:sz w:val="28"/>
          <w:szCs w:val="20"/>
        </w:rPr>
        <w:t>]</w:t>
      </w:r>
      <w:r w:rsidRPr="004A34C4">
        <w:rPr>
          <w:rFonts w:ascii="Times New Roman" w:hAnsi="Times New Roman"/>
          <w:sz w:val="28"/>
          <w:szCs w:val="20"/>
        </w:rPr>
        <w:t>.</w:t>
      </w:r>
    </w:p>
    <w:p w:rsidR="00FA34AD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П. 9 SFAS № 142 гласит, что нематериальные активы</w:t>
      </w:r>
      <w:r w:rsidRPr="004A34C4">
        <w:rPr>
          <w:rFonts w:ascii="Times New Roman" w:hAnsi="Times New Roman"/>
          <w:sz w:val="28"/>
          <w:szCs w:val="20"/>
        </w:rPr>
        <w:t xml:space="preserve"> признаются в учете по справедливой стоимости, кроме нематериальных активов, пок</w:t>
      </w:r>
      <w:r w:rsidRPr="004A34C4">
        <w:rPr>
          <w:rFonts w:ascii="Times New Roman" w:hAnsi="Times New Roman"/>
          <w:sz w:val="28"/>
          <w:szCs w:val="20"/>
        </w:rPr>
        <w:t>у</w:t>
      </w:r>
      <w:r w:rsidRPr="004A34C4">
        <w:rPr>
          <w:rFonts w:ascii="Times New Roman" w:hAnsi="Times New Roman"/>
          <w:sz w:val="28"/>
          <w:szCs w:val="20"/>
        </w:rPr>
        <w:t>паемых при объединении бизнесов. По приложению F к SFAS № 142 спр</w:t>
      </w:r>
      <w:r w:rsidRPr="004A34C4">
        <w:rPr>
          <w:rFonts w:ascii="Times New Roman" w:hAnsi="Times New Roman"/>
          <w:sz w:val="28"/>
          <w:szCs w:val="20"/>
        </w:rPr>
        <w:t>а</w:t>
      </w:r>
      <w:r w:rsidRPr="004A34C4">
        <w:rPr>
          <w:rFonts w:ascii="Times New Roman" w:hAnsi="Times New Roman"/>
          <w:sz w:val="28"/>
          <w:szCs w:val="20"/>
        </w:rPr>
        <w:t>ведливая стоимость - это стоимость, по которой актив может выдаваться объектом купли-продажи по сделке, которая заключена на добровольных начала</w:t>
      </w:r>
      <w:r>
        <w:rPr>
          <w:rFonts w:ascii="Times New Roman" w:hAnsi="Times New Roman"/>
          <w:sz w:val="28"/>
          <w:szCs w:val="20"/>
        </w:rPr>
        <w:t>х</w:t>
      </w:r>
      <w:r w:rsidRPr="004A34C4">
        <w:rPr>
          <w:rFonts w:ascii="Times New Roman" w:hAnsi="Times New Roman"/>
          <w:sz w:val="28"/>
          <w:szCs w:val="20"/>
        </w:rPr>
        <w:t xml:space="preserve">. При определении справедливой стоимости особую важность имеют сделки купли-продажи </w:t>
      </w:r>
      <w:r>
        <w:rPr>
          <w:rFonts w:ascii="Times New Roman" w:hAnsi="Times New Roman"/>
          <w:sz w:val="28"/>
          <w:szCs w:val="20"/>
        </w:rPr>
        <w:t>нематериальных активов</w:t>
      </w:r>
      <w:r w:rsidRPr="004A34C4">
        <w:rPr>
          <w:rFonts w:ascii="Times New Roman" w:hAnsi="Times New Roman"/>
          <w:sz w:val="28"/>
          <w:szCs w:val="20"/>
        </w:rPr>
        <w:t xml:space="preserve">. Данные сделки будут отражать рыночную стоимость актива, и на их основе определяется справедливая стоимость. Если рынок активен, то справедливая и рыночная стоимости </w:t>
      </w:r>
      <w:r>
        <w:rPr>
          <w:rFonts w:ascii="Times New Roman" w:hAnsi="Times New Roman"/>
          <w:sz w:val="28"/>
          <w:szCs w:val="20"/>
        </w:rPr>
        <w:t>нематериальных активов</w:t>
      </w:r>
      <w:r w:rsidRPr="004A34C4">
        <w:rPr>
          <w:rFonts w:ascii="Times New Roman" w:hAnsi="Times New Roman"/>
          <w:sz w:val="28"/>
          <w:szCs w:val="20"/>
        </w:rPr>
        <w:t xml:space="preserve"> должны сходиться. Поэтому, сто</w:t>
      </w:r>
      <w:r w:rsidRPr="004A34C4">
        <w:rPr>
          <w:rFonts w:ascii="Times New Roman" w:hAnsi="Times New Roman"/>
          <w:sz w:val="28"/>
          <w:szCs w:val="20"/>
        </w:rPr>
        <w:t>и</w:t>
      </w:r>
      <w:r w:rsidRPr="004A34C4">
        <w:rPr>
          <w:rFonts w:ascii="Times New Roman" w:hAnsi="Times New Roman"/>
          <w:sz w:val="28"/>
          <w:szCs w:val="20"/>
        </w:rPr>
        <w:t>мость, по которой нематериальный актив первоначально отражен в бух</w:t>
      </w:r>
      <w:r>
        <w:rPr>
          <w:rFonts w:ascii="Times New Roman" w:hAnsi="Times New Roman"/>
          <w:sz w:val="28"/>
          <w:szCs w:val="20"/>
        </w:rPr>
        <w:t>га</w:t>
      </w:r>
      <w:r>
        <w:rPr>
          <w:rFonts w:ascii="Times New Roman" w:hAnsi="Times New Roman"/>
          <w:sz w:val="28"/>
          <w:szCs w:val="20"/>
        </w:rPr>
        <w:t>л</w:t>
      </w:r>
      <w:r>
        <w:rPr>
          <w:rFonts w:ascii="Times New Roman" w:hAnsi="Times New Roman"/>
          <w:sz w:val="28"/>
          <w:szCs w:val="20"/>
        </w:rPr>
        <w:t xml:space="preserve">терском </w:t>
      </w:r>
      <w:r w:rsidRPr="004A34C4">
        <w:rPr>
          <w:rFonts w:ascii="Times New Roman" w:hAnsi="Times New Roman"/>
          <w:sz w:val="28"/>
          <w:szCs w:val="20"/>
        </w:rPr>
        <w:t>учете, возможно, отличается от стоимости первоначального пр</w:t>
      </w:r>
      <w:r w:rsidRPr="004A34C4">
        <w:rPr>
          <w:rFonts w:ascii="Times New Roman" w:hAnsi="Times New Roman"/>
          <w:sz w:val="28"/>
          <w:szCs w:val="20"/>
        </w:rPr>
        <w:t>и</w:t>
      </w:r>
      <w:r w:rsidRPr="004A34C4">
        <w:rPr>
          <w:rFonts w:ascii="Times New Roman" w:hAnsi="Times New Roman"/>
          <w:sz w:val="28"/>
          <w:szCs w:val="20"/>
        </w:rPr>
        <w:t>знания актива для подготовки финансовой отчетности</w:t>
      </w:r>
      <w:r>
        <w:rPr>
          <w:rFonts w:ascii="Times New Roman" w:hAnsi="Times New Roman"/>
          <w:sz w:val="28"/>
          <w:szCs w:val="20"/>
        </w:rPr>
        <w:t xml:space="preserve"> в соответствии с  US GAAP. Следовательно,</w:t>
      </w:r>
      <w:r w:rsidRPr="004A34C4">
        <w:rPr>
          <w:rFonts w:ascii="Times New Roman" w:hAnsi="Times New Roman"/>
          <w:sz w:val="28"/>
          <w:szCs w:val="20"/>
        </w:rPr>
        <w:t xml:space="preserve"> при переходе </w:t>
      </w:r>
      <w:r>
        <w:rPr>
          <w:rFonts w:ascii="Times New Roman" w:hAnsi="Times New Roman"/>
          <w:sz w:val="28"/>
          <w:szCs w:val="20"/>
        </w:rPr>
        <w:t>нематериального актива</w:t>
      </w:r>
      <w:r w:rsidRPr="004A34C4">
        <w:rPr>
          <w:rFonts w:ascii="Times New Roman" w:hAnsi="Times New Roman"/>
          <w:sz w:val="28"/>
          <w:szCs w:val="20"/>
        </w:rPr>
        <w:t>, по РСБУ, необходимо переоценить и отразить в отчетности по US GAAP по спр</w:t>
      </w:r>
      <w:r w:rsidRPr="004A34C4">
        <w:rPr>
          <w:rFonts w:ascii="Times New Roman" w:hAnsi="Times New Roman"/>
          <w:sz w:val="28"/>
          <w:szCs w:val="20"/>
        </w:rPr>
        <w:t>а</w:t>
      </w:r>
      <w:r w:rsidRPr="004A34C4">
        <w:rPr>
          <w:rFonts w:ascii="Times New Roman" w:hAnsi="Times New Roman"/>
          <w:sz w:val="28"/>
          <w:szCs w:val="20"/>
        </w:rPr>
        <w:t>ведливой стоимости.</w:t>
      </w:r>
    </w:p>
    <w:p w:rsidR="00FA34AD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FA34AD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FA34AD" w:rsidRPr="00337B39" w:rsidRDefault="00FA34AD" w:rsidP="00DB1B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0"/>
        </w:rPr>
      </w:pPr>
      <w:r w:rsidRPr="00337B39">
        <w:rPr>
          <w:rFonts w:ascii="Times New Roman" w:hAnsi="Times New Roman"/>
          <w:b/>
          <w:sz w:val="28"/>
          <w:szCs w:val="20"/>
        </w:rPr>
        <w:t>Различия в переоценке и амортизации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 xml:space="preserve">РСБУ и US GAAP требуют по-разному учитывать нематериальные активы после их принятия на баланс. Разногласия касаются амортизации и переоценки. В соответствии с  ПБУ 14/2007 </w:t>
      </w:r>
      <w:r>
        <w:rPr>
          <w:rFonts w:ascii="Times New Roman" w:hAnsi="Times New Roman"/>
          <w:sz w:val="28"/>
          <w:szCs w:val="20"/>
        </w:rPr>
        <w:t>«Учет нематериальных акт</w:t>
      </w:r>
      <w:r>
        <w:rPr>
          <w:rFonts w:ascii="Times New Roman" w:hAnsi="Times New Roman"/>
          <w:sz w:val="28"/>
          <w:szCs w:val="20"/>
        </w:rPr>
        <w:t>и</w:t>
      </w:r>
      <w:r>
        <w:rPr>
          <w:rFonts w:ascii="Times New Roman" w:hAnsi="Times New Roman"/>
          <w:sz w:val="28"/>
          <w:szCs w:val="20"/>
        </w:rPr>
        <w:t xml:space="preserve">вов» </w:t>
      </w:r>
      <w:r w:rsidRPr="004A34C4">
        <w:rPr>
          <w:rFonts w:ascii="Times New Roman" w:hAnsi="Times New Roman"/>
          <w:sz w:val="28"/>
          <w:szCs w:val="20"/>
        </w:rPr>
        <w:t>нематериальные активы нужно амортизировать, кроме нематериал</w:t>
      </w:r>
      <w:r w:rsidRPr="004A34C4">
        <w:rPr>
          <w:rFonts w:ascii="Times New Roman" w:hAnsi="Times New Roman"/>
          <w:sz w:val="28"/>
          <w:szCs w:val="20"/>
        </w:rPr>
        <w:t>ь</w:t>
      </w:r>
      <w:r w:rsidRPr="004A34C4">
        <w:rPr>
          <w:rFonts w:ascii="Times New Roman" w:hAnsi="Times New Roman"/>
          <w:sz w:val="28"/>
          <w:szCs w:val="20"/>
        </w:rPr>
        <w:t xml:space="preserve">ных активов с неопределенным сроком полезного использования. В тоже время для гудвила исключение не делается. В соответствии с  US GAAP гудвил и </w:t>
      </w:r>
      <w:r>
        <w:rPr>
          <w:rFonts w:ascii="Times New Roman" w:hAnsi="Times New Roman"/>
          <w:sz w:val="28"/>
          <w:szCs w:val="20"/>
        </w:rPr>
        <w:t>нематериальные активы</w:t>
      </w:r>
      <w:r w:rsidRPr="004A34C4">
        <w:rPr>
          <w:rFonts w:ascii="Times New Roman" w:hAnsi="Times New Roman"/>
          <w:sz w:val="28"/>
          <w:szCs w:val="20"/>
        </w:rPr>
        <w:t xml:space="preserve"> с неопределенным сроком полезного и</w:t>
      </w:r>
      <w:r w:rsidRPr="004A34C4">
        <w:rPr>
          <w:rFonts w:ascii="Times New Roman" w:hAnsi="Times New Roman"/>
          <w:sz w:val="28"/>
          <w:szCs w:val="20"/>
        </w:rPr>
        <w:t>с</w:t>
      </w:r>
      <w:r w:rsidRPr="004A34C4">
        <w:rPr>
          <w:rFonts w:ascii="Times New Roman" w:hAnsi="Times New Roman"/>
          <w:sz w:val="28"/>
          <w:szCs w:val="20"/>
        </w:rPr>
        <w:t xml:space="preserve">пользования  амортизироваться не будут. По ПБУ 14/2007 </w:t>
      </w:r>
      <w:r>
        <w:rPr>
          <w:rFonts w:ascii="Times New Roman" w:hAnsi="Times New Roman"/>
          <w:sz w:val="28"/>
          <w:szCs w:val="20"/>
        </w:rPr>
        <w:t>переоценка стоимости</w:t>
      </w:r>
      <w:r w:rsidRPr="004A34C4">
        <w:rPr>
          <w:rFonts w:ascii="Times New Roman" w:hAnsi="Times New Roman"/>
          <w:sz w:val="28"/>
          <w:szCs w:val="20"/>
        </w:rPr>
        <w:t xml:space="preserve"> нематериальных активов, по которой они приняты к учету, не допускает</w:t>
      </w:r>
      <w:r>
        <w:rPr>
          <w:rFonts w:ascii="Times New Roman" w:hAnsi="Times New Roman"/>
          <w:sz w:val="28"/>
          <w:szCs w:val="20"/>
        </w:rPr>
        <w:t>ся</w:t>
      </w:r>
      <w:r w:rsidRPr="004A34C4">
        <w:rPr>
          <w:rFonts w:ascii="Times New Roman" w:hAnsi="Times New Roman"/>
          <w:sz w:val="28"/>
          <w:szCs w:val="20"/>
        </w:rPr>
        <w:t>. US GAAP тре</w:t>
      </w:r>
      <w:r>
        <w:rPr>
          <w:rFonts w:ascii="Times New Roman" w:hAnsi="Times New Roman"/>
          <w:sz w:val="28"/>
          <w:szCs w:val="20"/>
        </w:rPr>
        <w:t>буют, чтобы нематериальные активы</w:t>
      </w:r>
      <w:r w:rsidRPr="004A34C4">
        <w:rPr>
          <w:rFonts w:ascii="Times New Roman" w:hAnsi="Times New Roman"/>
          <w:sz w:val="28"/>
          <w:szCs w:val="20"/>
        </w:rPr>
        <w:t xml:space="preserve"> переоц</w:t>
      </w:r>
      <w:r w:rsidRPr="004A34C4">
        <w:rPr>
          <w:rFonts w:ascii="Times New Roman" w:hAnsi="Times New Roman"/>
          <w:sz w:val="28"/>
          <w:szCs w:val="20"/>
        </w:rPr>
        <w:t>е</w:t>
      </w:r>
      <w:r w:rsidRPr="004A34C4">
        <w:rPr>
          <w:rFonts w:ascii="Times New Roman" w:hAnsi="Times New Roman"/>
          <w:sz w:val="28"/>
          <w:szCs w:val="20"/>
        </w:rPr>
        <w:t>нивались до величины справедливой стоимости. Переоценка показывает нематериальные активы в балансе по стоимости, близкой к реальной</w:t>
      </w:r>
      <w:r>
        <w:rPr>
          <w:rFonts w:ascii="Times New Roman" w:hAnsi="Times New Roman"/>
          <w:sz w:val="28"/>
          <w:szCs w:val="20"/>
        </w:rPr>
        <w:t xml:space="preserve"> [1</w:t>
      </w:r>
      <w:r w:rsidRPr="00004E6E">
        <w:rPr>
          <w:rFonts w:ascii="Times New Roman" w:hAnsi="Times New Roman"/>
          <w:sz w:val="28"/>
          <w:szCs w:val="20"/>
        </w:rPr>
        <w:t>]</w:t>
      </w:r>
      <w:r w:rsidRPr="004A34C4">
        <w:rPr>
          <w:rFonts w:ascii="Times New Roman" w:hAnsi="Times New Roman"/>
          <w:sz w:val="28"/>
          <w:szCs w:val="20"/>
        </w:rPr>
        <w:t>.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 xml:space="preserve"> В соответствии с  US GAAP периодической переоценке подлежат все </w:t>
      </w:r>
      <w:r>
        <w:rPr>
          <w:rFonts w:ascii="Times New Roman" w:hAnsi="Times New Roman"/>
          <w:sz w:val="28"/>
          <w:szCs w:val="20"/>
        </w:rPr>
        <w:t>нематериальные активы</w:t>
      </w:r>
      <w:r w:rsidRPr="004A34C4">
        <w:rPr>
          <w:rFonts w:ascii="Times New Roman" w:hAnsi="Times New Roman"/>
          <w:sz w:val="28"/>
          <w:szCs w:val="20"/>
        </w:rPr>
        <w:t>. Причем вследствие данной переоценки бала</w:t>
      </w:r>
      <w:r w:rsidRPr="004A34C4">
        <w:rPr>
          <w:rFonts w:ascii="Times New Roman" w:hAnsi="Times New Roman"/>
          <w:sz w:val="28"/>
          <w:szCs w:val="20"/>
        </w:rPr>
        <w:t>н</w:t>
      </w:r>
      <w:r w:rsidRPr="004A34C4">
        <w:rPr>
          <w:rFonts w:ascii="Times New Roman" w:hAnsi="Times New Roman"/>
          <w:sz w:val="28"/>
          <w:szCs w:val="20"/>
        </w:rPr>
        <w:t>совая стоимость активов может только снижаться. Повышение не допу</w:t>
      </w:r>
      <w:r w:rsidRPr="004A34C4">
        <w:rPr>
          <w:rFonts w:ascii="Times New Roman" w:hAnsi="Times New Roman"/>
          <w:sz w:val="28"/>
          <w:szCs w:val="20"/>
        </w:rPr>
        <w:t>с</w:t>
      </w:r>
      <w:r w:rsidRPr="004A34C4">
        <w:rPr>
          <w:rFonts w:ascii="Times New Roman" w:hAnsi="Times New Roman"/>
          <w:sz w:val="28"/>
          <w:szCs w:val="20"/>
        </w:rPr>
        <w:t>тимо. Разница в стоимо</w:t>
      </w:r>
      <w:r>
        <w:rPr>
          <w:rFonts w:ascii="Times New Roman" w:hAnsi="Times New Roman"/>
          <w:sz w:val="28"/>
          <w:szCs w:val="20"/>
        </w:rPr>
        <w:t>сти нематериальных активов</w:t>
      </w:r>
      <w:r w:rsidRPr="004A34C4">
        <w:rPr>
          <w:rFonts w:ascii="Times New Roman" w:hAnsi="Times New Roman"/>
          <w:sz w:val="28"/>
          <w:szCs w:val="20"/>
        </w:rPr>
        <w:t xml:space="preserve"> до переоценки и после будет определена путем сравнения балансовой стоимости актива и спр</w:t>
      </w:r>
      <w:r w:rsidRPr="004A34C4">
        <w:rPr>
          <w:rFonts w:ascii="Times New Roman" w:hAnsi="Times New Roman"/>
          <w:sz w:val="28"/>
          <w:szCs w:val="20"/>
        </w:rPr>
        <w:t>а</w:t>
      </w:r>
      <w:r w:rsidRPr="004A34C4">
        <w:rPr>
          <w:rFonts w:ascii="Times New Roman" w:hAnsi="Times New Roman"/>
          <w:sz w:val="28"/>
          <w:szCs w:val="20"/>
        </w:rPr>
        <w:t xml:space="preserve">ведливой стоимости. В целях переоценки </w:t>
      </w:r>
      <w:r>
        <w:rPr>
          <w:rFonts w:ascii="Times New Roman" w:hAnsi="Times New Roman"/>
          <w:sz w:val="28"/>
          <w:szCs w:val="20"/>
        </w:rPr>
        <w:t>нематериальных активов</w:t>
      </w:r>
      <w:r w:rsidRPr="004A34C4">
        <w:rPr>
          <w:rFonts w:ascii="Times New Roman" w:hAnsi="Times New Roman"/>
          <w:sz w:val="28"/>
          <w:szCs w:val="20"/>
        </w:rPr>
        <w:t xml:space="preserve"> можно разделить на группы: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- активы, которые подлежат амортизации;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- активы, которые не подлежат амортизации;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- гудвил.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При возникновении обстоятельства, которое указывает на обесцен</w:t>
      </w:r>
      <w:r w:rsidRPr="004A34C4">
        <w:rPr>
          <w:rFonts w:ascii="Times New Roman" w:hAnsi="Times New Roman"/>
          <w:sz w:val="28"/>
          <w:szCs w:val="20"/>
        </w:rPr>
        <w:t>е</w:t>
      </w:r>
      <w:r w:rsidRPr="004A34C4">
        <w:rPr>
          <w:rFonts w:ascii="Times New Roman" w:hAnsi="Times New Roman"/>
          <w:sz w:val="28"/>
          <w:szCs w:val="20"/>
        </w:rPr>
        <w:t xml:space="preserve">ние, и если актив невозможно возместить в будущем, то данные </w:t>
      </w:r>
      <w:r>
        <w:rPr>
          <w:rFonts w:ascii="Times New Roman" w:hAnsi="Times New Roman"/>
          <w:sz w:val="28"/>
          <w:szCs w:val="20"/>
        </w:rPr>
        <w:t>нематер</w:t>
      </w:r>
      <w:r>
        <w:rPr>
          <w:rFonts w:ascii="Times New Roman" w:hAnsi="Times New Roman"/>
          <w:sz w:val="28"/>
          <w:szCs w:val="20"/>
        </w:rPr>
        <w:t>и</w:t>
      </w:r>
      <w:r>
        <w:rPr>
          <w:rFonts w:ascii="Times New Roman" w:hAnsi="Times New Roman"/>
          <w:sz w:val="28"/>
          <w:szCs w:val="20"/>
        </w:rPr>
        <w:t>альных активов</w:t>
      </w:r>
      <w:r w:rsidRPr="004A34C4">
        <w:rPr>
          <w:rFonts w:ascii="Times New Roman" w:hAnsi="Times New Roman"/>
          <w:sz w:val="28"/>
          <w:szCs w:val="20"/>
        </w:rPr>
        <w:t xml:space="preserve">, подлежащие амортизации, будут переоценены. </w:t>
      </w:r>
    </w:p>
    <w:p w:rsidR="00FA34AD" w:rsidRPr="004A34C4" w:rsidRDefault="00FA34AD" w:rsidP="004A34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>В резул</w:t>
      </w:r>
      <w:r>
        <w:rPr>
          <w:rFonts w:ascii="Times New Roman" w:hAnsi="Times New Roman"/>
          <w:sz w:val="28"/>
          <w:szCs w:val="20"/>
        </w:rPr>
        <w:t>ьтате переоценки стоимости нематериальный актив может, возникнуть</w:t>
      </w:r>
      <w:r w:rsidRPr="004A34C4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необходимость</w:t>
      </w:r>
      <w:r w:rsidRPr="004A34C4">
        <w:rPr>
          <w:rFonts w:ascii="Times New Roman" w:hAnsi="Times New Roman"/>
          <w:sz w:val="28"/>
          <w:szCs w:val="20"/>
        </w:rPr>
        <w:t xml:space="preserve"> в пересмотре методов и норм периода аморт</w:t>
      </w:r>
      <w:r w:rsidRPr="004A34C4">
        <w:rPr>
          <w:rFonts w:ascii="Times New Roman" w:hAnsi="Times New Roman"/>
          <w:sz w:val="28"/>
          <w:szCs w:val="20"/>
        </w:rPr>
        <w:t>и</w:t>
      </w:r>
      <w:r w:rsidRPr="004A34C4">
        <w:rPr>
          <w:rFonts w:ascii="Times New Roman" w:hAnsi="Times New Roman"/>
          <w:sz w:val="28"/>
          <w:szCs w:val="20"/>
        </w:rPr>
        <w:t xml:space="preserve">зации </w:t>
      </w:r>
      <w:r>
        <w:rPr>
          <w:rFonts w:ascii="Times New Roman" w:hAnsi="Times New Roman"/>
          <w:sz w:val="28"/>
          <w:szCs w:val="20"/>
        </w:rPr>
        <w:t>нематериальных активов</w:t>
      </w:r>
      <w:r w:rsidRPr="004A34C4">
        <w:rPr>
          <w:rFonts w:ascii="Times New Roman" w:hAnsi="Times New Roman"/>
          <w:sz w:val="28"/>
          <w:szCs w:val="20"/>
        </w:rPr>
        <w:t>. Если балансо</w:t>
      </w:r>
      <w:r>
        <w:rPr>
          <w:rFonts w:ascii="Times New Roman" w:hAnsi="Times New Roman"/>
          <w:sz w:val="28"/>
          <w:szCs w:val="20"/>
        </w:rPr>
        <w:t>вая</w:t>
      </w:r>
      <w:r w:rsidRPr="004A34C4">
        <w:rPr>
          <w:rFonts w:ascii="Times New Roman" w:hAnsi="Times New Roman"/>
          <w:sz w:val="28"/>
          <w:szCs w:val="20"/>
        </w:rPr>
        <w:t xml:space="preserve"> стоимо</w:t>
      </w:r>
      <w:r>
        <w:rPr>
          <w:rFonts w:ascii="Times New Roman" w:hAnsi="Times New Roman"/>
          <w:sz w:val="28"/>
          <w:szCs w:val="20"/>
        </w:rPr>
        <w:t>сть</w:t>
      </w:r>
      <w:r w:rsidRPr="004A34C4">
        <w:rPr>
          <w:rFonts w:ascii="Times New Roman" w:hAnsi="Times New Roman"/>
          <w:sz w:val="28"/>
          <w:szCs w:val="20"/>
        </w:rPr>
        <w:t xml:space="preserve"> амор</w:t>
      </w:r>
      <w:r>
        <w:rPr>
          <w:rFonts w:ascii="Times New Roman" w:hAnsi="Times New Roman"/>
          <w:sz w:val="28"/>
          <w:szCs w:val="20"/>
        </w:rPr>
        <w:t>тизиру</w:t>
      </w:r>
      <w:r>
        <w:rPr>
          <w:rFonts w:ascii="Times New Roman" w:hAnsi="Times New Roman"/>
          <w:sz w:val="28"/>
          <w:szCs w:val="20"/>
        </w:rPr>
        <w:t>е</w:t>
      </w:r>
      <w:r>
        <w:rPr>
          <w:rFonts w:ascii="Times New Roman" w:hAnsi="Times New Roman"/>
          <w:sz w:val="28"/>
          <w:szCs w:val="20"/>
        </w:rPr>
        <w:t>мых нематериальных активов больше справедливой стоимости</w:t>
      </w:r>
      <w:r w:rsidRPr="004A34C4">
        <w:rPr>
          <w:rFonts w:ascii="Times New Roman" w:hAnsi="Times New Roman"/>
          <w:sz w:val="28"/>
          <w:szCs w:val="20"/>
        </w:rPr>
        <w:t xml:space="preserve"> и при этом признается не</w:t>
      </w:r>
      <w:r>
        <w:rPr>
          <w:rFonts w:ascii="Times New Roman" w:hAnsi="Times New Roman"/>
          <w:sz w:val="28"/>
          <w:szCs w:val="20"/>
        </w:rPr>
        <w:t>возместимой, тогда организация вынуждена</w:t>
      </w:r>
      <w:r w:rsidRPr="004A34C4">
        <w:rPr>
          <w:rFonts w:ascii="Times New Roman" w:hAnsi="Times New Roman"/>
          <w:sz w:val="28"/>
          <w:szCs w:val="20"/>
        </w:rPr>
        <w:t xml:space="preserve"> сократить б</w:t>
      </w:r>
      <w:r w:rsidRPr="004A34C4">
        <w:rPr>
          <w:rFonts w:ascii="Times New Roman" w:hAnsi="Times New Roman"/>
          <w:sz w:val="28"/>
          <w:szCs w:val="20"/>
        </w:rPr>
        <w:t>а</w:t>
      </w:r>
      <w:r w:rsidRPr="004A34C4">
        <w:rPr>
          <w:rFonts w:ascii="Times New Roman" w:hAnsi="Times New Roman"/>
          <w:sz w:val="28"/>
          <w:szCs w:val="20"/>
        </w:rPr>
        <w:t>лан</w:t>
      </w:r>
      <w:r>
        <w:rPr>
          <w:rFonts w:ascii="Times New Roman" w:hAnsi="Times New Roman"/>
          <w:sz w:val="28"/>
          <w:szCs w:val="20"/>
        </w:rPr>
        <w:t>совую</w:t>
      </w:r>
      <w:r w:rsidRPr="004A34C4">
        <w:rPr>
          <w:rFonts w:ascii="Times New Roman" w:hAnsi="Times New Roman"/>
          <w:sz w:val="28"/>
          <w:szCs w:val="20"/>
        </w:rPr>
        <w:t xml:space="preserve"> стоимост</w:t>
      </w:r>
      <w:r>
        <w:rPr>
          <w:rFonts w:ascii="Times New Roman" w:hAnsi="Times New Roman"/>
          <w:sz w:val="28"/>
          <w:szCs w:val="20"/>
        </w:rPr>
        <w:t>ь активов до величины справедливой</w:t>
      </w:r>
      <w:r w:rsidRPr="004A34C4">
        <w:rPr>
          <w:rFonts w:ascii="Times New Roman" w:hAnsi="Times New Roman"/>
          <w:sz w:val="28"/>
          <w:szCs w:val="20"/>
        </w:rPr>
        <w:t xml:space="preserve"> стоимост</w:t>
      </w:r>
      <w:r>
        <w:rPr>
          <w:rFonts w:ascii="Times New Roman" w:hAnsi="Times New Roman"/>
          <w:sz w:val="28"/>
          <w:szCs w:val="20"/>
        </w:rPr>
        <w:t>и</w:t>
      </w:r>
      <w:r w:rsidRPr="004A34C4">
        <w:rPr>
          <w:rFonts w:ascii="Times New Roman" w:hAnsi="Times New Roman"/>
          <w:sz w:val="28"/>
          <w:szCs w:val="20"/>
        </w:rPr>
        <w:t>. При этом разни</w:t>
      </w:r>
      <w:r>
        <w:rPr>
          <w:rFonts w:ascii="Times New Roman" w:hAnsi="Times New Roman"/>
          <w:sz w:val="28"/>
          <w:szCs w:val="20"/>
        </w:rPr>
        <w:t>ца</w:t>
      </w:r>
      <w:r w:rsidRPr="004A34C4">
        <w:rPr>
          <w:rFonts w:ascii="Times New Roman" w:hAnsi="Times New Roman"/>
          <w:sz w:val="28"/>
          <w:szCs w:val="20"/>
        </w:rPr>
        <w:t xml:space="preserve"> меж</w:t>
      </w:r>
      <w:r>
        <w:rPr>
          <w:rFonts w:ascii="Times New Roman" w:hAnsi="Times New Roman"/>
          <w:sz w:val="28"/>
          <w:szCs w:val="20"/>
        </w:rPr>
        <w:t>ду балансовой и справедливой стоимостью</w:t>
      </w:r>
      <w:r w:rsidRPr="004A34C4">
        <w:rPr>
          <w:rFonts w:ascii="Times New Roman" w:hAnsi="Times New Roman"/>
          <w:sz w:val="28"/>
          <w:szCs w:val="20"/>
        </w:rPr>
        <w:t xml:space="preserve"> активов бу</w:t>
      </w:r>
      <w:r>
        <w:rPr>
          <w:rFonts w:ascii="Times New Roman" w:hAnsi="Times New Roman"/>
          <w:sz w:val="28"/>
          <w:szCs w:val="20"/>
        </w:rPr>
        <w:t>де</w:t>
      </w:r>
      <w:r w:rsidRPr="004A34C4">
        <w:rPr>
          <w:rFonts w:ascii="Times New Roman" w:hAnsi="Times New Roman"/>
          <w:sz w:val="28"/>
          <w:szCs w:val="20"/>
        </w:rPr>
        <w:t>т отнесе</w:t>
      </w:r>
      <w:r>
        <w:rPr>
          <w:rFonts w:ascii="Times New Roman" w:hAnsi="Times New Roman"/>
          <w:sz w:val="28"/>
          <w:szCs w:val="20"/>
        </w:rPr>
        <w:t>на</w:t>
      </w:r>
      <w:r w:rsidRPr="004A34C4">
        <w:rPr>
          <w:rFonts w:ascii="Times New Roman" w:hAnsi="Times New Roman"/>
          <w:sz w:val="28"/>
          <w:szCs w:val="20"/>
        </w:rPr>
        <w:t xml:space="preserve"> на потер</w:t>
      </w:r>
      <w:r>
        <w:rPr>
          <w:rFonts w:ascii="Times New Roman" w:hAnsi="Times New Roman"/>
          <w:sz w:val="28"/>
          <w:szCs w:val="20"/>
        </w:rPr>
        <w:t>и от обесценения. Если балансовая стоимость</w:t>
      </w:r>
      <w:r w:rsidRPr="004A34C4">
        <w:rPr>
          <w:rFonts w:ascii="Times New Roman" w:hAnsi="Times New Roman"/>
          <w:sz w:val="28"/>
          <w:szCs w:val="20"/>
        </w:rPr>
        <w:t xml:space="preserve"> призна</w:t>
      </w:r>
      <w:r>
        <w:rPr>
          <w:rFonts w:ascii="Times New Roman" w:hAnsi="Times New Roman"/>
          <w:sz w:val="28"/>
          <w:szCs w:val="20"/>
        </w:rPr>
        <w:t>е</w:t>
      </w:r>
      <w:r w:rsidRPr="004A34C4">
        <w:rPr>
          <w:rFonts w:ascii="Times New Roman" w:hAnsi="Times New Roman"/>
          <w:sz w:val="28"/>
          <w:szCs w:val="20"/>
        </w:rPr>
        <w:t>т</w:t>
      </w:r>
      <w:r>
        <w:rPr>
          <w:rFonts w:ascii="Times New Roman" w:hAnsi="Times New Roman"/>
          <w:sz w:val="28"/>
          <w:szCs w:val="20"/>
        </w:rPr>
        <w:t>ся воз</w:t>
      </w:r>
      <w:r w:rsidRPr="004A34C4">
        <w:rPr>
          <w:rFonts w:ascii="Times New Roman" w:hAnsi="Times New Roman"/>
          <w:sz w:val="28"/>
          <w:szCs w:val="20"/>
        </w:rPr>
        <w:t>местим</w:t>
      </w:r>
      <w:r>
        <w:rPr>
          <w:rFonts w:ascii="Times New Roman" w:hAnsi="Times New Roman"/>
          <w:sz w:val="28"/>
          <w:szCs w:val="20"/>
        </w:rPr>
        <w:t>ой</w:t>
      </w:r>
      <w:r w:rsidRPr="004A34C4">
        <w:rPr>
          <w:rFonts w:ascii="Times New Roman" w:hAnsi="Times New Roman"/>
          <w:sz w:val="28"/>
          <w:szCs w:val="20"/>
        </w:rPr>
        <w:t>, то потери о</w:t>
      </w:r>
      <w:r>
        <w:rPr>
          <w:rFonts w:ascii="Times New Roman" w:hAnsi="Times New Roman"/>
          <w:sz w:val="28"/>
          <w:szCs w:val="20"/>
        </w:rPr>
        <w:t>т обесценения в учете не отражаю</w:t>
      </w:r>
      <w:r w:rsidRPr="004A34C4">
        <w:rPr>
          <w:rFonts w:ascii="Times New Roman" w:hAnsi="Times New Roman"/>
          <w:sz w:val="28"/>
          <w:szCs w:val="20"/>
        </w:rPr>
        <w:t>тся.</w:t>
      </w:r>
    </w:p>
    <w:p w:rsidR="00FA34AD" w:rsidRDefault="00FA34AD" w:rsidP="003D2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A34C4">
        <w:rPr>
          <w:rFonts w:ascii="Times New Roman" w:hAnsi="Times New Roman"/>
          <w:sz w:val="28"/>
          <w:szCs w:val="20"/>
        </w:rPr>
        <w:t xml:space="preserve">US GAAP </w:t>
      </w:r>
      <w:r>
        <w:rPr>
          <w:rFonts w:ascii="Times New Roman" w:hAnsi="Times New Roman"/>
          <w:sz w:val="28"/>
          <w:szCs w:val="20"/>
        </w:rPr>
        <w:t>не предусматривает</w:t>
      </w:r>
      <w:r w:rsidRPr="004A34C4">
        <w:rPr>
          <w:rFonts w:ascii="Times New Roman" w:hAnsi="Times New Roman"/>
          <w:sz w:val="28"/>
          <w:szCs w:val="20"/>
        </w:rPr>
        <w:t xml:space="preserve"> восстановление сумм, ранее списа</w:t>
      </w:r>
      <w:r w:rsidRPr="004A34C4">
        <w:rPr>
          <w:rFonts w:ascii="Times New Roman" w:hAnsi="Times New Roman"/>
          <w:sz w:val="28"/>
          <w:szCs w:val="20"/>
        </w:rPr>
        <w:t>н</w:t>
      </w:r>
      <w:r w:rsidRPr="004A34C4">
        <w:rPr>
          <w:rFonts w:ascii="Times New Roman" w:hAnsi="Times New Roman"/>
          <w:sz w:val="28"/>
          <w:szCs w:val="20"/>
        </w:rPr>
        <w:t>ных на убытки от обесценения, если справедливая стоимость нематериал</w:t>
      </w:r>
      <w:r w:rsidRPr="004A34C4">
        <w:rPr>
          <w:rFonts w:ascii="Times New Roman" w:hAnsi="Times New Roman"/>
          <w:sz w:val="28"/>
          <w:szCs w:val="20"/>
        </w:rPr>
        <w:t>ь</w:t>
      </w:r>
      <w:r w:rsidRPr="004A34C4">
        <w:rPr>
          <w:rFonts w:ascii="Times New Roman" w:hAnsi="Times New Roman"/>
          <w:sz w:val="28"/>
          <w:szCs w:val="20"/>
        </w:rPr>
        <w:t xml:space="preserve">ных активов вновь возрастет. Если </w:t>
      </w:r>
      <w:r>
        <w:rPr>
          <w:rFonts w:ascii="Times New Roman" w:hAnsi="Times New Roman"/>
          <w:sz w:val="28"/>
          <w:szCs w:val="20"/>
        </w:rPr>
        <w:t>нематериальный актив</w:t>
      </w:r>
      <w:r w:rsidRPr="004A34C4">
        <w:rPr>
          <w:rFonts w:ascii="Times New Roman" w:hAnsi="Times New Roman"/>
          <w:sz w:val="28"/>
          <w:szCs w:val="20"/>
        </w:rPr>
        <w:t xml:space="preserve"> не амортизир</w:t>
      </w:r>
      <w:r w:rsidRPr="004A34C4">
        <w:rPr>
          <w:rFonts w:ascii="Times New Roman" w:hAnsi="Times New Roman"/>
          <w:sz w:val="28"/>
          <w:szCs w:val="20"/>
        </w:rPr>
        <w:t>у</w:t>
      </w:r>
      <w:r w:rsidRPr="004A34C4">
        <w:rPr>
          <w:rFonts w:ascii="Times New Roman" w:hAnsi="Times New Roman"/>
          <w:sz w:val="28"/>
          <w:szCs w:val="20"/>
        </w:rPr>
        <w:t>ется, его переоценивают не чаще одного раза в год, а также в случае поя</w:t>
      </w:r>
      <w:r w:rsidRPr="004A34C4">
        <w:rPr>
          <w:rFonts w:ascii="Times New Roman" w:hAnsi="Times New Roman"/>
          <w:sz w:val="28"/>
          <w:szCs w:val="20"/>
        </w:rPr>
        <w:t>в</w:t>
      </w:r>
      <w:r w:rsidRPr="004A34C4">
        <w:rPr>
          <w:rFonts w:ascii="Times New Roman" w:hAnsi="Times New Roman"/>
          <w:sz w:val="28"/>
          <w:szCs w:val="20"/>
        </w:rPr>
        <w:t>ления факторов, свидетельствую</w:t>
      </w:r>
      <w:r>
        <w:rPr>
          <w:rFonts w:ascii="Times New Roman" w:hAnsi="Times New Roman"/>
          <w:sz w:val="28"/>
          <w:szCs w:val="20"/>
        </w:rPr>
        <w:t>щих о воз</w:t>
      </w:r>
      <w:r w:rsidRPr="004A34C4">
        <w:rPr>
          <w:rFonts w:ascii="Times New Roman" w:hAnsi="Times New Roman"/>
          <w:sz w:val="28"/>
          <w:szCs w:val="20"/>
        </w:rPr>
        <w:t>можном обесценении актива. Переоценивая неамортизируемые нематериальные активы, сопоставляют их балансовую и справедливую стоимости. Поэтому исследования на во</w:t>
      </w:r>
      <w:r w:rsidRPr="004A34C4">
        <w:rPr>
          <w:rFonts w:ascii="Times New Roman" w:hAnsi="Times New Roman"/>
          <w:sz w:val="28"/>
          <w:szCs w:val="20"/>
        </w:rPr>
        <w:t>з</w:t>
      </w:r>
      <w:r w:rsidRPr="004A34C4">
        <w:rPr>
          <w:rFonts w:ascii="Times New Roman" w:hAnsi="Times New Roman"/>
          <w:sz w:val="28"/>
          <w:szCs w:val="20"/>
        </w:rPr>
        <w:t>местимость стоимости не производятся. Если балансовая стоимость бол</w:t>
      </w:r>
      <w:r w:rsidRPr="004A34C4">
        <w:rPr>
          <w:rFonts w:ascii="Times New Roman" w:hAnsi="Times New Roman"/>
          <w:sz w:val="28"/>
          <w:szCs w:val="20"/>
        </w:rPr>
        <w:t>ь</w:t>
      </w:r>
      <w:r w:rsidRPr="004A34C4">
        <w:rPr>
          <w:rFonts w:ascii="Times New Roman" w:hAnsi="Times New Roman"/>
          <w:sz w:val="28"/>
          <w:szCs w:val="20"/>
        </w:rPr>
        <w:t>ше справедливой, то разница будет списана на убытки от обесценения. Восстановление сумм, ранее списанных на убытки, не допускается, даже если справедливая стоимость актива вырастает.</w:t>
      </w:r>
    </w:p>
    <w:p w:rsidR="00FA34AD" w:rsidRPr="004A34C4" w:rsidRDefault="00FA34AD" w:rsidP="003D26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0"/>
        </w:rPr>
      </w:pPr>
    </w:p>
    <w:p w:rsidR="00FA34AD" w:rsidRDefault="00FA34AD" w:rsidP="003D2682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733B40">
        <w:rPr>
          <w:rFonts w:ascii="Times New Roman" w:hAnsi="Times New Roman"/>
          <w:b/>
          <w:sz w:val="28"/>
        </w:rPr>
        <w:t>Выводы и предложения</w:t>
      </w:r>
    </w:p>
    <w:p w:rsidR="00FA34AD" w:rsidRDefault="00FA34AD" w:rsidP="00EF182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настоящее время, российские стандарты бухгалтерского учета н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ждается в сближении с международными стандартами, так как в этом множество положительных моментов. </w:t>
      </w:r>
    </w:p>
    <w:p w:rsidR="00FA34AD" w:rsidRDefault="00FA34AD" w:rsidP="00EF182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Сближение будет способствовать:</w:t>
      </w:r>
    </w:p>
    <w:p w:rsidR="00FA34AD" w:rsidRDefault="00FA34AD" w:rsidP="00EF182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развитию международных отношений;</w:t>
      </w:r>
    </w:p>
    <w:p w:rsidR="00FA34AD" w:rsidRDefault="00FA34AD" w:rsidP="00EF182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российским организациям будет легче сотрудничать с зарубежн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ми организациями (привлечение иностранного капитала, инвестиций,   кредитов);</w:t>
      </w:r>
    </w:p>
    <w:p w:rsidR="00FA34AD" w:rsidRPr="00EF182F" w:rsidRDefault="00FA34AD" w:rsidP="00EF182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в) это упростит процесс трансформации российской отчетности в формат </w:t>
      </w:r>
      <w:r>
        <w:rPr>
          <w:rFonts w:ascii="Times New Roman" w:hAnsi="Times New Roman"/>
          <w:sz w:val="28"/>
          <w:lang w:val="en-US"/>
        </w:rPr>
        <w:t>GAAP</w:t>
      </w:r>
      <w:r>
        <w:rPr>
          <w:rFonts w:ascii="Times New Roman" w:hAnsi="Times New Roman"/>
          <w:sz w:val="28"/>
        </w:rPr>
        <w:t>.</w:t>
      </w:r>
    </w:p>
    <w:p w:rsidR="00FA34AD" w:rsidRDefault="00FA34AD" w:rsidP="00EF182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такого перехода необходимо пересмотреть законодательную   базу в сфере бухгалтерского учета и отчетности. </w:t>
      </w:r>
      <w:r w:rsidRPr="00EF182F">
        <w:rPr>
          <w:rFonts w:ascii="Times New Roman" w:hAnsi="Times New Roman"/>
          <w:sz w:val="28"/>
        </w:rPr>
        <w:t>Такие изменения в свою очередь повлекут необходимость переквалификации кадров, занимающи</w:t>
      </w:r>
      <w:r w:rsidRPr="00EF182F">
        <w:rPr>
          <w:rFonts w:ascii="Times New Roman" w:hAnsi="Times New Roman"/>
          <w:sz w:val="28"/>
        </w:rPr>
        <w:t>х</w:t>
      </w:r>
      <w:r w:rsidRPr="00EF182F">
        <w:rPr>
          <w:rFonts w:ascii="Times New Roman" w:hAnsi="Times New Roman"/>
          <w:sz w:val="28"/>
        </w:rPr>
        <w:t>ся</w:t>
      </w:r>
      <w:r>
        <w:rPr>
          <w:rFonts w:ascii="Times New Roman" w:hAnsi="Times New Roman"/>
          <w:sz w:val="28"/>
        </w:rPr>
        <w:t xml:space="preserve"> ведением бухгалтерского учета</w:t>
      </w:r>
      <w:r w:rsidRPr="00EF182F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Организациям, работающим с зарубе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ными стандартами бухгалтерского учета гораздо дешевле будут обходит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ся российские сотрудники, владеющие необходимыми знаниями, чем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влеченные зарубежные специалисты.</w:t>
      </w:r>
    </w:p>
    <w:p w:rsidR="00FA34AD" w:rsidRPr="00EF182F" w:rsidRDefault="00FA34AD" w:rsidP="003D2682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FA34AD" w:rsidRDefault="00FA34AD" w:rsidP="00BE2A95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9C70CF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FA34AD" w:rsidRPr="009C70CF" w:rsidRDefault="00FA34AD" w:rsidP="00BE2A95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FA34AD" w:rsidRPr="009C70CF" w:rsidRDefault="00FA34AD" w:rsidP="00BE2A9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9" w:name="OLE_LINK68"/>
      <w:bookmarkStart w:id="10" w:name="OLE_LINK69"/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1. Башкатов, В.В. Составление отчета о прибылях и убытках в соответствии с РСБУ и МСФО / В.В. Башкатов, О.С. Сковородкина // Актуальные вопросы бухгалте</w:t>
      </w:r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р</w:t>
      </w:r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ской (финансовой) отчетности в условиях реформирования бухгалтерского учета и о</w:t>
      </w:r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четности: Материалы II-й международной студенческой научной конференции. – Кра</w:t>
      </w:r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нодар: КубГАУ, 2012. – с. 273 – 279.</w:t>
      </w:r>
    </w:p>
    <w:p w:rsidR="00FA34AD" w:rsidRPr="009C70CF" w:rsidRDefault="00FA34AD" w:rsidP="00BE2A9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2. Бухгалтерская (финансовая) отчетность: учеб. пособие / под ред. проф. Ю. И. Сигидова и п</w:t>
      </w:r>
      <w:bookmarkStart w:id="11" w:name="_GoBack"/>
      <w:bookmarkEnd w:id="11"/>
      <w:r w:rsidRPr="009C70CF">
        <w:rPr>
          <w:rFonts w:ascii="Times New Roman" w:hAnsi="Times New Roman"/>
          <w:color w:val="000000"/>
          <w:sz w:val="24"/>
          <w:szCs w:val="24"/>
          <w:lang w:eastAsia="ru-RU"/>
        </w:rPr>
        <w:t>роф. А. И. Трубилина. – М.: ИНФРА-М,                2012. – 366 с.</w:t>
      </w:r>
    </w:p>
    <w:p w:rsidR="00FA34AD" w:rsidRPr="009C70CF" w:rsidRDefault="00FA34AD" w:rsidP="00BE2A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0CF">
        <w:rPr>
          <w:rFonts w:ascii="Times New Roman" w:hAnsi="Times New Roman"/>
          <w:sz w:val="24"/>
          <w:szCs w:val="24"/>
        </w:rPr>
        <w:t xml:space="preserve">3. Элитариум: Центр дистанционного образования  </w:t>
      </w:r>
      <w:hyperlink r:id="rId8" w:history="1">
        <w:r w:rsidRPr="009C70C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Трансформация российской отчетности в соответствии с GAAP</w:t>
        </w:r>
      </w:hyperlink>
      <w:r w:rsidRPr="009C70CF">
        <w:rPr>
          <w:rFonts w:ascii="Times New Roman" w:hAnsi="Times New Roman"/>
          <w:sz w:val="24"/>
          <w:szCs w:val="24"/>
        </w:rPr>
        <w:t xml:space="preserve"> – Режим доступа: http://www.elitarium.ru/2009/06/10/print:page,1,transformacija_otchetnosti_ga</w:t>
      </w:r>
      <w:r w:rsidRPr="009C70CF">
        <w:rPr>
          <w:rFonts w:ascii="Times New Roman" w:hAnsi="Times New Roman"/>
          <w:sz w:val="24"/>
          <w:szCs w:val="24"/>
          <w:lang w:val="en-US"/>
        </w:rPr>
        <w:t>a</w:t>
      </w:r>
      <w:r w:rsidRPr="009C70CF">
        <w:rPr>
          <w:rFonts w:ascii="Times New Roman" w:hAnsi="Times New Roman"/>
          <w:sz w:val="24"/>
          <w:szCs w:val="24"/>
        </w:rPr>
        <w:t>p.html</w:t>
      </w:r>
    </w:p>
    <w:p w:rsidR="00FA34AD" w:rsidRPr="009C70CF" w:rsidRDefault="00FA34AD" w:rsidP="00BE2A95">
      <w:pPr>
        <w:spacing w:after="0" w:line="240" w:lineRule="auto"/>
        <w:ind w:firstLine="709"/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r w:rsidRPr="009C70CF">
        <w:rPr>
          <w:rFonts w:ascii="Times New Roman" w:hAnsi="Times New Roman"/>
          <w:sz w:val="24"/>
          <w:szCs w:val="24"/>
        </w:rPr>
        <w:t xml:space="preserve">4. </w:t>
      </w:r>
      <w:hyperlink r:id="rId9" w:history="1">
        <w:r w:rsidRPr="009C70C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Сравнительный учет: US GAAP &amp; Российский учет</w:t>
        </w:r>
      </w:hyperlink>
      <w:r w:rsidRPr="009C70CF">
        <w:rPr>
          <w:rFonts w:ascii="Times New Roman" w:hAnsi="Times New Roman"/>
          <w:sz w:val="24"/>
          <w:szCs w:val="24"/>
        </w:rPr>
        <w:t xml:space="preserve">. - Режим доступа: </w:t>
      </w:r>
      <w:hyperlink r:id="rId10" w:tgtFrame="_self" w:tooltip="Кликните левой кнопкой мыши, чтобы отобразить найденные совпадения на вкладке &quot;Страница&quot; (при удерживании Alt страница будет открыта на новой вкладке, а при удерживании Ctrl - в браузере по умолчанию)" w:history="1">
        <w:r w:rsidRPr="009C70CF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http://gaap.ru/articles/49415/</w:t>
        </w:r>
      </w:hyperlink>
    </w:p>
    <w:bookmarkEnd w:id="9"/>
    <w:bookmarkEnd w:id="10"/>
    <w:p w:rsidR="00FA34AD" w:rsidRPr="009C70CF" w:rsidRDefault="00FA34AD" w:rsidP="00BE2A95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FA34AD" w:rsidRDefault="00FA34AD" w:rsidP="00BE2A95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A34AD" w:rsidRPr="009C70CF" w:rsidRDefault="00FA34AD" w:rsidP="00BE2A95">
      <w:p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FA34AD" w:rsidRPr="009C70CF" w:rsidRDefault="00FA34AD" w:rsidP="009C70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70CF">
        <w:rPr>
          <w:rFonts w:ascii="Times New Roman" w:hAnsi="Times New Roman"/>
          <w:sz w:val="24"/>
          <w:szCs w:val="24"/>
        </w:rPr>
        <w:t>1. Bashkatov, V.V. Sostavlenie otcheta o pribyljah i ubytkah v sootvetstvii s RSBU i MSFO / V.V. Bashkatov, O.S. Skovorodkina // Aktual'nye voprosy buhgalter-skoj (finansovoj) otchetnosti v uslovijah reformirovanija buhgalterskogo ucheta i ot-chetnosti: Materialy II-j mezhdunarodnoj studencheskoj nauchnoj konferencii. – Kras-nodar: KubGAU, 2012. – s. 273 – 279.</w:t>
      </w:r>
    </w:p>
    <w:p w:rsidR="00FA34AD" w:rsidRPr="009C70CF" w:rsidRDefault="00FA34AD" w:rsidP="009C70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70CF">
        <w:rPr>
          <w:rFonts w:ascii="Times New Roman" w:hAnsi="Times New Roman"/>
          <w:sz w:val="24"/>
          <w:szCs w:val="24"/>
          <w:lang w:val="en-US"/>
        </w:rPr>
        <w:t>2. Buhgalterskaja (finansovaja) otchetnost': ucheb. posobie / pod red. prof. Ju. I. Sig</w:t>
      </w:r>
      <w:r w:rsidRPr="009C70CF">
        <w:rPr>
          <w:rFonts w:ascii="Times New Roman" w:hAnsi="Times New Roman"/>
          <w:sz w:val="24"/>
          <w:szCs w:val="24"/>
          <w:lang w:val="en-US"/>
        </w:rPr>
        <w:t>i</w:t>
      </w:r>
      <w:r w:rsidRPr="009C70CF">
        <w:rPr>
          <w:rFonts w:ascii="Times New Roman" w:hAnsi="Times New Roman"/>
          <w:sz w:val="24"/>
          <w:szCs w:val="24"/>
          <w:lang w:val="en-US"/>
        </w:rPr>
        <w:t>dova i prof. A. I. Trubilina. – M.: INFRA-M,                2012. – 366 s.</w:t>
      </w:r>
    </w:p>
    <w:p w:rsidR="00FA34AD" w:rsidRPr="009C70CF" w:rsidRDefault="00FA34AD" w:rsidP="009C70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70CF">
        <w:rPr>
          <w:rFonts w:ascii="Times New Roman" w:hAnsi="Times New Roman"/>
          <w:sz w:val="24"/>
          <w:szCs w:val="24"/>
          <w:lang w:val="en-US"/>
        </w:rPr>
        <w:t>3. Jelitarium: Centr distancionnogo obrazovanija  Transformacija rossijskoj otche</w:t>
      </w:r>
      <w:r w:rsidRPr="009C70CF">
        <w:rPr>
          <w:rFonts w:ascii="Times New Roman" w:hAnsi="Times New Roman"/>
          <w:sz w:val="24"/>
          <w:szCs w:val="24"/>
          <w:lang w:val="en-US"/>
        </w:rPr>
        <w:t>t</w:t>
      </w:r>
      <w:r w:rsidRPr="009C70CF">
        <w:rPr>
          <w:rFonts w:ascii="Times New Roman" w:hAnsi="Times New Roman"/>
          <w:sz w:val="24"/>
          <w:szCs w:val="24"/>
          <w:lang w:val="en-US"/>
        </w:rPr>
        <w:t>nosti v sootvetstvii s GAAP – Rezhim dostupa: http://www.elitarium.ru/2009/06/10/print:page,1,transformacija_otchetnosti_gaap.html</w:t>
      </w:r>
    </w:p>
    <w:p w:rsidR="00FA34AD" w:rsidRPr="009C70CF" w:rsidRDefault="00FA34AD" w:rsidP="009C70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C70CF">
        <w:rPr>
          <w:rFonts w:ascii="Times New Roman" w:hAnsi="Times New Roman"/>
          <w:sz w:val="24"/>
          <w:szCs w:val="24"/>
          <w:lang w:val="en-US"/>
        </w:rPr>
        <w:t xml:space="preserve">4. Sravnitel'nyj uchet: </w:t>
      </w:r>
      <w:smartTag w:uri="urn:schemas-microsoft-com:office:smarttags" w:element="place">
        <w:smartTag w:uri="urn:schemas-microsoft-com:office:smarttags" w:element="country-region">
          <w:r w:rsidRPr="009C70CF">
            <w:rPr>
              <w:rFonts w:ascii="Times New Roman" w:hAnsi="Times New Roman"/>
              <w:sz w:val="24"/>
              <w:szCs w:val="24"/>
              <w:lang w:val="en-US"/>
            </w:rPr>
            <w:t>US</w:t>
          </w:r>
        </w:smartTag>
      </w:smartTag>
      <w:r w:rsidRPr="009C70CF">
        <w:rPr>
          <w:rFonts w:ascii="Times New Roman" w:hAnsi="Times New Roman"/>
          <w:sz w:val="24"/>
          <w:szCs w:val="24"/>
          <w:lang w:val="en-US"/>
        </w:rPr>
        <w:t xml:space="preserve"> GAAP &amp; Rossijskij uchet. - Rezhim dostupa: http://gaap.ru/articles/49415/</w:t>
      </w:r>
    </w:p>
    <w:sectPr w:rsidR="00FA34AD" w:rsidRPr="009C70CF" w:rsidSect="002D341A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4AD" w:rsidRDefault="00FA34AD" w:rsidP="00DC633C">
      <w:pPr>
        <w:spacing w:after="0" w:line="240" w:lineRule="auto"/>
      </w:pPr>
      <w:r>
        <w:separator/>
      </w:r>
    </w:p>
  </w:endnote>
  <w:endnote w:type="continuationSeparator" w:id="0">
    <w:p w:rsidR="00FA34AD" w:rsidRDefault="00FA34AD" w:rsidP="00DC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4AD" w:rsidRDefault="00FA34AD">
    <w:pPr>
      <w:pStyle w:val="Footer"/>
    </w:pPr>
    <w:r w:rsidRPr="00111509">
      <w:rPr>
        <w:rFonts w:ascii="Times New Roman" w:hAnsi="Times New Roman"/>
        <w:sz w:val="24"/>
        <w:szCs w:val="24"/>
      </w:rPr>
      <w:t>http://ej.kubagro.ru/201</w:t>
    </w:r>
    <w:r w:rsidRPr="00111509">
      <w:rPr>
        <w:rFonts w:ascii="Times New Roman" w:hAnsi="Times New Roman"/>
        <w:sz w:val="24"/>
        <w:szCs w:val="24"/>
        <w:lang w:val="en-US"/>
      </w:rPr>
      <w:t>4</w:t>
    </w:r>
    <w:r w:rsidRPr="00111509">
      <w:rPr>
        <w:rFonts w:ascii="Times New Roman" w:hAnsi="Times New Roman"/>
        <w:sz w:val="24"/>
        <w:szCs w:val="24"/>
      </w:rPr>
      <w:t>/</w:t>
    </w:r>
    <w:r w:rsidRPr="00111509">
      <w:rPr>
        <w:rFonts w:ascii="Times New Roman" w:hAnsi="Times New Roman"/>
        <w:sz w:val="24"/>
        <w:szCs w:val="24"/>
        <w:lang w:val="en-US"/>
      </w:rPr>
      <w:t>01</w:t>
    </w:r>
    <w:r w:rsidRPr="0011150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32</w:t>
    </w:r>
    <w:r w:rsidRPr="0011150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4AD" w:rsidRDefault="00FA34AD" w:rsidP="00DC633C">
      <w:pPr>
        <w:spacing w:after="0" w:line="240" w:lineRule="auto"/>
      </w:pPr>
      <w:r>
        <w:separator/>
      </w:r>
    </w:p>
  </w:footnote>
  <w:footnote w:type="continuationSeparator" w:id="0">
    <w:p w:rsidR="00FA34AD" w:rsidRDefault="00FA34AD" w:rsidP="00DC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4AD" w:rsidRDefault="00FA34AD" w:rsidP="00294A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34AD" w:rsidRDefault="00FA34AD" w:rsidP="002D341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2" w:name="OLE_LINK1"/>
  <w:p w:rsidR="00FA34AD" w:rsidRPr="002D341A" w:rsidRDefault="00FA34AD" w:rsidP="00294A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D341A">
      <w:rPr>
        <w:rStyle w:val="PageNumber"/>
        <w:rFonts w:ascii="Times New Roman" w:hAnsi="Times New Roman"/>
        <w:sz w:val="28"/>
        <w:szCs w:val="28"/>
      </w:rPr>
      <w:fldChar w:fldCharType="begin"/>
    </w:r>
    <w:r w:rsidRPr="002D341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D341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9</w:t>
    </w:r>
    <w:r w:rsidRPr="002D341A">
      <w:rPr>
        <w:rStyle w:val="PageNumber"/>
        <w:rFonts w:ascii="Times New Roman" w:hAnsi="Times New Roman"/>
        <w:sz w:val="28"/>
        <w:szCs w:val="28"/>
      </w:rPr>
      <w:fldChar w:fldCharType="end"/>
    </w:r>
  </w:p>
  <w:p w:rsidR="00FA34AD" w:rsidRPr="002D341A" w:rsidRDefault="00FA34AD" w:rsidP="002D341A">
    <w:pPr>
      <w:pStyle w:val="Header"/>
      <w:ind w:right="360"/>
      <w:rPr>
        <w:lang w:val="en-US"/>
      </w:rPr>
    </w:pPr>
    <w:r w:rsidRPr="00E40DB0">
      <w:rPr>
        <w:rFonts w:ascii="Times New Roman" w:hAnsi="Times New Roman"/>
        <w:sz w:val="24"/>
        <w:szCs w:val="24"/>
      </w:rPr>
      <w:t>Научный журнал КубГАУ, №</w:t>
    </w:r>
    <w:r w:rsidRPr="00E40DB0">
      <w:rPr>
        <w:rFonts w:ascii="Times New Roman" w:hAnsi="Times New Roman"/>
        <w:sz w:val="24"/>
        <w:szCs w:val="24"/>
        <w:lang w:val="en-US"/>
      </w:rPr>
      <w:t>95</w:t>
    </w:r>
    <w:r w:rsidRPr="00E40DB0">
      <w:rPr>
        <w:rFonts w:ascii="Times New Roman" w:hAnsi="Times New Roman"/>
        <w:sz w:val="24"/>
        <w:szCs w:val="24"/>
      </w:rPr>
      <w:t>(</w:t>
    </w:r>
    <w:r w:rsidRPr="00E40DB0">
      <w:rPr>
        <w:rFonts w:ascii="Times New Roman" w:hAnsi="Times New Roman"/>
        <w:sz w:val="24"/>
        <w:szCs w:val="24"/>
        <w:lang w:val="en-US"/>
      </w:rPr>
      <w:t>01</w:t>
    </w:r>
    <w:r w:rsidRPr="00E40DB0">
      <w:rPr>
        <w:rFonts w:ascii="Times New Roman" w:hAnsi="Times New Roman"/>
        <w:sz w:val="24"/>
        <w:szCs w:val="24"/>
      </w:rPr>
      <w:t>), 201</w:t>
    </w:r>
    <w:r w:rsidRPr="00E40DB0">
      <w:rPr>
        <w:rFonts w:ascii="Times New Roman" w:hAnsi="Times New Roman"/>
        <w:sz w:val="24"/>
        <w:szCs w:val="24"/>
        <w:lang w:val="en-US"/>
      </w:rPr>
      <w:t>4</w:t>
    </w:r>
    <w:r w:rsidRPr="00E40DB0">
      <w:rPr>
        <w:rFonts w:ascii="Times New Roman" w:hAnsi="Times New Roman"/>
        <w:sz w:val="24"/>
        <w:szCs w:val="24"/>
      </w:rPr>
      <w:t xml:space="preserve"> года</w:t>
    </w:r>
    <w:bookmarkEnd w:id="12"/>
  </w:p>
  <w:p w:rsidR="00FA34AD" w:rsidRDefault="00FA34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25CFA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89EB3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688F5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E3427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738E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CC3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A88E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D80C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BE0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666EF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7B1BF2"/>
    <w:multiLevelType w:val="multilevel"/>
    <w:tmpl w:val="936C1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4F8"/>
    <w:rsid w:val="00003487"/>
    <w:rsid w:val="00004E6E"/>
    <w:rsid w:val="00014F5A"/>
    <w:rsid w:val="00031A80"/>
    <w:rsid w:val="000C47E2"/>
    <w:rsid w:val="000D0A8F"/>
    <w:rsid w:val="00110497"/>
    <w:rsid w:val="00111509"/>
    <w:rsid w:val="00112CE7"/>
    <w:rsid w:val="00113C78"/>
    <w:rsid w:val="00162201"/>
    <w:rsid w:val="001703D7"/>
    <w:rsid w:val="001A33C9"/>
    <w:rsid w:val="001B6381"/>
    <w:rsid w:val="001C64C9"/>
    <w:rsid w:val="001E6EE4"/>
    <w:rsid w:val="001E6FA6"/>
    <w:rsid w:val="0020108E"/>
    <w:rsid w:val="002024C9"/>
    <w:rsid w:val="00241E82"/>
    <w:rsid w:val="00245DDD"/>
    <w:rsid w:val="00284579"/>
    <w:rsid w:val="00294AF1"/>
    <w:rsid w:val="002C244B"/>
    <w:rsid w:val="002D341A"/>
    <w:rsid w:val="00337B39"/>
    <w:rsid w:val="00350456"/>
    <w:rsid w:val="00360E54"/>
    <w:rsid w:val="0039751E"/>
    <w:rsid w:val="003978F7"/>
    <w:rsid w:val="003A1DC5"/>
    <w:rsid w:val="003D2682"/>
    <w:rsid w:val="003F2DE3"/>
    <w:rsid w:val="0047319D"/>
    <w:rsid w:val="004A34C4"/>
    <w:rsid w:val="004D1420"/>
    <w:rsid w:val="004E2113"/>
    <w:rsid w:val="005121BE"/>
    <w:rsid w:val="005246CF"/>
    <w:rsid w:val="00560748"/>
    <w:rsid w:val="00603BFF"/>
    <w:rsid w:val="00692205"/>
    <w:rsid w:val="006A0138"/>
    <w:rsid w:val="006F0D81"/>
    <w:rsid w:val="00715429"/>
    <w:rsid w:val="00733B40"/>
    <w:rsid w:val="007936B7"/>
    <w:rsid w:val="0085503F"/>
    <w:rsid w:val="0091516A"/>
    <w:rsid w:val="00923051"/>
    <w:rsid w:val="009460E0"/>
    <w:rsid w:val="00955818"/>
    <w:rsid w:val="009A16BF"/>
    <w:rsid w:val="009B0550"/>
    <w:rsid w:val="009B0B5A"/>
    <w:rsid w:val="009C70CF"/>
    <w:rsid w:val="009F66BD"/>
    <w:rsid w:val="00A057B6"/>
    <w:rsid w:val="00AD04F8"/>
    <w:rsid w:val="00AD08FC"/>
    <w:rsid w:val="00AE1B77"/>
    <w:rsid w:val="00B10097"/>
    <w:rsid w:val="00B176F0"/>
    <w:rsid w:val="00B23E96"/>
    <w:rsid w:val="00BD08C1"/>
    <w:rsid w:val="00BE2A95"/>
    <w:rsid w:val="00C4114D"/>
    <w:rsid w:val="00D23B3E"/>
    <w:rsid w:val="00D45D2D"/>
    <w:rsid w:val="00D45E3D"/>
    <w:rsid w:val="00DB1B52"/>
    <w:rsid w:val="00DC633C"/>
    <w:rsid w:val="00E40DB0"/>
    <w:rsid w:val="00EC5161"/>
    <w:rsid w:val="00EF182F"/>
    <w:rsid w:val="00F54136"/>
    <w:rsid w:val="00FA34AD"/>
    <w:rsid w:val="00FB6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4F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3C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1A33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33C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3C9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A3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34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9F66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F66BD"/>
    <w:rPr>
      <w:rFonts w:cs="Times New Roman"/>
    </w:rPr>
  </w:style>
  <w:style w:type="character" w:styleId="Hyperlink">
    <w:name w:val="Hyperlink"/>
    <w:basedOn w:val="DefaultParagraphFont"/>
    <w:uiPriority w:val="99"/>
    <w:rsid w:val="009F66BD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1542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C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C63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C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C633C"/>
    <w:rPr>
      <w:rFonts w:cs="Times New Roman"/>
    </w:rPr>
  </w:style>
  <w:style w:type="character" w:styleId="PageNumber">
    <w:name w:val="page number"/>
    <w:basedOn w:val="DefaultParagraphFont"/>
    <w:uiPriority w:val="99"/>
    <w:rsid w:val="002D341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tarium.ru/2009/06/10/transformacija_otchetnosti_gaap.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litarium.ru/2006/04/10/distancionnyjj_kurs_mezhdunarodnye_standarty_finansovojj_otchetnosti_msfo.htm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gaap.ru/articles/49415/???history=0&amp;sample=3&amp;ref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ap.ru/articles/section/sravnitelnyy_uchet_us_gaap_rossiyskiy_uche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9</Pages>
  <Words>2499</Words>
  <Characters>14248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1</cp:lastModifiedBy>
  <cp:revision>15</cp:revision>
  <cp:lastPrinted>2014-01-09T05:29:00Z</cp:lastPrinted>
  <dcterms:created xsi:type="dcterms:W3CDTF">2013-12-06T16:12:00Z</dcterms:created>
  <dcterms:modified xsi:type="dcterms:W3CDTF">2014-01-29T20:02:00Z</dcterms:modified>
</cp:coreProperties>
</file>