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6A15C4" w:rsidRPr="00C1130F" w:rsidTr="00CE684D">
        <w:tc>
          <w:tcPr>
            <w:tcW w:w="4643" w:type="dxa"/>
          </w:tcPr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sz w:val="20"/>
                <w:szCs w:val="20"/>
              </w:rPr>
              <w:t>УДК 330.4:004.9</w:t>
            </w: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sz w:val="20"/>
                <w:szCs w:val="20"/>
              </w:rPr>
              <w:t>UDC 330.4:004.9</w:t>
            </w:r>
          </w:p>
        </w:tc>
      </w:tr>
      <w:tr w:rsidR="006A15C4" w:rsidRPr="00C1130F" w:rsidTr="00CE684D">
        <w:tc>
          <w:tcPr>
            <w:tcW w:w="4643" w:type="dxa"/>
          </w:tcPr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13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РАЗРАБОТКА КАРТЫ СТРАТЕГИИ ЮРИДИЧЕСКОГО ОТДЕЛА МЕТАЛЛУРГИЧЕСКОГО ЗАВОДА АБИНСКОГО РАЙОНА С ИСПОЛЬЗОВАНИЕМ ИНСТРУМЕНТАРИЯ </w:t>
            </w:r>
            <w:r w:rsidRPr="00C1130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ARIS</w:t>
            </w: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43" w:type="dxa"/>
          </w:tcPr>
          <w:p w:rsidR="006A15C4" w:rsidRPr="00C1130F" w:rsidRDefault="006A15C4" w:rsidP="00CE6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130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DEVELOPMENT OF STRATEGY OF LEGAL DEPARTMENT OF METALLURGICAL PLANT ABINSKIY DISTRICTUSING ARIS TOOLSET</w:t>
            </w:r>
          </w:p>
        </w:tc>
      </w:tr>
      <w:tr w:rsidR="006A15C4" w:rsidRPr="00C1130F" w:rsidTr="00CE684D">
        <w:tc>
          <w:tcPr>
            <w:tcW w:w="4643" w:type="dxa"/>
          </w:tcPr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sz w:val="20"/>
                <w:szCs w:val="20"/>
              </w:rPr>
              <w:t>Яхонтова Ирина Михайловна</w:t>
            </w: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</w:tc>
        <w:tc>
          <w:tcPr>
            <w:tcW w:w="4643" w:type="dxa"/>
          </w:tcPr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130F">
              <w:rPr>
                <w:rFonts w:ascii="Times New Roman" w:hAnsi="Times New Roman"/>
                <w:sz w:val="20"/>
                <w:szCs w:val="20"/>
                <w:lang w:val="en-US"/>
              </w:rPr>
              <w:t>Yakhontova Irina Mikchailovna</w:t>
            </w: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130F">
              <w:rPr>
                <w:rFonts w:ascii="Times New Roman" w:hAnsi="Times New Roman"/>
                <w:sz w:val="20"/>
                <w:szCs w:val="20"/>
                <w:lang w:val="en-US"/>
              </w:rPr>
              <w:t>Cand.Econ.Sci., docent</w:t>
            </w:r>
          </w:p>
        </w:tc>
      </w:tr>
      <w:tr w:rsidR="006A15C4" w:rsidRPr="00C1130F" w:rsidTr="00CE684D">
        <w:trPr>
          <w:trHeight w:val="397"/>
        </w:trPr>
        <w:tc>
          <w:tcPr>
            <w:tcW w:w="4643" w:type="dxa"/>
          </w:tcPr>
          <w:p w:rsidR="006A15C4" w:rsidRPr="00C1130F" w:rsidRDefault="006A15C4" w:rsidP="00CE684D">
            <w:pPr>
              <w:spacing w:after="0" w:line="240" w:lineRule="auto"/>
              <w:rPr>
                <w:rStyle w:val="Hyperlink"/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Кубанский государственный аграрный университет, Россия, 350044, Краснодар, Калинина, 13, </w:t>
            </w:r>
            <w:hyperlink r:id="rId7" w:history="1"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arishka</w:t>
              </w:r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77@</w:t>
              </w:r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yandex</w:t>
              </w:r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sz w:val="20"/>
                <w:szCs w:val="20"/>
              </w:rPr>
              <w:t>Ткаченко Оксана Романовна</w:t>
            </w: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sz w:val="20"/>
                <w:szCs w:val="20"/>
              </w:rPr>
              <w:t>студентка</w:t>
            </w:r>
          </w:p>
          <w:p w:rsidR="006A15C4" w:rsidRPr="00C1130F" w:rsidRDefault="006A15C4" w:rsidP="00CE684D">
            <w:pPr>
              <w:spacing w:after="0" w:line="240" w:lineRule="auto"/>
              <w:rPr>
                <w:rStyle w:val="Hyperlink"/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Кубанский государственный аграрный университет, Россия, 350044, Краснодар, Калинина, 13, </w:t>
            </w:r>
            <w:hyperlink r:id="rId8" w:history="1"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kssu</w:t>
              </w:r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007@</w:t>
              </w:r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C1130F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6A15C4" w:rsidRPr="00CE684D" w:rsidRDefault="006A15C4" w:rsidP="00CE684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C1130F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C1130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Tkachenko Oksana Romanovna</w:t>
            </w: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C1130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Student</w:t>
            </w: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C1130F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6A15C4" w:rsidRPr="00C1130F" w:rsidTr="00CE684D">
        <w:tc>
          <w:tcPr>
            <w:tcW w:w="4643" w:type="dxa"/>
          </w:tcPr>
          <w:p w:rsidR="006A15C4" w:rsidRPr="00CE684D" w:rsidRDefault="006A15C4" w:rsidP="00CE6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sz w:val="20"/>
                <w:szCs w:val="20"/>
              </w:rPr>
              <w:t>В работе описана актуальность и необходимость разработки карты стратегии предприятия. Предложена и обоснована карта стратегии юридического отдела Металлургическог</w:t>
            </w:r>
            <w:bookmarkStart w:id="0" w:name="_GoBack"/>
            <w:bookmarkEnd w:id="0"/>
            <w:r w:rsidRPr="00C1130F">
              <w:rPr>
                <w:rFonts w:ascii="Times New Roman" w:hAnsi="Times New Roman"/>
                <w:sz w:val="20"/>
                <w:szCs w:val="20"/>
              </w:rPr>
              <w:t>о завода Абинского района</w:t>
            </w:r>
            <w:r w:rsidRPr="00CE68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130F">
              <w:rPr>
                <w:rFonts w:ascii="Times New Roman" w:hAnsi="Times New Roman"/>
                <w:sz w:val="20"/>
                <w:szCs w:val="20"/>
              </w:rPr>
              <w:t xml:space="preserve">с использованием инструментария </w:t>
            </w:r>
            <w:r w:rsidRPr="00C1130F">
              <w:rPr>
                <w:rFonts w:ascii="Times New Roman" w:hAnsi="Times New Roman"/>
                <w:sz w:val="20"/>
                <w:szCs w:val="20"/>
                <w:lang w:val="en-US"/>
              </w:rPr>
              <w:t>ARIS</w:t>
            </w:r>
          </w:p>
          <w:p w:rsidR="006A15C4" w:rsidRPr="00C1130F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6A15C4" w:rsidRPr="00C1130F" w:rsidRDefault="006A15C4" w:rsidP="00CE6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13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describes the relevance and necessity of the development of card business strategy.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</w:t>
            </w:r>
            <w:r w:rsidRPr="00C113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offered and proved card strategy of the legal Department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C113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Metallurgical plant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</w:t>
            </w:r>
            <w:r w:rsidRPr="00C1130F">
              <w:rPr>
                <w:rFonts w:ascii="Times New Roman" w:hAnsi="Times New Roman"/>
                <w:sz w:val="20"/>
                <w:szCs w:val="20"/>
                <w:lang w:val="en-US"/>
              </w:rPr>
              <w:t>Abinsk district using the tools of the ARIS.</w:t>
            </w:r>
          </w:p>
        </w:tc>
      </w:tr>
      <w:tr w:rsidR="006A15C4" w:rsidRPr="00C1130F" w:rsidTr="00CE684D">
        <w:tc>
          <w:tcPr>
            <w:tcW w:w="4643" w:type="dxa"/>
          </w:tcPr>
          <w:p w:rsidR="006A15C4" w:rsidRPr="00CE684D" w:rsidRDefault="006A15C4" w:rsidP="00CE68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30F">
              <w:rPr>
                <w:rFonts w:ascii="Times New Roman" w:hAnsi="Times New Roman"/>
                <w:sz w:val="20"/>
                <w:szCs w:val="20"/>
              </w:rPr>
              <w:t>Ключевые слова: ПРОЦЕСС, УПРАВЛЕНИЕ, БИЗНЕС СИСТЕМА, МОДЕЛЬ, ПР</w:t>
            </w:r>
            <w:r>
              <w:rPr>
                <w:rFonts w:ascii="Times New Roman" w:hAnsi="Times New Roman"/>
                <w:sz w:val="20"/>
                <w:szCs w:val="20"/>
              </w:rPr>
              <w:t>ИНЯТИЕ РЕШЕНИЙ, КАРТА СТРАТЕГИИ</w:t>
            </w:r>
          </w:p>
        </w:tc>
        <w:tc>
          <w:tcPr>
            <w:tcW w:w="4643" w:type="dxa"/>
          </w:tcPr>
          <w:p w:rsidR="006A15C4" w:rsidRPr="00C1130F" w:rsidRDefault="006A15C4" w:rsidP="00CE6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130F">
              <w:rPr>
                <w:rFonts w:ascii="Times New Roman" w:hAnsi="Times New Roman"/>
                <w:sz w:val="20"/>
                <w:szCs w:val="20"/>
                <w:lang w:val="en-US"/>
              </w:rPr>
              <w:t>Keywords: PROCESS, MANAGEMENT, BUSINESS SYSTEM, MODEL, DECISION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MAKING, CARD BUSINESS STRATEGY</w:t>
            </w:r>
          </w:p>
        </w:tc>
      </w:tr>
    </w:tbl>
    <w:p w:rsidR="006A15C4" w:rsidRPr="001323A5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Pr="001323A5" w:rsidRDefault="006A15C4" w:rsidP="005468EE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323A5">
        <w:rPr>
          <w:sz w:val="28"/>
          <w:szCs w:val="28"/>
        </w:rPr>
        <w:t>Разработка стратегии является первым шагом построения эффективной организации. На ее основе разрабатываются оптимальные бизнес-процессы, организационная структура и другие подсистемы управления организацией.</w:t>
      </w:r>
    </w:p>
    <w:p w:rsidR="006A15C4" w:rsidRPr="001323A5" w:rsidRDefault="006A15C4" w:rsidP="005468EE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323A5">
        <w:rPr>
          <w:sz w:val="28"/>
          <w:szCs w:val="28"/>
        </w:rPr>
        <w:t>Применение технологий стратегического управления, системы сбалансированных показателей (BalancedScorecard – BSC) и ключевых показателей деятельности (KeyPerformanceIndicator – KPI) позволяет организации:</w:t>
      </w:r>
    </w:p>
    <w:p w:rsidR="006A15C4" w:rsidRPr="001323A5" w:rsidRDefault="006A15C4" w:rsidP="005468EE">
      <w:pPr>
        <w:pStyle w:val="book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23A5">
        <w:rPr>
          <w:sz w:val="28"/>
          <w:szCs w:val="28"/>
        </w:rPr>
        <w:t>Повысить свою конкурентоспособность за счет своевременного реагиров</w:t>
      </w:r>
      <w:r>
        <w:rPr>
          <w:sz w:val="28"/>
          <w:szCs w:val="28"/>
        </w:rPr>
        <w:t>ания на изменения внешней среды.</w:t>
      </w:r>
    </w:p>
    <w:p w:rsidR="006A15C4" w:rsidRPr="001323A5" w:rsidRDefault="006A15C4" w:rsidP="005468EE">
      <w:pPr>
        <w:pStyle w:val="book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23A5">
        <w:rPr>
          <w:sz w:val="28"/>
          <w:szCs w:val="28"/>
        </w:rPr>
        <w:t>Скоординировать усилия всех подразделений и сотрудников организации на согласованное достижение единых целей, задач и ключевых показателей, формализованных в виде стратегическ</w:t>
      </w:r>
      <w:r>
        <w:rPr>
          <w:sz w:val="28"/>
          <w:szCs w:val="28"/>
        </w:rPr>
        <w:t>ого плана.</w:t>
      </w:r>
    </w:p>
    <w:p w:rsidR="006A15C4" w:rsidRDefault="006A15C4" w:rsidP="005468EE">
      <w:pPr>
        <w:pStyle w:val="book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23A5">
        <w:rPr>
          <w:sz w:val="28"/>
          <w:szCs w:val="28"/>
        </w:rPr>
        <w:t>Разработать оптимальные бизнес-процессы, организационную структуру и другие подсистемы управления современной организацией.</w:t>
      </w:r>
    </w:p>
    <w:p w:rsidR="006A15C4" w:rsidRDefault="006A15C4" w:rsidP="005468EE">
      <w:pPr>
        <w:pStyle w:val="book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 xml:space="preserve">Появляется возможность наглядного представления стратегического управления компанией с выделенными целями и ключевыми показателями результативности. </w:t>
      </w:r>
    </w:p>
    <w:p w:rsidR="006A15C4" w:rsidRDefault="006A15C4" w:rsidP="005468EE">
      <w:pPr>
        <w:pStyle w:val="book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Появляется возможность привязать конкретные бизнес-процессы к стратегическим целям.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Метод сбалансированных показателей BSC (BalancedScorecard), разработанный в 1990 году профессорами Гарвардской школы экономики Девидом Нортоном и Робертом Капланом, был предназначен для стратегического управления функционированием и развитием организации.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Они показали, как заставить работать сформированную стратегию, и какие изменения приоритетов в менеджменте надо для этого осуществить, и, в частности, как привести в стратегическое соответствие целям бизнес-процессов нематериальные активы - человеческие, информационные и организационные, связав направления обучения и карьерного роста персонала с целями внутренних бизнес-процессов.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Слова «сбалансированные показатели» означают, что при расчетах степени достижения целей учитывается удельный вес показателей и обеспечивается согласованность и баланс индивидуальных, организационных и межфункциональных видов деятельности.</w:t>
      </w:r>
    </w:p>
    <w:p w:rsidR="006A15C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Авторы утверждали, что финансовые показатели не дают достаточной информации для принятия правильных и своевременных управленческих решений. Они показали, что разрыв между балансовой и рыночной стоимостью компаний постепенно, но неуклонно увеличивается за счет нематериальных активов, таких как интеллектуальный капитал, инновации, репутация. Стандарты финансовой отчетности не учитывали этой ситуации и инвесторы стали отказываться от такого источника информации о состоянии компании, как бухгалтерская отчетность.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Метод ориентирован на руководителей и специалистов организации, которые должны конкретизировать ее цели и рыночные позиции с учетом организационной структуры, технологии выполнения процессов, квалификации и численности персонала. При этом учитывается, что управлять можно только тем, что может измеряться. Достичь целей можно</w:t>
      </w:r>
      <w:r w:rsidRPr="00CE684D">
        <w:rPr>
          <w:sz w:val="28"/>
          <w:szCs w:val="28"/>
        </w:rPr>
        <w:t xml:space="preserve"> </w:t>
      </w:r>
      <w:r w:rsidRPr="00EB6F44">
        <w:rPr>
          <w:sz w:val="28"/>
          <w:szCs w:val="28"/>
        </w:rPr>
        <w:t>только в том случае, если существуют показатели, которые имеют числовое измерение. Это относится и к неопределенности свойств объектов управления, и к разным рискам.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Метод BSC позволяет согласовать действия подразделений и сотрудников для достижения основной цели, стоящей перед компанией. Компания становится успешной только в том случае, если она планомерно развивается в соответствии со своими стратегическими планами. Множество отдельных мероприятий и действий сотрудников должно быть скоординировано так, чтобы реализовать цели с наименьшими расходами и в максимально сжатые сроки.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В данном методе выделены следующие четыре направления оценки эффективности деятельности компании: финансы, клиенты, бизнес-процессы и персонал. Они должны дать ответы на такие вопросы: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1. Как соотносятся финансовые цели компании с представлениями акционеров и инвесторов?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2. Какой видят компанию покупатели ее продуктов, и какие показатели работы с клиентами должны улучшиться, чтобы достичь желаемых финансовых результатов?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3. Какие бизнес-процессы требуют оптимизации, на каких из них нужно сконцентрировать свои усилия для удовлетворения интересов потребителей, а от каких надо отказаться?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4. Какие возможности существуют для обучения и роста персонала, и для развития организации?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В методе BSC формируется такая выходная информация:</w:t>
      </w:r>
    </w:p>
    <w:p w:rsidR="006A15C4" w:rsidRPr="00EB6F44" w:rsidRDefault="006A15C4" w:rsidP="005468EE">
      <w:pPr>
        <w:pStyle w:val="book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карта стратегических задач, логически связанных со стратегической целью;</w:t>
      </w:r>
    </w:p>
    <w:p w:rsidR="006A15C4" w:rsidRPr="00EB6F44" w:rsidRDefault="006A15C4" w:rsidP="005468EE">
      <w:pPr>
        <w:pStyle w:val="book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карты сбалансированных показателей, которые количественно измеряют эффективность бизнес-процессов и достижения цели в заданные сроки;</w:t>
      </w:r>
    </w:p>
    <w:p w:rsidR="006A15C4" w:rsidRPr="00EB6F44" w:rsidRDefault="006A15C4" w:rsidP="005468EE">
      <w:pPr>
        <w:pStyle w:val="book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приборные панели руководителей разных уровней для контроля и</w:t>
      </w:r>
    </w:p>
    <w:p w:rsidR="006A15C4" w:rsidRPr="00EB6F44" w:rsidRDefault="006A15C4" w:rsidP="005468EE">
      <w:pPr>
        <w:pStyle w:val="book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оценки деятельности;</w:t>
      </w:r>
    </w:p>
    <w:p w:rsidR="006A15C4" w:rsidRPr="00350FFD" w:rsidRDefault="006A15C4" w:rsidP="005468EE">
      <w:pPr>
        <w:pStyle w:val="book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B6F44">
        <w:rPr>
          <w:sz w:val="28"/>
          <w:szCs w:val="28"/>
        </w:rPr>
        <w:t>целевые проекты, обеспечивающие внедрение необходимых изменений.</w:t>
      </w:r>
    </w:p>
    <w:p w:rsidR="006A15C4" w:rsidRPr="00EB6F44" w:rsidRDefault="006A15C4" w:rsidP="005468EE">
      <w:pPr>
        <w:pStyle w:val="book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B6F44">
        <w:rPr>
          <w:bCs/>
          <w:sz w:val="28"/>
          <w:szCs w:val="28"/>
        </w:rPr>
        <w:t>Построение BSC осуществляется так, чтобы задачи и показатели менеджеров более высокого уровня организационной структуры отображали в интегрированном виде задачи и показатели менеджеров более низкого уровня. Необходимо сделать реализацию стратегии регулярной деятельностью всех подразделений, управляемой с помощью планирования, учета, контроля и анализа сбалансированных показателей, а также мотивации персонала на их достижение. Система стратегического управления должна обеспечить возможность управления развитием фирмы на постоянной, регламентированной основе с постановкой целей, понятных сотрудникам, с показателями, которые позволяют измерять и контролировать достижение целей и с возможностью, при необходимости, корректировать цели и показатели. Для этого требуется создать положение о системе управления организацией, регламенты бизнес-процессов, методики и технологии системы управления, должностные инструкции.</w:t>
      </w:r>
    </w:p>
    <w:p w:rsidR="006A15C4" w:rsidRPr="00EB6F44" w:rsidRDefault="006A15C4" w:rsidP="00EB6F44">
      <w:pPr>
        <w:pStyle w:val="book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B6F44">
        <w:rPr>
          <w:bCs/>
          <w:sz w:val="28"/>
          <w:szCs w:val="28"/>
        </w:rPr>
        <w:t xml:space="preserve">Подсистема стратегического управления должна быть интегрирована с другими подсистемами организации, в частности, с подсистемой управления бизнес-процессами, как показано на рис. </w:t>
      </w:r>
      <w:r>
        <w:rPr>
          <w:bCs/>
          <w:sz w:val="28"/>
          <w:szCs w:val="28"/>
        </w:rPr>
        <w:t>1.</w:t>
      </w:r>
    </w:p>
    <w:p w:rsidR="006A15C4" w:rsidRPr="00EB6F44" w:rsidRDefault="006A15C4" w:rsidP="00EB6F44">
      <w:pPr>
        <w:pStyle w:val="ListParagraph"/>
        <w:autoSpaceDE w:val="0"/>
        <w:autoSpaceDN w:val="0"/>
        <w:adjustRightInd w:val="0"/>
        <w:ind w:left="0"/>
        <w:rPr>
          <w:rFonts w:eastAsia="TimesNewRomanPSMT"/>
          <w:sz w:val="28"/>
          <w:szCs w:val="28"/>
        </w:rPr>
      </w:pPr>
      <w:r w:rsidRPr="00D41BC7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3.8pt;height:309pt;visibility:visible">
            <v:imagedata r:id="rId9" o:title=""/>
          </v:shape>
        </w:pict>
      </w:r>
    </w:p>
    <w:p w:rsidR="006A15C4" w:rsidRPr="00EB6F44" w:rsidRDefault="006A15C4" w:rsidP="00EB6F44">
      <w:pPr>
        <w:autoSpaceDE w:val="0"/>
        <w:autoSpaceDN w:val="0"/>
        <w:adjustRightInd w:val="0"/>
        <w:jc w:val="center"/>
        <w:rPr>
          <w:rFonts w:ascii="Times New Roman" w:eastAsia="TimesNewRomanPSMT" w:hAnsi="Times New Roman"/>
          <w:sz w:val="28"/>
          <w:szCs w:val="28"/>
        </w:rPr>
      </w:pPr>
      <w:r w:rsidRPr="00EB6F44">
        <w:rPr>
          <w:rFonts w:ascii="Times New Roman" w:eastAsia="TimesNewRomanPSMT" w:hAnsi="Times New Roman"/>
          <w:sz w:val="28"/>
          <w:szCs w:val="28"/>
        </w:rPr>
        <w:t>Рисунок 1 - Интеграция стратегического и операционного управления</w:t>
      </w:r>
    </w:p>
    <w:p w:rsidR="006A15C4" w:rsidRPr="00EB6F44" w:rsidRDefault="006A15C4" w:rsidP="00EB6F44">
      <w:pPr>
        <w:pStyle w:val="book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B6F44">
        <w:rPr>
          <w:bCs/>
          <w:sz w:val="28"/>
          <w:szCs w:val="28"/>
        </w:rPr>
        <w:t>Интеграция обеспечивается за счет создания и поддержки в работоспособном состоянии системы целей, показателей и критериев их достижения. Основой их функционирования должен быть процессный подход и обеспечение непрерывного улучшения результативности и эффективности деятельности и увеличение удовлетворенности клиентов.</w:t>
      </w:r>
    </w:p>
    <w:p w:rsidR="006A15C4" w:rsidRPr="00352AC8" w:rsidRDefault="006A15C4" w:rsidP="00352AC8">
      <w:pPr>
        <w:pStyle w:val="book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352AC8">
        <w:rPr>
          <w:bCs/>
          <w:sz w:val="28"/>
          <w:szCs w:val="28"/>
        </w:rPr>
        <w:t>Для эффективного внедрения системы стратегического управления, системы сбалансированных и ключевых показателей B</w:t>
      </w:r>
      <w:r>
        <w:rPr>
          <w:bCs/>
          <w:sz w:val="28"/>
          <w:szCs w:val="28"/>
        </w:rPr>
        <w:t>SC/KPI в организации</w:t>
      </w:r>
      <w:r w:rsidRPr="00CE68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эффективно использовать</w:t>
      </w:r>
      <w:r w:rsidRPr="00352AC8">
        <w:rPr>
          <w:bCs/>
          <w:sz w:val="28"/>
          <w:szCs w:val="28"/>
        </w:rPr>
        <w:t xml:space="preserve"> технологии, которые были успешно применены во многих российских организациях. </w:t>
      </w:r>
    </w:p>
    <w:p w:rsidR="006A15C4" w:rsidRDefault="006A15C4" w:rsidP="00352AC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432E3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" o:spid="_x0000_i1026" type="#_x0000_t75" alt="http://www.betec.ru/images/str2.gif" style="width:375pt;height:259.8pt;visibility:visible">
            <v:imagedata r:id="rId10" o:title=""/>
          </v:shape>
        </w:pict>
      </w:r>
    </w:p>
    <w:p w:rsidR="006A15C4" w:rsidRDefault="006A15C4" w:rsidP="00352AC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52AC8">
        <w:rPr>
          <w:rFonts w:ascii="Times New Roman" w:hAnsi="Times New Roman"/>
          <w:sz w:val="28"/>
          <w:szCs w:val="28"/>
          <w:lang w:eastAsia="ru-RU"/>
        </w:rPr>
        <w:t>Рисунок 2 – Формат эффективного стратегического плана</w:t>
      </w:r>
    </w:p>
    <w:p w:rsidR="006A15C4" w:rsidRPr="00352AC8" w:rsidRDefault="006A15C4" w:rsidP="00352AC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A15C4" w:rsidRPr="00352AC8" w:rsidRDefault="006A15C4" w:rsidP="00352AC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432E3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" o:spid="_x0000_i1027" type="#_x0000_t75" alt="http://www.betec.ru/images/str3.gif" style="width:315pt;height:70.8pt;visibility:visible">
            <v:imagedata r:id="rId11" o:title=""/>
          </v:shape>
        </w:pict>
      </w:r>
    </w:p>
    <w:p w:rsidR="006A15C4" w:rsidRDefault="006A15C4" w:rsidP="00352AC8">
      <w:pPr>
        <w:pStyle w:val="book"/>
        <w:spacing w:after="0" w:line="360" w:lineRule="auto"/>
        <w:ind w:firstLine="709"/>
        <w:jc w:val="center"/>
        <w:rPr>
          <w:bCs/>
          <w:sz w:val="28"/>
          <w:szCs w:val="28"/>
        </w:rPr>
      </w:pPr>
      <w:r w:rsidRPr="00352AC8">
        <w:rPr>
          <w:bCs/>
          <w:sz w:val="28"/>
          <w:szCs w:val="28"/>
        </w:rPr>
        <w:t>Рисунок 3 - Типовые процессы, внедряемые на предприятии при постановке</w:t>
      </w:r>
      <w:r w:rsidRPr="00CE684D">
        <w:rPr>
          <w:bCs/>
          <w:sz w:val="28"/>
          <w:szCs w:val="28"/>
        </w:rPr>
        <w:t xml:space="preserve"> </w:t>
      </w:r>
      <w:r w:rsidRPr="00352AC8">
        <w:rPr>
          <w:bCs/>
          <w:sz w:val="28"/>
          <w:szCs w:val="28"/>
        </w:rPr>
        <w:t>системы стратегического управления</w:t>
      </w: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Рассмотрим процесс и результаты разработки карты стратегии на примере конкретного предприятия.</w:t>
      </w:r>
    </w:p>
    <w:p w:rsidR="006A15C4" w:rsidRPr="00350FFD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7737B">
        <w:rPr>
          <w:bCs/>
          <w:sz w:val="28"/>
          <w:szCs w:val="28"/>
        </w:rPr>
        <w:t>ООО «Абинский Электрометаллургический завод»</w:t>
      </w:r>
      <w:r w:rsidRPr="00C7737B">
        <w:rPr>
          <w:sz w:val="28"/>
          <w:szCs w:val="28"/>
        </w:rPr>
        <w:t> -</w:t>
      </w:r>
      <w:r w:rsidRPr="00350FFD">
        <w:rPr>
          <w:sz w:val="28"/>
          <w:szCs w:val="28"/>
        </w:rPr>
        <w:t xml:space="preserve"> представитель черной металлургии на Юге России, вступивший в строй в июне 2010 года. На сегодня  комплекс, оборудования по производству строительной арматуры, является одним из самых современных в мире. </w:t>
      </w:r>
      <w:r w:rsidRPr="00350FFD">
        <w:rPr>
          <w:sz w:val="28"/>
          <w:szCs w:val="28"/>
        </w:rPr>
        <w:br/>
        <w:t> Широкий спектр  продукции по диаметрам и уровню прочности сертифицирован по системе «Мосстройсертификации». </w:t>
      </w:r>
    </w:p>
    <w:p w:rsidR="006A15C4" w:rsidRPr="00C7737B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7737B">
        <w:rPr>
          <w:bCs/>
          <w:sz w:val="28"/>
          <w:szCs w:val="28"/>
        </w:rPr>
        <w:t>«Абинский электрометаллургический завод» специализируется в следующих отраслях металлургии:</w:t>
      </w:r>
    </w:p>
    <w:p w:rsidR="006A15C4" w:rsidRPr="00350FFD" w:rsidRDefault="006A15C4" w:rsidP="00C7737B">
      <w:pPr>
        <w:pStyle w:val="book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металлургическое производство;</w:t>
      </w:r>
    </w:p>
    <w:p w:rsidR="006A15C4" w:rsidRPr="00350FFD" w:rsidRDefault="006A15C4" w:rsidP="00C7737B">
      <w:pPr>
        <w:pStyle w:val="book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производство чугуна, ферросплавов, стали, горячекатаного проката и холоднокатаного листового (плоского) проката;</w:t>
      </w:r>
    </w:p>
    <w:p w:rsidR="006A15C4" w:rsidRPr="00350FFD" w:rsidRDefault="006A15C4" w:rsidP="00C7737B">
      <w:pPr>
        <w:pStyle w:val="book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стального проката горячекатаного и кованого;</w:t>
      </w:r>
    </w:p>
    <w:p w:rsidR="006A15C4" w:rsidRPr="00350FFD" w:rsidRDefault="006A15C4" w:rsidP="00C7737B">
      <w:pPr>
        <w:pStyle w:val="book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производство стального сортового проката горячекатаного и кованого. </w:t>
      </w:r>
    </w:p>
    <w:p w:rsidR="006A15C4" w:rsidRPr="00C7737B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7737B">
        <w:rPr>
          <w:bCs/>
          <w:sz w:val="28"/>
          <w:szCs w:val="28"/>
        </w:rPr>
        <w:t>Абинский ЭМЗ производит следующую продукцию:</w:t>
      </w:r>
    </w:p>
    <w:p w:rsidR="006A15C4" w:rsidRPr="00350FFD" w:rsidRDefault="006A15C4" w:rsidP="00C7737B">
      <w:pPr>
        <w:pStyle w:val="book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арматурная сталь;</w:t>
      </w:r>
    </w:p>
    <w:p w:rsidR="006A15C4" w:rsidRPr="00350FFD" w:rsidRDefault="006A15C4" w:rsidP="00C7737B">
      <w:pPr>
        <w:pStyle w:val="book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чугун;</w:t>
      </w:r>
    </w:p>
    <w:p w:rsidR="006A15C4" w:rsidRPr="00350FFD" w:rsidRDefault="006A15C4" w:rsidP="00C7737B">
      <w:pPr>
        <w:pStyle w:val="book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ферросплавы;</w:t>
      </w:r>
    </w:p>
    <w:p w:rsidR="006A15C4" w:rsidRPr="00350FFD" w:rsidRDefault="006A15C4" w:rsidP="00C7737B">
      <w:pPr>
        <w:pStyle w:val="book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стальная проволока;</w:t>
      </w:r>
    </w:p>
    <w:p w:rsidR="006A15C4" w:rsidRPr="00350FFD" w:rsidRDefault="006A15C4" w:rsidP="00C7737B">
      <w:pPr>
        <w:pStyle w:val="book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горячекатанный прокат;</w:t>
      </w:r>
    </w:p>
    <w:p w:rsidR="006A15C4" w:rsidRPr="00842747" w:rsidRDefault="006A15C4" w:rsidP="00842747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2747">
        <w:rPr>
          <w:sz w:val="28"/>
          <w:szCs w:val="28"/>
        </w:rPr>
        <w:t>Стратегические карты наглядно представляют процесс создания стоимости в организации.</w:t>
      </w:r>
    </w:p>
    <w:p w:rsidR="006A15C4" w:rsidRPr="00842747" w:rsidRDefault="006A15C4" w:rsidP="00842747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2747">
        <w:rPr>
          <w:sz w:val="28"/>
          <w:szCs w:val="28"/>
        </w:rPr>
        <w:t>Стратегическая карта помогает сотрудникам понять стратегии: компании и то, как взаимосвязаны между собой различные стратегические цели. Очень важно, что стратегические карты точно объясняют каждому сотруднику то, как его индивидуальные цели, проекты и достижения содействуют реализации общей стратегии и ее целей и в конечном счете успеху всей организации.</w:t>
      </w:r>
    </w:p>
    <w:p w:rsidR="006A15C4" w:rsidRPr="00842747" w:rsidRDefault="006A15C4" w:rsidP="00842747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2747">
        <w:rPr>
          <w:sz w:val="28"/>
          <w:szCs w:val="28"/>
        </w:rPr>
        <w:t>Важно также, что четкие причинно-следственные соотношения, отраженные на стратегической карте, позволяют организациям сбалансировано и эффективно обеспечивать поддержку выполнения стратегии. Обычно о деятельности организации судят по итогам финансового анализа, определяющего качество использования материальных активов.</w:t>
      </w:r>
    </w:p>
    <w:p w:rsidR="006A15C4" w:rsidRPr="00842747" w:rsidRDefault="006A15C4" w:rsidP="00842747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2747">
        <w:rPr>
          <w:sz w:val="28"/>
          <w:szCs w:val="28"/>
        </w:rPr>
        <w:t>Причинно-следственные связи, указанные в стратегической карте, наглядно демонстрируют, каким образом нематериальные активы преобразуются в материальные (финансовые) результаты. Материальные активы имеют определенную балансовую стоимость, которая отражается в системах учета. Начальная стоимость нематериальных активов обычно невелика, но их ценность может возрасти в результате использования.</w:t>
      </w: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Результаты формирования причинно-следственной диаграммы объекта исследования приведены на рисунке 4.</w:t>
      </w: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Pr="00CE684D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A15C4" w:rsidRDefault="006A15C4" w:rsidP="00896CD4">
      <w:pPr>
        <w:pStyle w:val="NoSpacing"/>
        <w:spacing w:line="276" w:lineRule="auto"/>
        <w:rPr>
          <w:rFonts w:ascii="Times New Roman" w:hAnsi="Times New Roman"/>
          <w:color w:val="000000"/>
          <w:sz w:val="28"/>
          <w:szCs w:val="28"/>
        </w:rPr>
        <w:sectPr w:rsidR="006A15C4" w:rsidSect="00C1130F">
          <w:headerReference w:type="even" r:id="rId12"/>
          <w:headerReference w:type="default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4018"/>
      </w:tblGrid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783"/>
              <w:gridCol w:w="10204"/>
            </w:tblGrid>
            <w:tr w:rsidR="006A15C4" w:rsidRPr="00CE684D" w:rsidTr="00896CD4">
              <w:tc>
                <w:tcPr>
                  <w:tcW w:w="6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000080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000080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FFFFFF"/>
                      <w:sz w:val="20"/>
                      <w:szCs w:val="20"/>
                      <w:shd w:val="clear" w:color="auto" w:fill="000080"/>
                    </w:rPr>
                    <w:t>Обеспечивает текущее и перспективное планирование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3987"/>
            </w:tblGrid>
            <w:tr w:rsidR="006A15C4" w:rsidRPr="00CE684D" w:rsidTr="00896CD4">
              <w:trPr>
                <w:trHeight w:val="297"/>
              </w:trPr>
              <w:tc>
                <w:tcPr>
                  <w:tcW w:w="21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4439"/>
              <w:gridCol w:w="9548"/>
            </w:tblGrid>
            <w:tr w:rsidR="006A15C4" w:rsidRPr="00CE684D" w:rsidTr="00896CD4">
              <w:tc>
                <w:tcPr>
                  <w:tcW w:w="62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969696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  <w:shd w:val="clear" w:color="auto" w:fill="969696"/>
                    </w:rPr>
                    <w:t>Objectives/CriticalFactors</w:t>
                  </w:r>
                </w:p>
              </w:tc>
              <w:tc>
                <w:tcPr>
                  <w:tcW w:w="159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969696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  <w:shd w:val="clear" w:color="auto" w:fill="969696"/>
                    </w:rPr>
                    <w:t>Вносит предложения по внедрению новых процессов работы с документа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3987"/>
            </w:tblGrid>
            <w:tr w:rsidR="006A15C4" w:rsidRPr="00CE684D" w:rsidTr="00896CD4">
              <w:tc>
                <w:tcPr>
                  <w:tcW w:w="21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132"/>
              <w:gridCol w:w="2727"/>
              <w:gridCol w:w="1551"/>
              <w:gridCol w:w="1628"/>
              <w:gridCol w:w="1513"/>
              <w:gridCol w:w="1770"/>
              <w:gridCol w:w="1666"/>
            </w:tblGrid>
            <w:tr w:rsidR="006A15C4" w:rsidRPr="00CE684D" w:rsidTr="00D80A13"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DCDCDC"/>
                    </w:rPr>
                    <w:t>KeyPerformanceIndicator</w:t>
                  </w:r>
                </w:p>
              </w:tc>
              <w:tc>
                <w:tcPr>
                  <w:tcW w:w="1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sz w:val="20"/>
                      <w:szCs w:val="20"/>
                      <w:shd w:val="clear" w:color="auto" w:fill="DCDCDC"/>
                    </w:rPr>
                    <w:t>Средняя выполняемость работы</w:t>
                  </w:r>
                </w:p>
              </w:tc>
              <w:tc>
                <w:tcPr>
                  <w:tcW w:w="11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Текущий период времени</w:t>
                  </w:r>
                </w:p>
              </w:tc>
              <w:tc>
                <w:tcPr>
                  <w:tcW w:w="11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Плановое значение</w:t>
                  </w:r>
                </w:p>
              </w:tc>
              <w:tc>
                <w:tcPr>
                  <w:tcW w:w="11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Текущее значение</w:t>
                  </w:r>
                </w:p>
              </w:tc>
              <w:tc>
                <w:tcPr>
                  <w:tcW w:w="12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Состояние</w:t>
                  </w:r>
                </w:p>
              </w:tc>
              <w:tc>
                <w:tcPr>
                  <w:tcW w:w="12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Источник данных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913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418"/>
              <w:gridCol w:w="1519"/>
              <w:gridCol w:w="1133"/>
              <w:gridCol w:w="1134"/>
              <w:gridCol w:w="1134"/>
              <w:gridCol w:w="759"/>
              <w:gridCol w:w="2036"/>
            </w:tblGrid>
            <w:tr w:rsidR="006A15C4" w:rsidRPr="00CE684D" w:rsidTr="00896CD4"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shd w:val="clear" w:color="auto" w:fill="DCDCDC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  <w:shd w:val="clear" w:color="auto" w:fill="DCDCDC"/>
                    </w:rPr>
                    <w:t>Разработка юридической</w:t>
                  </w:r>
                </w:p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  <w:shd w:val="clear" w:color="auto" w:fill="DCDCDC"/>
                    </w:rPr>
                    <w:t>документации</w:t>
                  </w:r>
                </w:p>
              </w:tc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  <w:shd w:val="clear" w:color="auto" w:fill="DCDCDC"/>
                    </w:rPr>
                    <w:t>85%</w:t>
                  </w:r>
                </w:p>
              </w:tc>
              <w:tc>
                <w:tcPr>
                  <w:tcW w:w="11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12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12</w:t>
                  </w:r>
                </w:p>
              </w:tc>
              <w:tc>
                <w:tcPr>
                  <w:tcW w:w="7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25%</w:t>
                  </w:r>
                </w:p>
              </w:tc>
              <w:tc>
                <w:tcPr>
                  <w:tcW w:w="2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ИС разработки документов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079"/>
              <w:gridCol w:w="120"/>
              <w:gridCol w:w="7411"/>
              <w:gridCol w:w="3377"/>
            </w:tblGrid>
            <w:tr w:rsidR="006A15C4" w:rsidRPr="00CE684D" w:rsidTr="00896CD4">
              <w:tc>
                <w:tcPr>
                  <w:tcW w:w="20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  <w:shd w:val="clear" w:color="auto" w:fill="DCDCDC"/>
                    </w:rPr>
                    <w:t> Выход</w:t>
                  </w:r>
                </w:p>
              </w:tc>
              <w:tc>
                <w:tcPr>
                  <w:tcW w:w="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  <w:shd w:val="clear" w:color="auto" w:fill="DCDCDC"/>
                    </w:rPr>
                    <w:t> </w:t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Первичные документы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3987"/>
            </w:tblGrid>
            <w:tr w:rsidR="006A15C4" w:rsidRPr="00CE684D" w:rsidTr="00896CD4">
              <w:trPr>
                <w:trHeight w:val="329"/>
              </w:trPr>
              <w:tc>
                <w:tcPr>
                  <w:tcW w:w="21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325"/>
              <w:gridCol w:w="4529"/>
              <w:gridCol w:w="1664"/>
              <w:gridCol w:w="1986"/>
              <w:gridCol w:w="2483"/>
            </w:tblGrid>
            <w:tr w:rsidR="006A15C4" w:rsidRPr="00CE684D" w:rsidTr="00896CD4"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DCDCDC"/>
                    </w:rPr>
                    <w:t>Initiatives</w:t>
                  </w:r>
                </w:p>
              </w:tc>
              <w:tc>
                <w:tcPr>
                  <w:tcW w:w="3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PersonResponsible/Agent</w:t>
                  </w:r>
                </w:p>
              </w:tc>
              <w:tc>
                <w:tcPr>
                  <w:tcW w:w="11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Средние затраты (всего)</w:t>
                  </w:r>
                </w:p>
              </w:tc>
              <w:tc>
                <w:tcPr>
                  <w:tcW w:w="13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Дата начала</w:t>
                  </w:r>
                </w:p>
              </w:tc>
              <w:tc>
                <w:tcPr>
                  <w:tcW w:w="16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Дата завершения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4671"/>
              <w:gridCol w:w="3184"/>
              <w:gridCol w:w="1698"/>
              <w:gridCol w:w="1911"/>
              <w:gridCol w:w="2523"/>
            </w:tblGrid>
            <w:tr w:rsidR="006A15C4" w:rsidRPr="00CE684D" w:rsidTr="00896CD4">
              <w:trPr>
                <w:trHeight w:val="1160"/>
              </w:trPr>
              <w:tc>
                <w:tcPr>
                  <w:tcW w:w="31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  <w:shd w:val="clear" w:color="auto" w:fill="DCDCDC"/>
                    </w:rPr>
                    <w:t>Анализ номенклатуры деталей в зоне ответственности проектов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Организационный отдел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8000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20.06.2013</w:t>
                  </w:r>
                </w:p>
              </w:tc>
              <w:tc>
                <w:tcPr>
                  <w:tcW w:w="16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4688"/>
              <w:gridCol w:w="3167"/>
              <w:gridCol w:w="1698"/>
              <w:gridCol w:w="1911"/>
              <w:gridCol w:w="2523"/>
            </w:tblGrid>
            <w:tr w:rsidR="006A15C4" w:rsidRPr="00CE684D" w:rsidTr="00896CD4">
              <w:tc>
                <w:tcPr>
                  <w:tcW w:w="31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  <w:shd w:val="clear" w:color="auto" w:fill="DCDCDC"/>
                    </w:rPr>
                    <w:t>Предварительное описание работы с документами</w:t>
                  </w:r>
                </w:p>
              </w:tc>
              <w:tc>
                <w:tcPr>
                  <w:tcW w:w="21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Шенявский    Николай </w:t>
                  </w:r>
                </w:p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Николаевич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10500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 20.06.2013</w:t>
                  </w:r>
                </w:p>
              </w:tc>
              <w:tc>
                <w:tcPr>
                  <w:tcW w:w="16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4692"/>
              <w:gridCol w:w="3247"/>
              <w:gridCol w:w="1614"/>
              <w:gridCol w:w="1911"/>
              <w:gridCol w:w="2523"/>
            </w:tblGrid>
            <w:tr w:rsidR="006A15C4" w:rsidRPr="00CE684D" w:rsidTr="00896CD4">
              <w:tc>
                <w:tcPr>
                  <w:tcW w:w="31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  <w:shd w:val="clear" w:color="auto" w:fill="DCDCDC"/>
                    </w:rPr>
                    <w:t>Предварительное нормирование  процесса</w:t>
                  </w:r>
                </w:p>
              </w:tc>
              <w:tc>
                <w:tcPr>
                  <w:tcW w:w="21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Пястолова</w:t>
                  </w:r>
                </w:p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Татьяна </w:t>
                  </w:r>
                </w:p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Анатольевна</w:t>
                  </w:r>
                </w:p>
              </w:tc>
              <w:tc>
                <w:tcPr>
                  <w:tcW w:w="10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11500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 20.06.2013</w:t>
                  </w:r>
                </w:p>
              </w:tc>
              <w:tc>
                <w:tcPr>
                  <w:tcW w:w="16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4671"/>
              <w:gridCol w:w="3185"/>
              <w:gridCol w:w="1697"/>
              <w:gridCol w:w="1911"/>
              <w:gridCol w:w="2523"/>
            </w:tblGrid>
            <w:tr w:rsidR="006A15C4" w:rsidRPr="00CE684D" w:rsidTr="00896CD4">
              <w:tc>
                <w:tcPr>
                  <w:tcW w:w="31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  <w:shd w:val="clear" w:color="auto" w:fill="DCDCDC"/>
                    </w:rPr>
                    <w:t>Формирование групп необходимых деталей и показателей</w:t>
                  </w:r>
                </w:p>
              </w:tc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Колесникова Нина Павловна</w:t>
                  </w:r>
                </w:p>
              </w:tc>
              <w:tc>
                <w:tcPr>
                  <w:tcW w:w="11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9500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  20.06.2013</w:t>
                  </w:r>
                </w:p>
              </w:tc>
              <w:tc>
                <w:tcPr>
                  <w:tcW w:w="16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A15C4" w:rsidRPr="00CE684D" w:rsidRDefault="006A15C4" w:rsidP="00896CD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684D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5C4" w:rsidRPr="00CE684D" w:rsidTr="00896CD4"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5C4" w:rsidRPr="00CE684D" w:rsidRDefault="006A15C4" w:rsidP="00896CD4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A15C4" w:rsidRPr="00CE684D" w:rsidRDefault="006A15C4" w:rsidP="00565F6E">
      <w:pPr>
        <w:pStyle w:val="book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CE684D">
        <w:rPr>
          <w:sz w:val="28"/>
          <w:szCs w:val="28"/>
        </w:rPr>
        <w:t>Рисунок 4 – Причинно-следственная диаграмма</w:t>
      </w:r>
    </w:p>
    <w:p w:rsidR="006A15C4" w:rsidRPr="00CE684D" w:rsidRDefault="006A15C4" w:rsidP="00565F6E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  <w:sectPr w:rsidR="006A15C4" w:rsidRPr="00CE684D" w:rsidSect="00CE684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6A15C4" w:rsidRPr="00350FFD" w:rsidRDefault="006A15C4" w:rsidP="00CE684D">
      <w:pPr>
        <w:pStyle w:val="book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noProof/>
        </w:rPr>
        <w:pict>
          <v:shape id="Рисунок 16" o:spid="_x0000_s1026" type="#_x0000_t75" style="position:absolute;left:0;text-align:left;margin-left:20.8pt;margin-top:99pt;width:434pt;height:534.4pt;z-index:-251658240;visibility:visible" wrapcoords="-73 0 -73 21496 21537 21496 21537 16019 21610 12250 21610 0 -73 0">
            <v:imagedata r:id="rId15" o:title=""/>
            <w10:wrap type="tight"/>
          </v:shape>
        </w:pict>
      </w:r>
      <w:r w:rsidRPr="00350FFD">
        <w:rPr>
          <w:sz w:val="28"/>
          <w:szCs w:val="28"/>
        </w:rPr>
        <w:t>Для каждой цели выявлен набор показателей для оценки степени достижения цели, а также мероприятия, которые необходимо проводить, чтобы достигать поставленных целей. Эт</w:t>
      </w:r>
      <w:r>
        <w:rPr>
          <w:sz w:val="28"/>
          <w:szCs w:val="28"/>
        </w:rPr>
        <w:t>и данные отображены на рисунке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5</w:t>
      </w:r>
      <w:r w:rsidRPr="00350FFD">
        <w:rPr>
          <w:sz w:val="28"/>
          <w:szCs w:val="28"/>
        </w:rPr>
        <w:t>.</w:t>
      </w:r>
    </w:p>
    <w:p w:rsidR="006A15C4" w:rsidRPr="00350FFD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A15C4" w:rsidRPr="00350FFD" w:rsidRDefault="006A15C4" w:rsidP="00350FFD">
      <w:pPr>
        <w:pStyle w:val="book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5 – </w:t>
      </w:r>
      <w:r w:rsidRPr="00350FFD">
        <w:rPr>
          <w:sz w:val="28"/>
          <w:szCs w:val="28"/>
        </w:rPr>
        <w:t>Карта стратегии юридического отдела металлурги</w:t>
      </w:r>
      <w:r>
        <w:rPr>
          <w:sz w:val="28"/>
          <w:szCs w:val="28"/>
        </w:rPr>
        <w:t>ческого завода Абинского района</w:t>
      </w:r>
    </w:p>
    <w:p w:rsidR="006A15C4" w:rsidRPr="00350FFD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50FFD">
        <w:rPr>
          <w:sz w:val="28"/>
          <w:szCs w:val="28"/>
        </w:rPr>
        <w:t>Сила влияния мероприятия на достижение цели определяет важность проведения данного мероприятия для достижения целей.</w:t>
      </w:r>
    </w:p>
    <w:p w:rsidR="006A15C4" w:rsidRPr="00350FFD" w:rsidRDefault="006A15C4" w:rsidP="00350FFD">
      <w:pPr>
        <w:pStyle w:val="book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F432E3">
        <w:rPr>
          <w:noProof/>
          <w:sz w:val="28"/>
          <w:szCs w:val="28"/>
        </w:rPr>
        <w:pict>
          <v:shape id="Рисунок 14" o:spid="_x0000_i1028" type="#_x0000_t75" style="width:460.2pt;height:282.6pt;visibility:visible">
            <v:imagedata r:id="rId16" o:title=""/>
          </v:shape>
        </w:pict>
      </w: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6 – </w:t>
      </w:r>
      <w:r w:rsidRPr="00350FFD">
        <w:rPr>
          <w:sz w:val="28"/>
          <w:szCs w:val="28"/>
        </w:rPr>
        <w:t>Карта стратегии (вложенная модель стратегической цели) юридического отдела металлурги</w:t>
      </w:r>
      <w:r>
        <w:rPr>
          <w:sz w:val="28"/>
          <w:szCs w:val="28"/>
        </w:rPr>
        <w:t>ческого завода Абинского района</w:t>
      </w:r>
    </w:p>
    <w:p w:rsidR="006A15C4" w:rsidRPr="003A021A" w:rsidRDefault="006A15C4" w:rsidP="00D80A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1A">
        <w:rPr>
          <w:rFonts w:ascii="Times New Roman" w:hAnsi="Times New Roman"/>
          <w:sz w:val="28"/>
          <w:szCs w:val="28"/>
        </w:rPr>
        <w:t xml:space="preserve">По результатам </w:t>
      </w:r>
      <w:r>
        <w:rPr>
          <w:rFonts w:ascii="Times New Roman" w:hAnsi="Times New Roman"/>
          <w:sz w:val="28"/>
          <w:szCs w:val="28"/>
        </w:rPr>
        <w:t>разработки карты стратегии</w:t>
      </w:r>
      <w:r w:rsidRPr="003A021A">
        <w:rPr>
          <w:rFonts w:ascii="Times New Roman" w:hAnsi="Times New Roman"/>
          <w:sz w:val="28"/>
          <w:szCs w:val="28"/>
        </w:rPr>
        <w:t xml:space="preserve"> юридического отдела можно сделать выводы:</w:t>
      </w:r>
    </w:p>
    <w:p w:rsidR="006A15C4" w:rsidRPr="003A021A" w:rsidRDefault="006A15C4" w:rsidP="00D80A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1A">
        <w:rPr>
          <w:rFonts w:ascii="Times New Roman" w:hAnsi="Times New Roman"/>
          <w:sz w:val="28"/>
          <w:szCs w:val="28"/>
        </w:rPr>
        <w:t>- в юридическом отделе стоит повысить качество и скорость выполняемой работы при рассмотрении договора, а конкретнее при составлении договора, что было выяснено при выявлении недостатков и «узких мест» методом имитационного моделирования;</w:t>
      </w:r>
    </w:p>
    <w:p w:rsidR="006A15C4" w:rsidRPr="00D80A13" w:rsidRDefault="006A15C4" w:rsidP="00D80A1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A021A">
        <w:rPr>
          <w:rFonts w:ascii="Times New Roman" w:hAnsi="Times New Roman"/>
          <w:sz w:val="28"/>
          <w:szCs w:val="28"/>
        </w:rPr>
        <w:t xml:space="preserve">- необходимо обеспечить </w:t>
      </w:r>
      <w:r w:rsidRPr="00D80A13">
        <w:rPr>
          <w:rFonts w:ascii="Times New Roman" w:hAnsi="Times New Roman"/>
          <w:bCs/>
          <w:sz w:val="28"/>
          <w:szCs w:val="28"/>
        </w:rPr>
        <w:t>рост профессионализма сотрудников подотдела по работе с документами, а также организационного подотдела путем организации курсов по повышению профессионализма сотрудников в направлениях: ускорение набора текста; улучшения навыков работы с Microsoft office.</w:t>
      </w:r>
    </w:p>
    <w:p w:rsidR="006A15C4" w:rsidRPr="00803A21" w:rsidRDefault="006A15C4" w:rsidP="00803A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3A21">
        <w:rPr>
          <w:rFonts w:ascii="Times New Roman" w:hAnsi="Times New Roman"/>
          <w:sz w:val="28"/>
          <w:szCs w:val="28"/>
        </w:rPr>
        <w:t>Разработка стратегии предприятия на основе комплексного изучения и построения стратегической карты организации с помощью различных методов оценки конкурентных преимуществ, стратегических факторов внешней и внутренней среды – важное условие эффективного функционирования и развития любого предприятия в долгосрочной перспективе.</w:t>
      </w:r>
    </w:p>
    <w:p w:rsidR="006A15C4" w:rsidRPr="00350FFD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575AD">
        <w:rPr>
          <w:sz w:val="28"/>
          <w:szCs w:val="28"/>
        </w:rPr>
        <w:t xml:space="preserve">На основании результатов всестороннего анализа </w:t>
      </w:r>
      <w:r>
        <w:rPr>
          <w:sz w:val="28"/>
          <w:szCs w:val="28"/>
        </w:rPr>
        <w:t>предприятия</w:t>
      </w:r>
      <w:r w:rsidRPr="006575AD">
        <w:rPr>
          <w:sz w:val="28"/>
          <w:szCs w:val="28"/>
        </w:rPr>
        <w:t xml:space="preserve"> и выявленных при этом недостатков на основе метода сбалансированной системы показателей разработана стратегия</w:t>
      </w:r>
      <w:r>
        <w:rPr>
          <w:sz w:val="28"/>
          <w:szCs w:val="28"/>
        </w:rPr>
        <w:t xml:space="preserve"> юридического отдела </w:t>
      </w:r>
      <w:r w:rsidRPr="00350FFD">
        <w:rPr>
          <w:sz w:val="28"/>
          <w:szCs w:val="28"/>
        </w:rPr>
        <w:t>металлурги</w:t>
      </w:r>
      <w:r>
        <w:rPr>
          <w:sz w:val="28"/>
          <w:szCs w:val="28"/>
        </w:rPr>
        <w:t>ческого завода Абинского района – повышение качества юридического обслуживания предприятия.</w:t>
      </w:r>
    </w:p>
    <w:p w:rsidR="006A15C4" w:rsidRDefault="006A15C4" w:rsidP="00350FFD">
      <w:pPr>
        <w:pStyle w:val="book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A15C4" w:rsidRDefault="006A15C4" w:rsidP="00CE68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CE684D">
        <w:rPr>
          <w:rFonts w:ascii="Times New Roman" w:hAnsi="Times New Roman"/>
          <w:b/>
          <w:bCs/>
          <w:sz w:val="24"/>
          <w:szCs w:val="24"/>
        </w:rPr>
        <w:t>Литература</w:t>
      </w:r>
    </w:p>
    <w:p w:rsidR="006A15C4" w:rsidRPr="00CE684D" w:rsidRDefault="006A15C4" w:rsidP="00CE68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A15C4" w:rsidRPr="00CE684D" w:rsidRDefault="006A15C4" w:rsidP="00CE684D">
      <w:pPr>
        <w:pStyle w:val="book"/>
        <w:numPr>
          <w:ilvl w:val="0"/>
          <w:numId w:val="12"/>
        </w:numPr>
        <w:spacing w:before="0" w:beforeAutospacing="0" w:after="0" w:afterAutospacing="0" w:line="360" w:lineRule="auto"/>
        <w:ind w:left="0" w:firstLine="0"/>
        <w:rPr>
          <w:lang w:eastAsia="en-US"/>
        </w:rPr>
      </w:pPr>
      <w:r w:rsidRPr="00CE684D">
        <w:rPr>
          <w:lang w:eastAsia="en-US"/>
        </w:rPr>
        <w:t>Шеер А.В. ARIS — моделирование бизнес-процессов. — М.: Вильямс, 2008. — 224с.</w:t>
      </w:r>
    </w:p>
    <w:p w:rsidR="006A15C4" w:rsidRPr="00CE684D" w:rsidRDefault="006A15C4" w:rsidP="00CE684D">
      <w:pPr>
        <w:pStyle w:val="book"/>
        <w:numPr>
          <w:ilvl w:val="0"/>
          <w:numId w:val="12"/>
        </w:numPr>
        <w:spacing w:before="0" w:beforeAutospacing="0" w:after="0" w:afterAutospacing="0" w:line="360" w:lineRule="auto"/>
        <w:ind w:left="0" w:firstLine="0"/>
        <w:rPr>
          <w:lang w:eastAsia="en-US"/>
        </w:rPr>
      </w:pPr>
      <w:r w:rsidRPr="00CE684D">
        <w:rPr>
          <w:lang w:eastAsia="en-US"/>
        </w:rPr>
        <w:t>Ильин В.В. Моделирование бизнес-процессов. Практическое использование ARIS. — М.:  Вильямс, 2006. — 176с.</w:t>
      </w:r>
    </w:p>
    <w:p w:rsidR="006A15C4" w:rsidRPr="00CE684D" w:rsidRDefault="006A15C4" w:rsidP="00CE684D">
      <w:pPr>
        <w:pStyle w:val="book"/>
        <w:numPr>
          <w:ilvl w:val="0"/>
          <w:numId w:val="12"/>
        </w:numPr>
        <w:spacing w:before="0" w:beforeAutospacing="0" w:after="0" w:afterAutospacing="0" w:line="360" w:lineRule="auto"/>
        <w:ind w:left="0" w:firstLine="0"/>
      </w:pPr>
      <w:r w:rsidRPr="00CE684D">
        <w:rPr>
          <w:lang w:eastAsia="en-US"/>
        </w:rPr>
        <w:t xml:space="preserve">Яхонтова И.М., Яхонтов С.А. Моделирование и реинжиниринг бизнес-процессов в </w:t>
      </w:r>
      <w:r w:rsidRPr="00CE684D">
        <w:rPr>
          <w:lang w:val="en-US" w:eastAsia="en-US"/>
        </w:rPr>
        <w:t>ARIS</w:t>
      </w:r>
      <w:r w:rsidRPr="00CE684D">
        <w:rPr>
          <w:lang w:eastAsia="en-US"/>
        </w:rPr>
        <w:t xml:space="preserve"> 6.2: учебно-методическое пособие. Краснодар: КубГАУ, 2011.</w:t>
      </w:r>
    </w:p>
    <w:p w:rsidR="006A15C4" w:rsidRPr="00CE684D" w:rsidRDefault="006A15C4" w:rsidP="00CE684D">
      <w:pPr>
        <w:pStyle w:val="book"/>
        <w:spacing w:after="0" w:line="360" w:lineRule="auto"/>
        <w:rPr>
          <w:b/>
          <w:lang w:val="en-US"/>
        </w:rPr>
      </w:pPr>
      <w:r>
        <w:rPr>
          <w:b/>
          <w:lang w:val="en-US"/>
        </w:rPr>
        <w:t>References</w:t>
      </w:r>
    </w:p>
    <w:p w:rsidR="006A15C4" w:rsidRPr="00CE684D" w:rsidRDefault="006A15C4" w:rsidP="00CE684D">
      <w:pPr>
        <w:pStyle w:val="book"/>
        <w:spacing w:after="0"/>
        <w:rPr>
          <w:lang w:val="en-US"/>
        </w:rPr>
      </w:pPr>
      <w:r w:rsidRPr="00CE684D">
        <w:rPr>
          <w:lang w:val="en-US"/>
        </w:rPr>
        <w:t>1.</w:t>
      </w:r>
      <w:r w:rsidRPr="00CE684D">
        <w:rPr>
          <w:lang w:val="en-US"/>
        </w:rPr>
        <w:tab/>
        <w:t>Sheer A.V. ARIS — modelirovanie</w:t>
      </w:r>
      <w:r>
        <w:rPr>
          <w:lang w:val="en-US"/>
        </w:rPr>
        <w:t xml:space="preserve"> </w:t>
      </w:r>
      <w:r w:rsidRPr="00CE684D">
        <w:rPr>
          <w:lang w:val="en-US"/>
        </w:rPr>
        <w:t>biznes-processov. — M.: Vil'jams, 2008. — 224s.</w:t>
      </w:r>
    </w:p>
    <w:p w:rsidR="006A15C4" w:rsidRPr="00CE684D" w:rsidRDefault="006A15C4" w:rsidP="00CE684D">
      <w:pPr>
        <w:pStyle w:val="book"/>
        <w:spacing w:after="0"/>
        <w:rPr>
          <w:lang w:val="en-US"/>
        </w:rPr>
      </w:pPr>
      <w:r w:rsidRPr="00CE684D">
        <w:rPr>
          <w:lang w:val="en-US"/>
        </w:rPr>
        <w:t>2.</w:t>
      </w:r>
      <w:r w:rsidRPr="00CE684D">
        <w:rPr>
          <w:lang w:val="en-US"/>
        </w:rPr>
        <w:tab/>
        <w:t>Il'in V.V. Modelirovanie</w:t>
      </w:r>
      <w:r>
        <w:rPr>
          <w:lang w:val="en-US"/>
        </w:rPr>
        <w:t xml:space="preserve"> </w:t>
      </w:r>
      <w:r w:rsidRPr="00CE684D">
        <w:rPr>
          <w:lang w:val="en-US"/>
        </w:rPr>
        <w:t>biznes-processov. Prakticheskoe</w:t>
      </w:r>
      <w:r>
        <w:rPr>
          <w:lang w:val="en-US"/>
        </w:rPr>
        <w:t xml:space="preserve"> </w:t>
      </w:r>
      <w:r w:rsidRPr="00CE684D">
        <w:rPr>
          <w:lang w:val="en-US"/>
        </w:rPr>
        <w:t>ispol'zovanie ARIS. — M.:  Vil'jams, 2006. — 176s.</w:t>
      </w:r>
    </w:p>
    <w:p w:rsidR="006A15C4" w:rsidRPr="00CE684D" w:rsidRDefault="006A15C4" w:rsidP="00CE684D">
      <w:pPr>
        <w:pStyle w:val="book"/>
        <w:spacing w:before="0" w:beforeAutospacing="0" w:after="0" w:afterAutospacing="0"/>
        <w:rPr>
          <w:lang w:val="en-US"/>
        </w:rPr>
      </w:pPr>
      <w:r w:rsidRPr="00CE684D">
        <w:rPr>
          <w:lang w:val="en-US"/>
        </w:rPr>
        <w:t>3.</w:t>
      </w:r>
      <w:r w:rsidRPr="00CE684D">
        <w:rPr>
          <w:lang w:val="en-US"/>
        </w:rPr>
        <w:tab/>
        <w:t>Jahontova I.M., Jahontov S.A. Modelirovaniei</w:t>
      </w:r>
      <w:r>
        <w:rPr>
          <w:lang w:val="en-US"/>
        </w:rPr>
        <w:t xml:space="preserve"> </w:t>
      </w:r>
      <w:r w:rsidRPr="00CE684D">
        <w:rPr>
          <w:lang w:val="en-US"/>
        </w:rPr>
        <w:t>reinzhiniring</w:t>
      </w:r>
      <w:r>
        <w:rPr>
          <w:lang w:val="en-US"/>
        </w:rPr>
        <w:t xml:space="preserve"> </w:t>
      </w:r>
      <w:r w:rsidRPr="00CE684D">
        <w:rPr>
          <w:lang w:val="en-US"/>
        </w:rPr>
        <w:t>biznes-processov v ARIS 6.2: uchebno-metodicheskoe</w:t>
      </w:r>
      <w:r>
        <w:rPr>
          <w:lang w:val="en-US"/>
        </w:rPr>
        <w:t xml:space="preserve"> </w:t>
      </w:r>
      <w:r w:rsidRPr="00CE684D">
        <w:rPr>
          <w:lang w:val="en-US"/>
        </w:rPr>
        <w:t>posobie. Krasnodar: KubGAU, 2011.</w:t>
      </w:r>
    </w:p>
    <w:sectPr w:rsidR="006A15C4" w:rsidRPr="00CE684D" w:rsidSect="00C1130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5C4" w:rsidRDefault="006A15C4">
      <w:r>
        <w:separator/>
      </w:r>
    </w:p>
  </w:endnote>
  <w:endnote w:type="continuationSeparator" w:id="1">
    <w:p w:rsidR="006A15C4" w:rsidRDefault="006A1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5C4" w:rsidRDefault="006A15C4">
    <w:pPr>
      <w:pStyle w:val="Footer"/>
    </w:pPr>
    <w:r w:rsidRPr="00511D08">
      <w:rPr>
        <w:rFonts w:ascii="Times New Roman" w:hAnsi="Times New Roman"/>
        <w:sz w:val="24"/>
        <w:szCs w:val="24"/>
      </w:rPr>
      <w:t>http://ej.kubagro.ru/2013/10/pdf/</w:t>
    </w:r>
    <w:r>
      <w:rPr>
        <w:rFonts w:ascii="Times New Roman" w:hAnsi="Times New Roman"/>
        <w:sz w:val="24"/>
        <w:szCs w:val="24"/>
        <w:lang w:val="en-US"/>
      </w:rPr>
      <w:t>37</w:t>
    </w:r>
    <w:r w:rsidRPr="00511D0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5C4" w:rsidRDefault="006A15C4">
      <w:r>
        <w:separator/>
      </w:r>
    </w:p>
  </w:footnote>
  <w:footnote w:type="continuationSeparator" w:id="1">
    <w:p w:rsidR="006A15C4" w:rsidRDefault="006A15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5C4" w:rsidRDefault="006A15C4" w:rsidP="007309D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15C4" w:rsidRDefault="006A15C4" w:rsidP="00C1130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5C4" w:rsidRPr="00C1130F" w:rsidRDefault="006A15C4" w:rsidP="007309D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1130F">
      <w:rPr>
        <w:rStyle w:val="PageNumber"/>
        <w:rFonts w:ascii="Times New Roman" w:hAnsi="Times New Roman"/>
        <w:sz w:val="28"/>
        <w:szCs w:val="28"/>
      </w:rPr>
      <w:fldChar w:fldCharType="begin"/>
    </w:r>
    <w:r w:rsidRPr="00C1130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1130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C1130F">
      <w:rPr>
        <w:rStyle w:val="PageNumber"/>
        <w:rFonts w:ascii="Times New Roman" w:hAnsi="Times New Roman"/>
        <w:sz w:val="28"/>
        <w:szCs w:val="28"/>
      </w:rPr>
      <w:fldChar w:fldCharType="end"/>
    </w:r>
  </w:p>
  <w:p w:rsidR="006A15C4" w:rsidRDefault="006A15C4" w:rsidP="00C1130F">
    <w:pPr>
      <w:pStyle w:val="Header"/>
      <w:ind w:left="-180" w:right="360"/>
    </w:pPr>
    <w:r w:rsidRPr="00282EEC">
      <w:rPr>
        <w:rFonts w:ascii="Times New Roman" w:hAnsi="Times New Roman"/>
        <w:sz w:val="24"/>
        <w:szCs w:val="24"/>
      </w:rPr>
      <w:t>Научный журнал КубГАУ, №94(10),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02FE7"/>
    <w:multiLevelType w:val="hybridMultilevel"/>
    <w:tmpl w:val="E1A4CA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4F44BF"/>
    <w:multiLevelType w:val="hybridMultilevel"/>
    <w:tmpl w:val="4816E98C"/>
    <w:lvl w:ilvl="0" w:tplc="EFD445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75CC3"/>
    <w:multiLevelType w:val="hybridMultilevel"/>
    <w:tmpl w:val="EC9C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25510"/>
    <w:multiLevelType w:val="hybridMultilevel"/>
    <w:tmpl w:val="F8686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726A89"/>
    <w:multiLevelType w:val="hybridMultilevel"/>
    <w:tmpl w:val="AEA805B0"/>
    <w:lvl w:ilvl="0" w:tplc="EFD445A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213361"/>
    <w:multiLevelType w:val="hybridMultilevel"/>
    <w:tmpl w:val="A0545842"/>
    <w:lvl w:ilvl="0" w:tplc="EFD445A8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5B546D2B"/>
    <w:multiLevelType w:val="hybridMultilevel"/>
    <w:tmpl w:val="D78EE8CA"/>
    <w:lvl w:ilvl="0" w:tplc="EFD445A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76D0026"/>
    <w:multiLevelType w:val="hybridMultilevel"/>
    <w:tmpl w:val="B946618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6EEA64E4"/>
    <w:multiLevelType w:val="hybridMultilevel"/>
    <w:tmpl w:val="8A94B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5F80DA2"/>
    <w:multiLevelType w:val="hybridMultilevel"/>
    <w:tmpl w:val="5F687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F26EE3"/>
    <w:multiLevelType w:val="hybridMultilevel"/>
    <w:tmpl w:val="89004A04"/>
    <w:lvl w:ilvl="0" w:tplc="EFD445A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AA55C3F"/>
    <w:multiLevelType w:val="hybridMultilevel"/>
    <w:tmpl w:val="467E9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11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0F89"/>
    <w:rsid w:val="00005B32"/>
    <w:rsid w:val="0000791C"/>
    <w:rsid w:val="000B4632"/>
    <w:rsid w:val="000C33A9"/>
    <w:rsid w:val="000D0F89"/>
    <w:rsid w:val="000D794C"/>
    <w:rsid w:val="001323A5"/>
    <w:rsid w:val="00164F48"/>
    <w:rsid w:val="001D0290"/>
    <w:rsid w:val="00282EEC"/>
    <w:rsid w:val="00300B6A"/>
    <w:rsid w:val="00350FFD"/>
    <w:rsid w:val="00352AC8"/>
    <w:rsid w:val="003A021A"/>
    <w:rsid w:val="003E2D63"/>
    <w:rsid w:val="00427DE0"/>
    <w:rsid w:val="004F4374"/>
    <w:rsid w:val="00511D08"/>
    <w:rsid w:val="005468EE"/>
    <w:rsid w:val="00565F6E"/>
    <w:rsid w:val="0063660C"/>
    <w:rsid w:val="006575AD"/>
    <w:rsid w:val="006975D6"/>
    <w:rsid w:val="006A15C4"/>
    <w:rsid w:val="00712857"/>
    <w:rsid w:val="007309DD"/>
    <w:rsid w:val="00783A14"/>
    <w:rsid w:val="007C34A2"/>
    <w:rsid w:val="00803A21"/>
    <w:rsid w:val="00822438"/>
    <w:rsid w:val="00842747"/>
    <w:rsid w:val="00896CD4"/>
    <w:rsid w:val="00975A5C"/>
    <w:rsid w:val="00A60165"/>
    <w:rsid w:val="00A90573"/>
    <w:rsid w:val="00AB2E05"/>
    <w:rsid w:val="00AE35E8"/>
    <w:rsid w:val="00AF756F"/>
    <w:rsid w:val="00B133DF"/>
    <w:rsid w:val="00B90009"/>
    <w:rsid w:val="00C1130F"/>
    <w:rsid w:val="00C7737B"/>
    <w:rsid w:val="00CD3D8D"/>
    <w:rsid w:val="00CE684D"/>
    <w:rsid w:val="00D41BC7"/>
    <w:rsid w:val="00D80A13"/>
    <w:rsid w:val="00DF0DF4"/>
    <w:rsid w:val="00EB6F44"/>
    <w:rsid w:val="00F06AD0"/>
    <w:rsid w:val="00F432E3"/>
    <w:rsid w:val="00F724EB"/>
    <w:rsid w:val="00FF5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DF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F0D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C34A2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0DF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C34A2"/>
    <w:rPr>
      <w:rFonts w:ascii="Cambria" w:hAnsi="Cambria" w:cs="Times New Roman"/>
      <w:i/>
      <w:iCs/>
      <w:color w:val="404040"/>
      <w:sz w:val="20"/>
      <w:szCs w:val="20"/>
    </w:rPr>
  </w:style>
  <w:style w:type="paragraph" w:styleId="NoSpacing">
    <w:name w:val="No Spacing"/>
    <w:uiPriority w:val="99"/>
    <w:qFormat/>
    <w:rsid w:val="00DF0DF4"/>
    <w:rPr>
      <w:lang w:eastAsia="en-US"/>
    </w:rPr>
  </w:style>
  <w:style w:type="paragraph" w:styleId="NormalWeb">
    <w:name w:val="Normal (Web)"/>
    <w:basedOn w:val="Normal"/>
    <w:uiPriority w:val="99"/>
    <w:rsid w:val="00DF0D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atyablue21">
    <w:name w:val="statya_blue21"/>
    <w:basedOn w:val="DefaultParagraphFont"/>
    <w:uiPriority w:val="99"/>
    <w:rsid w:val="00DF0DF4"/>
    <w:rPr>
      <w:rFonts w:cs="Times New Roman"/>
      <w:b/>
      <w:bCs/>
      <w:color w:val="003366"/>
      <w:sz w:val="24"/>
      <w:szCs w:val="24"/>
      <w:bdr w:val="single" w:sz="2" w:space="0" w:color="FFFFFF" w:frame="1"/>
    </w:rPr>
  </w:style>
  <w:style w:type="paragraph" w:styleId="BalloonText">
    <w:name w:val="Balloon Text"/>
    <w:basedOn w:val="Normal"/>
    <w:link w:val="BalloonTextChar"/>
    <w:uiPriority w:val="99"/>
    <w:semiHidden/>
    <w:rsid w:val="00DF0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0DF4"/>
    <w:rPr>
      <w:rFonts w:ascii="Tahoma" w:hAnsi="Tahoma" w:cs="Tahoma"/>
      <w:sz w:val="16"/>
      <w:szCs w:val="16"/>
    </w:rPr>
  </w:style>
  <w:style w:type="character" w:customStyle="1" w:styleId="StrongEmphasis">
    <w:name w:val="Strong Emphasis"/>
    <w:uiPriority w:val="99"/>
    <w:rsid w:val="00DF0DF4"/>
    <w:rPr>
      <w:b/>
    </w:rPr>
  </w:style>
  <w:style w:type="character" w:styleId="Hyperlink">
    <w:name w:val="Hyperlink"/>
    <w:basedOn w:val="DefaultParagraphFont"/>
    <w:uiPriority w:val="99"/>
    <w:rsid w:val="00350FFD"/>
    <w:rPr>
      <w:rFonts w:cs="Times New Roman"/>
      <w:color w:val="0000FF"/>
      <w:u w:val="single"/>
    </w:rPr>
  </w:style>
  <w:style w:type="paragraph" w:customStyle="1" w:styleId="book">
    <w:name w:val="book"/>
    <w:basedOn w:val="Normal"/>
    <w:uiPriority w:val="99"/>
    <w:rsid w:val="00350F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B6F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1130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7FF3"/>
    <w:rPr>
      <w:lang w:eastAsia="en-US"/>
    </w:rPr>
  </w:style>
  <w:style w:type="paragraph" w:styleId="Footer">
    <w:name w:val="footer"/>
    <w:basedOn w:val="Normal"/>
    <w:link w:val="FooterChar"/>
    <w:uiPriority w:val="99"/>
    <w:rsid w:val="00C113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7FF3"/>
    <w:rPr>
      <w:lang w:eastAsia="en-US"/>
    </w:rPr>
  </w:style>
  <w:style w:type="character" w:styleId="PageNumber">
    <w:name w:val="page number"/>
    <w:basedOn w:val="DefaultParagraphFont"/>
    <w:uiPriority w:val="99"/>
    <w:rsid w:val="00C113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80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su007@mail.ru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rishka77@yandex.ru" TargetMode="Externa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12</Pages>
  <Words>2010</Words>
  <Characters>11458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admin</cp:lastModifiedBy>
  <cp:revision>23</cp:revision>
  <cp:lastPrinted>2013-07-11T10:15:00Z</cp:lastPrinted>
  <dcterms:created xsi:type="dcterms:W3CDTF">2013-07-09T09:29:00Z</dcterms:created>
  <dcterms:modified xsi:type="dcterms:W3CDTF">2013-12-15T18:43:00Z</dcterms:modified>
</cp:coreProperties>
</file>