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8"/>
        <w:gridCol w:w="4638"/>
      </w:tblGrid>
      <w:tr w:rsidR="00C72D9C" w:rsidRPr="00D50FBD" w:rsidTr="009143C3">
        <w:tc>
          <w:tcPr>
            <w:tcW w:w="4648" w:type="dxa"/>
          </w:tcPr>
          <w:p w:rsidR="00C72D9C" w:rsidRPr="00D50FBD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FBD">
              <w:rPr>
                <w:rFonts w:ascii="Times New Roman" w:hAnsi="Times New Roman"/>
                <w:sz w:val="20"/>
                <w:szCs w:val="20"/>
              </w:rPr>
              <w:t>УДК 336.5.02</w:t>
            </w:r>
          </w:p>
        </w:tc>
        <w:tc>
          <w:tcPr>
            <w:tcW w:w="4638" w:type="dxa"/>
          </w:tcPr>
          <w:p w:rsidR="00C72D9C" w:rsidRPr="00D50FBD" w:rsidRDefault="00C72D9C" w:rsidP="00D50FBD">
            <w:pPr>
              <w:spacing w:after="0" w:line="240" w:lineRule="auto"/>
              <w:rPr>
                <w:rFonts w:ascii="Bodoni MT Black" w:hAnsi="Bodoni MT Black"/>
                <w:lang w:val="en-US"/>
              </w:rPr>
            </w:pPr>
            <w:r w:rsidRPr="00D50FBD">
              <w:rPr>
                <w:rFonts w:ascii="Times New Roman" w:hAnsi="Times New Roman"/>
                <w:sz w:val="20"/>
                <w:szCs w:val="20"/>
              </w:rPr>
              <w:t>UDK 336.5.02</w:t>
            </w:r>
          </w:p>
        </w:tc>
      </w:tr>
      <w:tr w:rsidR="00C72D9C" w:rsidRPr="000A5222" w:rsidTr="009143C3">
        <w:tc>
          <w:tcPr>
            <w:tcW w:w="464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38" w:type="dxa"/>
          </w:tcPr>
          <w:p w:rsidR="00C72D9C" w:rsidRPr="000A5222" w:rsidRDefault="00C72D9C" w:rsidP="00D50FBD">
            <w:pPr>
              <w:spacing w:after="0" w:line="240" w:lineRule="auto"/>
            </w:pPr>
          </w:p>
        </w:tc>
      </w:tr>
      <w:tr w:rsidR="00C72D9C" w:rsidRPr="0068010D" w:rsidTr="009143C3">
        <w:tc>
          <w:tcPr>
            <w:tcW w:w="4648" w:type="dxa"/>
          </w:tcPr>
          <w:p w:rsidR="00C72D9C" w:rsidRPr="00D50FBD" w:rsidRDefault="00C72D9C" w:rsidP="00D50F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50FBD">
              <w:rPr>
                <w:rFonts w:ascii="Times New Roman" w:hAnsi="Times New Roman"/>
                <w:b/>
                <w:sz w:val="20"/>
                <w:szCs w:val="20"/>
              </w:rPr>
              <w:t>СТРАТЕГИЯ ОПТИМИЗАЦИИ И ПОВЫШЕНИЯ ЭФФЕКТИВНОСТИ БЮДЖЕТНЫХ РАСХОДОВ КАК СОСТАВНАЯ ЧАСТЬ БЮДЖЕТНОЙ СТРАТЕГИИ РЕГИОНА</w:t>
            </w:r>
          </w:p>
        </w:tc>
        <w:tc>
          <w:tcPr>
            <w:tcW w:w="4638" w:type="dxa"/>
          </w:tcPr>
          <w:p w:rsidR="00C72D9C" w:rsidRPr="00D50FBD" w:rsidRDefault="00C72D9C" w:rsidP="00D50F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50FB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STRATEGY OF OPTIMIZATION AND INCREASE EFFICIENCY OF BUDGETED EXPENDITURES AS PART OF REGIONAL BUDGET STRATEGY </w:t>
            </w:r>
          </w:p>
        </w:tc>
      </w:tr>
      <w:tr w:rsidR="00C72D9C" w:rsidRPr="0068010D" w:rsidTr="009143C3">
        <w:tc>
          <w:tcPr>
            <w:tcW w:w="464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2D9C" w:rsidRPr="0068010D" w:rsidTr="009143C3">
        <w:tc>
          <w:tcPr>
            <w:tcW w:w="4648" w:type="dxa"/>
          </w:tcPr>
          <w:p w:rsidR="00C72D9C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5222">
              <w:rPr>
                <w:rFonts w:ascii="Times New Roman" w:hAnsi="Times New Roman"/>
                <w:sz w:val="20"/>
                <w:szCs w:val="20"/>
              </w:rPr>
              <w:t>Старикова Татьяна Владимировна</w:t>
            </w:r>
          </w:p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222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38" w:type="dxa"/>
          </w:tcPr>
          <w:p w:rsidR="00C72D9C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Tatiana Vladimirovna Starikova</w:t>
            </w:r>
          </w:p>
          <w:p w:rsidR="00C72D9C" w:rsidRPr="0068010D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 w:rsidRPr="0068010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Econ.Sci.</w:t>
            </w:r>
            <w:r w:rsidRPr="006801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ssociate</w:t>
            </w:r>
            <w:r w:rsidRPr="006801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C72D9C" w:rsidRPr="0068010D" w:rsidTr="009143C3">
        <w:tc>
          <w:tcPr>
            <w:tcW w:w="4648" w:type="dxa"/>
          </w:tcPr>
          <w:p w:rsidR="00C72D9C" w:rsidRPr="00912D7D" w:rsidRDefault="00C72D9C" w:rsidP="00D50F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12D7D">
              <w:rPr>
                <w:rFonts w:ascii="Times New Roman" w:hAnsi="Times New Roman"/>
                <w:i/>
                <w:sz w:val="20"/>
                <w:szCs w:val="20"/>
              </w:rPr>
              <w:t>Российская академия народного хозяйства и государственной службы при Президенте Российской Федерации, Владимирский филиал, Владимир, Россия</w:t>
            </w:r>
          </w:p>
        </w:tc>
        <w:tc>
          <w:tcPr>
            <w:tcW w:w="4638" w:type="dxa"/>
          </w:tcPr>
          <w:p w:rsidR="00C72D9C" w:rsidRPr="00912D7D" w:rsidRDefault="00C72D9C" w:rsidP="00D50F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12D7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Russian academy of national economy and public administration under the President of Russian Federation,  Vladimir’s branch, Russia, </w:t>
            </w:r>
            <w:smartTag w:uri="urn:schemas-microsoft-com:office:smarttags" w:element="place">
              <w:smartTag w:uri="urn:schemas-microsoft-com:office:smarttags" w:element="City">
                <w:r w:rsidRPr="00912D7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Vladimir</w:t>
                </w:r>
              </w:smartTag>
            </w:smartTag>
            <w:r w:rsidRPr="00912D7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city</w:t>
            </w:r>
          </w:p>
        </w:tc>
      </w:tr>
      <w:tr w:rsidR="00C72D9C" w:rsidRPr="009143C3" w:rsidTr="009143C3">
        <w:tc>
          <w:tcPr>
            <w:tcW w:w="4648" w:type="dxa"/>
          </w:tcPr>
          <w:p w:rsidR="00C72D9C" w:rsidRPr="009143C3" w:rsidRDefault="00C72D9C" w:rsidP="00D50F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143C3">
              <w:rPr>
                <w:rFonts w:ascii="Times New Roman" w:hAnsi="Times New Roman"/>
                <w:i/>
                <w:sz w:val="20"/>
                <w:szCs w:val="20"/>
              </w:rPr>
              <w:t xml:space="preserve">600000, Владимир, ул. Горького, д.59 «А», тел. (4922) 32-22-62, факс (4922) 53-28-57, </w:t>
            </w:r>
            <w:r w:rsidRPr="009143C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startv008@rambler.ru</w:t>
            </w:r>
          </w:p>
        </w:tc>
        <w:tc>
          <w:tcPr>
            <w:tcW w:w="4638" w:type="dxa"/>
          </w:tcPr>
          <w:p w:rsidR="00C72D9C" w:rsidRPr="009143C3" w:rsidRDefault="00C72D9C" w:rsidP="00D50F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143C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600000, </w:t>
            </w:r>
            <w:smartTag w:uri="urn:schemas-microsoft-com:office:smarttags" w:element="place">
              <w:smartTag w:uri="urn:schemas-microsoft-com:office:smarttags" w:element="City">
                <w:r w:rsidRPr="009143C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Vladimir</w:t>
                </w:r>
              </w:smartTag>
            </w:smartTag>
            <w:r w:rsidRPr="009143C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city, 59 «A» Gorkogo str., tel. (4922) 32-22-62, telefax (4922) 53-28-57</w:t>
            </w:r>
            <w:r w:rsidRPr="009143C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br/>
              <w:t>startv008@rambler.ru</w:t>
            </w:r>
          </w:p>
        </w:tc>
      </w:tr>
      <w:tr w:rsidR="00C72D9C" w:rsidRPr="000A5222" w:rsidTr="009143C3">
        <w:tc>
          <w:tcPr>
            <w:tcW w:w="4648" w:type="dxa"/>
          </w:tcPr>
          <w:p w:rsidR="00C72D9C" w:rsidRPr="000A5222" w:rsidRDefault="00C72D9C" w:rsidP="00D50FB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63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2D9C" w:rsidRPr="0068010D" w:rsidTr="009143C3">
        <w:tc>
          <w:tcPr>
            <w:tcW w:w="4648" w:type="dxa"/>
          </w:tcPr>
          <w:p w:rsidR="00C72D9C" w:rsidRPr="0068010D" w:rsidRDefault="00C72D9C" w:rsidP="00D50FBD">
            <w:pPr>
              <w:spacing w:after="0" w:line="240" w:lineRule="auto"/>
            </w:pPr>
            <w:r w:rsidRPr="000A5222">
              <w:rPr>
                <w:rFonts w:ascii="Times New Roman" w:hAnsi="Times New Roman"/>
                <w:sz w:val="20"/>
                <w:szCs w:val="20"/>
              </w:rPr>
              <w:t>В статье рассмотрены вопросы повышения эффективности бюджетных расходов в рамках формирования бюджетной стратегии региона. Процесс реформирования бюджетной системы государства направлен на внедрение новых форм управления бюджетными расходами и повышение их результативности и эффективности. К основным бюджетным новациям в области бюджетных расходов следует отнести: государственное (муниципальное) задание, бюджетирование, ориентированное на результат, программно-целевое бюджетирование. Предложенная классификация бюджетных расходов позволяет определить их стратегическую ориентированность.  Анализ динамики бюджетных и социально-экономических показателей свидетельствует об отсутствии должного влияния бюджетных расходов на качество жизни населения. В связи с этим предложены стратегические направления повышения эффективности бюджетных расходов</w:t>
            </w:r>
          </w:p>
        </w:tc>
        <w:tc>
          <w:tcPr>
            <w:tcW w:w="463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this article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considered the questions of increas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efficiency of budgeted expenditures in the boundaries of formation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regional budget strategy. The process of reforming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government’s budget system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vectored to introduction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new forms of budget costs’ management and increasing its effectiveness. The main budget innovations are: state and municipal assignment, budgeting, focused on result, program-targeted budgeting.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roposed classification of budget expenditures allows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to determine it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strategic focus.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naly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sis of the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dynamics of budget and social and economic indicators shows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absence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the needed impact of budget expenditures to people’s quality of life. In this regard, the strategic ways of increasing the efficiency of bu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dget expenditures are suggested</w:t>
            </w:r>
          </w:p>
        </w:tc>
      </w:tr>
      <w:tr w:rsidR="00C72D9C" w:rsidRPr="0068010D" w:rsidTr="009143C3">
        <w:tc>
          <w:tcPr>
            <w:tcW w:w="4648" w:type="dxa"/>
          </w:tcPr>
          <w:p w:rsidR="00C72D9C" w:rsidRPr="000A5222" w:rsidRDefault="00C72D9C" w:rsidP="00D50FB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63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2D9C" w:rsidRPr="0068010D" w:rsidTr="009143C3">
        <w:tc>
          <w:tcPr>
            <w:tcW w:w="4648" w:type="dxa"/>
          </w:tcPr>
          <w:p w:rsidR="00C72D9C" w:rsidRPr="0068010D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222">
              <w:rPr>
                <w:rFonts w:ascii="Times New Roman" w:hAnsi="Times New Roman"/>
                <w:sz w:val="20"/>
                <w:szCs w:val="20"/>
              </w:rPr>
              <w:t>Ключевые слова: БЮДЖЕТНАЯ СТРАТЕГИЯ, ЭФФЕКТИВНОСТЬ БЮДЖЕТНЫХ РАСХОДОВ, ПРОГРАММНО-ЦЕЛЕВОЕ БЮДЖЕТИРОВАНИЕ, РАСХОДНЫЕ П</w:t>
            </w:r>
            <w:r>
              <w:rPr>
                <w:rFonts w:ascii="Times New Roman" w:hAnsi="Times New Roman"/>
                <w:sz w:val="20"/>
                <w:szCs w:val="20"/>
              </w:rPr>
              <w:t>ОЛНОМОЧИЯ, БЮДЖЕТНЫЙ ФЕДЕРАЛИЗМ</w:t>
            </w:r>
          </w:p>
        </w:tc>
        <w:tc>
          <w:tcPr>
            <w:tcW w:w="4638" w:type="dxa"/>
          </w:tcPr>
          <w:p w:rsidR="00C72D9C" w:rsidRPr="000A5222" w:rsidRDefault="00C72D9C" w:rsidP="00D50F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5222">
              <w:rPr>
                <w:rFonts w:ascii="Times New Roman" w:hAnsi="Times New Roman"/>
                <w:sz w:val="20"/>
                <w:szCs w:val="20"/>
                <w:lang w:val="en-US"/>
              </w:rPr>
              <w:t>Keywords: BUDGET STRATEGY, EFFECTIVENESS OF BUDGET EXPENDITURES, PROGRAMME-ORIENTED BUDGETING, SPENDING POWERS, BUDGET FEDERALISM</w:t>
            </w:r>
            <w:bookmarkStart w:id="0" w:name="_GoBack"/>
            <w:bookmarkEnd w:id="0"/>
          </w:p>
        </w:tc>
      </w:tr>
    </w:tbl>
    <w:p w:rsidR="00C72D9C" w:rsidRPr="003039C7" w:rsidRDefault="00C72D9C">
      <w:pPr>
        <w:rPr>
          <w:lang w:val="en-US"/>
        </w:rPr>
      </w:pPr>
    </w:p>
    <w:p w:rsidR="00C72D9C" w:rsidRDefault="00C72D9C" w:rsidP="00BD7DE7">
      <w:pPr>
        <w:pStyle w:val="BodyTextIndent"/>
        <w:spacing w:line="365" w:lineRule="auto"/>
        <w:contextualSpacing/>
      </w:pPr>
      <w:r>
        <w:t>Актуализация вопросов бюджетного стратегирования и формирования долгосрочной бюджетной политики вызывает необходимость детального изучения методологических подходов к процессу стратегического бюджетного планирования. Прежде всего, это связано с масштабностью стратегических решений, поскольку «в большинстве случаев оно тесно коррелирует с необратимостью последствий принятого решения, что и делает его стратегическим, важным для деятельности государства» [5]</w:t>
      </w:r>
    </w:p>
    <w:p w:rsidR="00C72D9C" w:rsidRDefault="00C72D9C" w:rsidP="00BD7DE7">
      <w:pPr>
        <w:pStyle w:val="BodyTextIndent"/>
        <w:spacing w:line="365" w:lineRule="auto"/>
        <w:contextualSpacing/>
      </w:pPr>
      <w:r>
        <w:t xml:space="preserve"> Одним из важнейших направлений при разработки бюджетной стратегии является  стратегия оптимизации и повышения эффективности бюджетных расходов, как на уровне федерального бюджета, так и на уровне бюджетов субъектов Российской Федерации.</w:t>
      </w:r>
    </w:p>
    <w:p w:rsidR="00C72D9C" w:rsidRDefault="00C72D9C" w:rsidP="00BD7DE7">
      <w:pPr>
        <w:pStyle w:val="BodyTextIndent"/>
        <w:spacing w:line="365" w:lineRule="auto"/>
        <w:contextualSpacing/>
      </w:pPr>
      <w:r>
        <w:t>Согласно ст. 6 Бюджетного кодекса бюджетные расходы характеризуются несколькими понятиями, характеризующими процесс расходования средств бюджетов различного уровня:</w:t>
      </w:r>
    </w:p>
    <w:p w:rsidR="00C72D9C" w:rsidRDefault="00C72D9C" w:rsidP="00BD7DE7">
      <w:pPr>
        <w:pStyle w:val="BodyTextIndent"/>
        <w:spacing w:line="365" w:lineRule="auto"/>
        <w:ind w:firstLine="0"/>
        <w:contextualSpacing/>
      </w:pPr>
      <w:r>
        <w:t xml:space="preserve">- </w:t>
      </w:r>
      <w:r w:rsidRPr="000400C3">
        <w:rPr>
          <w:b/>
        </w:rPr>
        <w:t>расходы бюджета</w:t>
      </w:r>
      <w:r>
        <w:t xml:space="preserve"> – выплачиваемые из бюджета денежные средства, за исключением средств, являющихся источником финансирования дефицита бюджета;</w:t>
      </w:r>
    </w:p>
    <w:p w:rsidR="00C72D9C" w:rsidRDefault="00C72D9C" w:rsidP="00BD7DE7">
      <w:pPr>
        <w:pStyle w:val="BodyTextIndent"/>
        <w:spacing w:line="365" w:lineRule="auto"/>
        <w:ind w:firstLine="0"/>
        <w:contextualSpacing/>
      </w:pPr>
      <w:r>
        <w:t xml:space="preserve">- </w:t>
      </w:r>
      <w:r w:rsidRPr="000400C3">
        <w:rPr>
          <w:b/>
        </w:rPr>
        <w:t>бюджетные ассигнования</w:t>
      </w:r>
      <w:r>
        <w:t xml:space="preserve"> – предельные объемы денежных средств, предусмотренных в соответствующем финансовом году для исполнения бюджетных обязательств;</w:t>
      </w:r>
    </w:p>
    <w:p w:rsidR="00C72D9C" w:rsidRDefault="00C72D9C" w:rsidP="00BD7DE7">
      <w:pPr>
        <w:pStyle w:val="BodyTextIndent"/>
        <w:spacing w:line="365" w:lineRule="auto"/>
        <w:ind w:firstLine="0"/>
        <w:contextualSpacing/>
      </w:pPr>
      <w:r>
        <w:t xml:space="preserve">- </w:t>
      </w:r>
      <w:r w:rsidRPr="000400C3">
        <w:rPr>
          <w:b/>
        </w:rPr>
        <w:t>расходные обязательства</w:t>
      </w:r>
      <w:r>
        <w:t xml:space="preserve"> – обусловленные законом, иным нормативно-правовым актом, договором или соглашением обязанности публично-правового образования (Российской Федерацией, субъекта Российской Федерации, муниципального образования) или действующего от имени казенного учреждения предоставить физическому или юридическому лицу, иному публично-правовому образованию, субъекту международного права средства из соответствующего бюджета;</w:t>
      </w:r>
    </w:p>
    <w:p w:rsidR="00C72D9C" w:rsidRDefault="00C72D9C" w:rsidP="00BD7DE7">
      <w:pPr>
        <w:pStyle w:val="BodyTextIndent"/>
        <w:spacing w:line="365" w:lineRule="auto"/>
        <w:ind w:firstLine="0"/>
        <w:contextualSpacing/>
      </w:pPr>
      <w:r>
        <w:t xml:space="preserve">- </w:t>
      </w:r>
      <w:r w:rsidRPr="000400C3">
        <w:rPr>
          <w:b/>
        </w:rPr>
        <w:t>бюджетные обязательства</w:t>
      </w:r>
      <w:r>
        <w:t xml:space="preserve"> – расходные обязательства, подлежащие исполнению в соответствующем финансовом году;</w:t>
      </w:r>
    </w:p>
    <w:p w:rsidR="00C72D9C" w:rsidRDefault="00C72D9C" w:rsidP="00BD7DE7">
      <w:pPr>
        <w:pStyle w:val="BodyTextIndent"/>
        <w:spacing w:line="365" w:lineRule="auto"/>
        <w:ind w:firstLine="0"/>
        <w:contextualSpacing/>
      </w:pPr>
      <w:r>
        <w:t xml:space="preserve">- </w:t>
      </w:r>
      <w:r w:rsidRPr="000400C3">
        <w:rPr>
          <w:b/>
        </w:rPr>
        <w:t>публичные обязательства</w:t>
      </w:r>
      <w:r>
        <w:t xml:space="preserve"> – обусловленные законом, иным нормативно-правовым актом расходные обязательства публично-правового образования перед физическим или юридическим лицом, иным публично-правовым образованием, подлежащие исполнению в установленном соответствующим законом, иным нормативным правовым актом размере или имеющие установленный законом, актом порядок его определения (расчета, индексации);</w:t>
      </w:r>
    </w:p>
    <w:p w:rsidR="00C72D9C" w:rsidRDefault="00C72D9C" w:rsidP="00BD7DE7">
      <w:pPr>
        <w:pStyle w:val="BodyTextIndent"/>
        <w:spacing w:line="365" w:lineRule="auto"/>
        <w:ind w:firstLine="0"/>
        <w:contextualSpacing/>
      </w:pPr>
      <w:r>
        <w:t xml:space="preserve">- </w:t>
      </w:r>
      <w:r w:rsidRPr="00377976">
        <w:rPr>
          <w:b/>
        </w:rPr>
        <w:t>денежные обязательства</w:t>
      </w:r>
      <w:r>
        <w:t xml:space="preserve"> – обязанность получателя бюджетных средств уплатить бюджету, физическому лицу или юридическому лицу за счет средств бюджета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соглашения.</w:t>
      </w:r>
    </w:p>
    <w:p w:rsidR="00C72D9C" w:rsidRDefault="00C72D9C" w:rsidP="00BD7DE7">
      <w:pPr>
        <w:pStyle w:val="BodyTextIndent"/>
        <w:spacing w:line="365" w:lineRule="auto"/>
        <w:ind w:firstLine="709"/>
        <w:contextualSpacing/>
      </w:pPr>
      <w:r>
        <w:t xml:space="preserve">Столь детальное разграничение понятий, характеризующих бюджетные расходы, связано, прежде всего, со сложностью и масштабностью процессов планирования и исполнения расходных полномочий бюджетов различного уровня. Начальные этапы формирования бюджетной системы Российской Федерации на принципах бюджетного федерализма характеризовались отсутствием четкого разграничения расходных полномочий между уровнями государственной власти и местного самоуправления. Большая часть бюджетных расходов была отнесена к сфере совместного финансирования, что служило причиной частого «размывания»  ответственности за своевременность, объемы и качество предоставляемых бюджетных услуг. Существовала практика введения нефинансируемых федеральных мандатов, при которой законодательным актом федерального уровня устанавливался перечень расходов (как правило, социальной направленности), финансовое обеспечение и исполнение которых возлагалось на бюджеты субъектов Российской Федерации и муниципальных образований без предоставления соответствующих доходных источников для их качественного исполнения. Подобная практика приводила к систематическому неисполнению делегированных расходных полномочий и серьезной социальной напряженности в большинстве регионов Российской Федерации. </w:t>
      </w:r>
    </w:p>
    <w:p w:rsidR="00C72D9C" w:rsidRDefault="00C72D9C" w:rsidP="00BD7DE7">
      <w:pPr>
        <w:pStyle w:val="BodyTextIndent"/>
        <w:spacing w:line="365" w:lineRule="auto"/>
        <w:ind w:firstLine="709"/>
        <w:contextualSpacing/>
      </w:pPr>
      <w:r>
        <w:t>В результате отсутствия четкого разграничения расходных полномочий между уровнями бюджетной системы органы власти субъектов Российской Федерации и органы местного самоуправления не имели возможность сформировать сбалансированные бюджеты и были вынуждены реализовывать политику выборочного и частичного исполнения возложенных на них обязательств по предоставлению бюджетных услуг населению.</w:t>
      </w:r>
    </w:p>
    <w:p w:rsidR="00C72D9C" w:rsidRDefault="00C72D9C" w:rsidP="00BD7DE7">
      <w:pPr>
        <w:pStyle w:val="BodyTextIndent"/>
        <w:spacing w:line="365" w:lineRule="auto"/>
        <w:ind w:firstLine="709"/>
        <w:contextualSpacing/>
      </w:pPr>
      <w:r>
        <w:t xml:space="preserve">К началу </w:t>
      </w:r>
      <w:smartTag w:uri="urn:schemas-microsoft-com:office:smarttags" w:element="metricconverter">
        <w:smartTagPr>
          <w:attr w:name="ProductID" w:val="2013 g"/>
        </w:smartTagPr>
        <w:r>
          <w:t>2000 г</w:t>
        </w:r>
      </w:smartTag>
      <w:r>
        <w:t>.г. ситуация приобрела неконтролируемый характер  и назрела острая необходимость масштабного реформирования бюджетной сферы и, прежде всего, разграничения расходных полномочий между уровнями бюджетной системы и постановки вопроса об оценки эффективности бюджетных расходов. В Бюджетном послании Президента Российской Федерации Федеральному собранию в 2004 году было отмечено главное направление бюджетных реформ того периода «Государство должно отказаться от сметного финансирования бюджетной сети и прямого предоставления значительной части бюджетных услуг и перейти к принципу их оплаты в соответствии с получаемыми общественными результатами».</w:t>
      </w:r>
    </w:p>
    <w:p w:rsidR="00C72D9C" w:rsidRDefault="00C72D9C" w:rsidP="00BD7DE7">
      <w:pPr>
        <w:pStyle w:val="BodyTextIndent"/>
        <w:spacing w:line="365" w:lineRule="auto"/>
        <w:ind w:firstLine="709"/>
        <w:contextualSpacing/>
      </w:pPr>
      <w:r>
        <w:t>Для определения значения и степени влияния бюджетных расходов на уровень социально-экономического развития общества, а также для оценки их эффективности и результативности расходы классифицируются по целому ряду признаков[1, 3].</w:t>
      </w:r>
    </w:p>
    <w:p w:rsidR="00C72D9C" w:rsidRDefault="00C72D9C" w:rsidP="00BD7DE7">
      <w:pPr>
        <w:pStyle w:val="BodyTextIndent"/>
        <w:spacing w:line="365" w:lineRule="auto"/>
        <w:contextualSpacing/>
      </w:pPr>
      <w:r>
        <w:t xml:space="preserve">В зависимости от принадлежности к определенному уровню бюджетной системы различают: расходные обязательства Российской Федерации; расходные обязательства субъекта Российской Федерации; расходные обязательства муниципального образования. Данная классификация является определяющей при оценке эффективности выполнения государством своих функций и их адекватного финансирования. </w:t>
      </w:r>
    </w:p>
    <w:p w:rsidR="00C72D9C" w:rsidRDefault="00C72D9C" w:rsidP="00BD7DE7">
      <w:pPr>
        <w:pStyle w:val="BodyTextIndent"/>
        <w:spacing w:line="365" w:lineRule="auto"/>
        <w:contextualSpacing/>
      </w:pPr>
      <w:r>
        <w:t xml:space="preserve">В зависимости от экономического содержания бюджетные расходы классифицируются как текущие и капитальные. К текущим расходам относятся: оплата труда и начисления на выплаты по оплате труда, оплата работ и услуг, обслуживание государственного и муниципального долга, безвозмездные перечисления бюджетам и социальное обеспечение. Капитальные расходы бюджетов представляют собой бюджетные инвестиции, которые действующим бюджетным законодательством трактуются как бюджетные средства, направляемые на создание или увеличение за счет средств бюджета стоимости государственного (муниципального) имущества. </w:t>
      </w:r>
    </w:p>
    <w:p w:rsidR="00C72D9C" w:rsidRDefault="00C72D9C" w:rsidP="00BD7DE7">
      <w:pPr>
        <w:pStyle w:val="BodyTextIndent"/>
        <w:spacing w:line="365" w:lineRule="auto"/>
        <w:contextualSpacing/>
      </w:pPr>
      <w:r>
        <w:t xml:space="preserve">В зависимости от конкурсного характера распределения бюджетных расходов выделяют: во-первых, бюджетные расходы, осуществляемые на основе размещения заказов на поставки товаров, выполнения работ и оказания услуг для государственных и муниципальных нужд на основе государственных и муниципальных контрактов и, во-вторых, бюджетные расходы, осуществляемые без конкурсного распределения и без заключения государственных и муниципальных контрактов, в том числе на основе реестра закупок. </w:t>
      </w:r>
    </w:p>
    <w:p w:rsidR="00C72D9C" w:rsidRDefault="00C72D9C" w:rsidP="00BD7DE7">
      <w:pPr>
        <w:pStyle w:val="BodyTextIndent"/>
        <w:spacing w:line="365" w:lineRule="auto"/>
        <w:contextualSpacing/>
      </w:pPr>
      <w:r>
        <w:t>В зависимости от программно-целевой направленности бюджетные расходы подразделяются на: расходы, формируемые в рамках долгосрочных, среднесрочных целевых бюджетных программ и расходы, формируемые в рамках внепрограммной части бюджета. Фундаментом программно-целевой классификации расходов является непосредственное сопоставление расходов бюджета с объемом и качеством предоставленных государственных и муниципальных услуг. Формирование программной части расходов бюджетов предполагает существенный рост эффективности и результативности бюджетных расходов. При этом можно выделить такие преимущества программного бюджетирования как: ориентация бюджетных расходов на стратегически важные цели социально-экономического развития государства и отдельных территорий;   обеспечение непрерывной связи между бюджетными расходами различных временных периодов - краткосрочными, среднесрочными и долгосрочными расходами; эффективное перераспределение бюджетных ресурсов; четкое определение участников программы, деятельность которых непосредственным образом влияет на достижение поставленных в программе целей и задач.</w:t>
      </w:r>
    </w:p>
    <w:p w:rsidR="00C72D9C" w:rsidRPr="00CF115A" w:rsidRDefault="00C72D9C" w:rsidP="00BD7DE7">
      <w:pPr>
        <w:pStyle w:val="BodyTextIndent"/>
        <w:spacing w:line="365" w:lineRule="auto"/>
        <w:contextualSpacing/>
      </w:pPr>
      <w:r>
        <w:t>В зависимости от нормативного правового регулирования расходных обязательств (законодательное установление целей, общих принципов, объема, порядка и условий осуществления деятельности органов власти, требующих определенных бюджетных расходов) различают действующие расходные обязательства и принимаемые расходные обязательства. Под действующими понимают расходные обязательства, установленные законами, иными нормативными правовыми актами, договорами и соглашениями, не предполагаемые к изменению или отмене в очередном финансовом году или в плановом периоде. К ним относятся: трансферты населению; оплата предоставленных государственных (муниципальных) услуг; расходы, связанные с реализацией бюджетных целевых программ, муниципальных программ; погашение и обслуживание государственного (муниципального) долга; межбюджетные трансферты и прочее. Принимаемые – это расходные обязательства, включение которых в проект бюджета зависит от решений, принимаемых в ходе бюджетного планирования на очередной финансовый год. К ним могут быть отнесены: увеличение действующих или введение новых трансфертов населению; увеличение заработной платы, денежного довольствия; досрочное погашение государственного (муниципального) долга; новые бюджетные инвестиции и прочее.[6]</w:t>
      </w:r>
    </w:p>
    <w:p w:rsidR="00C72D9C" w:rsidRDefault="00C72D9C" w:rsidP="00BD7DE7">
      <w:pPr>
        <w:spacing w:after="0" w:line="36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последнего десятилетия Правительством Российской Федерации предприняты серьезные усилия по повышению эффективности и результативности бюджетных расходов. Можно выделить ряд этапов развития бюджетного федерализма в сфере влияния расходов бюджетной системы на динамику показателей уровня жизни и социально-экономической ситуации в стране.</w:t>
      </w:r>
    </w:p>
    <w:p w:rsidR="00C72D9C" w:rsidRDefault="00C72D9C" w:rsidP="00BD7DE7">
      <w:pPr>
        <w:spacing w:after="0" w:line="36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 1. 2000-2004г.г. – законодательное закрепление вопросов, связанных с ориентацией бюджетных расходов на достижение конечных социально-экономических результатов в качестве основных принципов бюджетной политики государства в тот период.</w:t>
      </w:r>
    </w:p>
    <w:p w:rsidR="00C72D9C" w:rsidRDefault="00C72D9C" w:rsidP="00BD7DE7">
      <w:pPr>
        <w:spacing w:after="0" w:line="36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 2. 2004-2006 г.г. – реформирование бюджетного процесса и внедрение принципов бюджетирования, ориентированного на результат (далее БОР). Постепенное изменение нормативной правовой базы субъектов Российской Федерации, способствующие внедрению принципов БОР и повышению эффективности расходов региональных бюджетов.</w:t>
      </w:r>
    </w:p>
    <w:p w:rsidR="00C72D9C" w:rsidRDefault="00C72D9C" w:rsidP="00BD7DE7">
      <w:pPr>
        <w:spacing w:after="0" w:line="36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 3. 2006-2008г.г. – систематизация механизмов оказания финансовой помощи региональным бюджетам, ограничение расходов высокодотационных бюджетов, внедрение системы оценки эффективности и результативности деятельности органов государственной власти субъектов РФ.</w:t>
      </w:r>
    </w:p>
    <w:p w:rsidR="00C72D9C" w:rsidRDefault="00C72D9C" w:rsidP="00BD7DE7">
      <w:pPr>
        <w:spacing w:after="0" w:line="36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 4. 2008 – по н.в. – переход к программно-целевому бюджетированию и утверждению «программного» бюджета, введение понятия «контрольное событие программы» и внедрение системы мониторинга реализации контрольных событий целевых бюджетных программ, координация целей стратегического планирования социально-экономического развития и долгосрочного бюджетного планирования.</w:t>
      </w:r>
    </w:p>
    <w:p w:rsidR="00C72D9C" w:rsidRPr="00CF115A" w:rsidRDefault="00C72D9C" w:rsidP="00BD7DE7">
      <w:pPr>
        <w:pStyle w:val="BodyTextIndent"/>
        <w:spacing w:line="365" w:lineRule="auto"/>
        <w:contextualSpacing/>
      </w:pPr>
      <w:r>
        <w:t>Несмотря на достигнутые результаты в сфере управления бюджетными расходами,  важным вопросом</w:t>
      </w:r>
      <w:r w:rsidRPr="00CF115A">
        <w:t xml:space="preserve"> </w:t>
      </w:r>
      <w:r>
        <w:t>остается</w:t>
      </w:r>
      <w:r w:rsidRPr="00CF115A">
        <w:t xml:space="preserve"> реализация обоснованной и эффективной политики оптимизации бюджетных расходов, от качества которой зависит  возможность выполнения региональными и местными бюджетами своих расходных полномочий и уровень социально-экономического развития, как отдельных территорий, так и Российской Федерации в целом.</w:t>
      </w:r>
    </w:p>
    <w:p w:rsidR="00C72D9C" w:rsidRPr="00CF115A" w:rsidRDefault="00C72D9C" w:rsidP="00BD7DE7">
      <w:pPr>
        <w:pStyle w:val="BodyTextIndent"/>
        <w:spacing w:line="365" w:lineRule="auto"/>
        <w:contextualSpacing/>
      </w:pPr>
      <w:r w:rsidRPr="00CF115A">
        <w:t xml:space="preserve">Усиление диспропорций в социально-экономическом развитии регионов, углубление процессов их дифференциации по различным макроэкономическим показателям, стремление к финансовой самостоятельности регионов в условиях серьезной бюджетно-финансовой асимметрии между субъектами РФ вызывает необходимость в выявлении методологических особенностей и исследовании политики и характера оптимизации бюджетных расходов и повышения их эффективности. </w:t>
      </w:r>
    </w:p>
    <w:p w:rsidR="00C72D9C" w:rsidRPr="00CF115A" w:rsidRDefault="00C72D9C" w:rsidP="00BD7DE7">
      <w:pPr>
        <w:pStyle w:val="BodyTextIndent"/>
        <w:spacing w:line="365" w:lineRule="auto"/>
        <w:contextualSpacing/>
      </w:pPr>
      <w:r w:rsidRPr="00CF115A">
        <w:t>Актуальность стратегии оптимизации и повышения эффективности бюджетных расходов объясняется, прежде всего</w:t>
      </w:r>
      <w:r>
        <w:t>,</w:t>
      </w:r>
      <w:r w:rsidRPr="00CF115A">
        <w:t xml:space="preserve"> тем, что в течение </w:t>
      </w:r>
      <w:r>
        <w:t>целого ряда лет федеральный бюджет Российской Федерации и консолидированный бюджет субъектов Российской Федерации имеет устойчивую положительную динамику роста, как доходов, так и расходов.</w:t>
      </w:r>
      <w:r w:rsidRPr="00CF115A">
        <w:t xml:space="preserve"> Однако</w:t>
      </w:r>
      <w:r>
        <w:t>,</w:t>
      </w:r>
      <w:r w:rsidRPr="00CF115A">
        <w:t xml:space="preserve">  качество бюджетных услуг во многих сферах</w:t>
      </w:r>
      <w:r>
        <w:t xml:space="preserve"> не улучшается, а в отдельных случаях</w:t>
      </w:r>
      <w:r w:rsidRPr="00CF115A">
        <w:t xml:space="preserve"> ухудшается, </w:t>
      </w:r>
      <w:r>
        <w:t xml:space="preserve">не велика </w:t>
      </w:r>
      <w:r w:rsidRPr="00CF115A">
        <w:t xml:space="preserve">инвестиционная составляющая бюджетных расходов, увеличиваются бюджетные разрывы как между бюджетными уровням, так и между субъектами РФ. Динамика показателей </w:t>
      </w:r>
      <w:r>
        <w:t>бюджетной системы Российской Федерации представлена в Таблице № 1.</w:t>
      </w:r>
    </w:p>
    <w:p w:rsidR="00C72D9C" w:rsidRDefault="00C72D9C" w:rsidP="005742C5">
      <w:pPr>
        <w:pStyle w:val="BodyTextIndent"/>
        <w:spacing w:line="360" w:lineRule="auto"/>
        <w:contextualSpacing/>
        <w:jc w:val="right"/>
        <w:rPr>
          <w:lang w:val="en-US"/>
        </w:rPr>
      </w:pPr>
    </w:p>
    <w:p w:rsidR="00C72D9C" w:rsidRDefault="00C72D9C" w:rsidP="005742C5">
      <w:pPr>
        <w:pStyle w:val="BodyTextIndent"/>
        <w:spacing w:line="360" w:lineRule="auto"/>
        <w:contextualSpacing/>
        <w:jc w:val="right"/>
        <w:rPr>
          <w:lang w:val="en-US"/>
        </w:rPr>
      </w:pPr>
    </w:p>
    <w:p w:rsidR="00C72D9C" w:rsidRPr="00CF115A" w:rsidRDefault="00C72D9C" w:rsidP="005742C5">
      <w:pPr>
        <w:pStyle w:val="BodyTextIndent"/>
        <w:spacing w:line="360" w:lineRule="auto"/>
        <w:contextualSpacing/>
        <w:jc w:val="right"/>
      </w:pPr>
      <w:r>
        <w:t>Таблица № 1.</w:t>
      </w:r>
    </w:p>
    <w:p w:rsidR="00C72D9C" w:rsidRDefault="00C72D9C" w:rsidP="004B333F">
      <w:pPr>
        <w:pStyle w:val="BodyTextIndent"/>
        <w:spacing w:line="240" w:lineRule="auto"/>
        <w:ind w:firstLine="0"/>
        <w:contextualSpacing/>
        <w:jc w:val="center"/>
        <w:rPr>
          <w:b/>
        </w:rPr>
      </w:pPr>
      <w:r>
        <w:rPr>
          <w:b/>
        </w:rPr>
        <w:t xml:space="preserve">ДИНАМИКА ПОКАЗАТЕЛЕЙ ФЕДЕРАЛЬНОГО БЮДЖЕТА РОССИЙСКОЙ ФЕДЕРАЦИИ И КОНСОЛИДИРОВАННОГО БЮДЖЕТА СУБЪЕТОК РОССИЙСКОЙ ФЕДЕРАЦИИ </w:t>
      </w:r>
    </w:p>
    <w:p w:rsidR="00C72D9C" w:rsidRDefault="00C72D9C" w:rsidP="00C57145">
      <w:pPr>
        <w:pStyle w:val="BodyTextIndent"/>
        <w:spacing w:line="240" w:lineRule="auto"/>
        <w:ind w:firstLine="0"/>
        <w:contextualSpacing/>
        <w:jc w:val="center"/>
        <w:rPr>
          <w:b/>
        </w:rPr>
      </w:pPr>
      <w:r>
        <w:rPr>
          <w:b/>
        </w:rPr>
        <w:t>В 2008-2015</w:t>
      </w:r>
      <w:r w:rsidRPr="00CF115A">
        <w:rPr>
          <w:b/>
        </w:rPr>
        <w:t>г.г.</w:t>
      </w:r>
      <w:r>
        <w:rPr>
          <w:b/>
        </w:rPr>
        <w:t>, млрд. руб.</w:t>
      </w:r>
      <w:r w:rsidRPr="00CF115A">
        <w:rPr>
          <w:rStyle w:val="FootnoteReference"/>
          <w:b/>
        </w:rPr>
        <w:footnoteReference w:id="2"/>
      </w:r>
    </w:p>
    <w:p w:rsidR="00C72D9C" w:rsidRDefault="00C72D9C" w:rsidP="00C57145">
      <w:pPr>
        <w:pStyle w:val="BodyTextIndent"/>
        <w:spacing w:line="240" w:lineRule="auto"/>
        <w:ind w:firstLine="0"/>
        <w:contextualSpacing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6"/>
        <w:gridCol w:w="960"/>
        <w:gridCol w:w="960"/>
        <w:gridCol w:w="980"/>
        <w:gridCol w:w="980"/>
        <w:gridCol w:w="980"/>
        <w:gridCol w:w="980"/>
        <w:gridCol w:w="980"/>
        <w:gridCol w:w="980"/>
      </w:tblGrid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Бюджетные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2008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(отчет)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2009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(отчет)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2010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(отчет)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2011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(отчет)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2012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(отчет)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2013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(план)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2014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(план)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2015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(план)</w:t>
            </w:r>
          </w:p>
        </w:tc>
      </w:tr>
      <w:tr w:rsidR="00C72D9C" w:rsidRPr="000A5222" w:rsidTr="000A5222">
        <w:tc>
          <w:tcPr>
            <w:tcW w:w="9571" w:type="dxa"/>
            <w:gridSpan w:val="9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Федеральный бюджет Российской Федерации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Доходы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% к ВВП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9275,9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22,5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7337,8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18,9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8305,4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18,4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11367,7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20,8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12855,5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20,6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12865,9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19,3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14063,4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19,0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15615,5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18,8</w:t>
            </w:r>
          </w:p>
        </w:tc>
      </w:tr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Расходы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% к ВВП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7570,9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18,3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9660,1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24,9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10117,5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22,4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10925,6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20,0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12894,9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20,7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13387,3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20,1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14207,1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19,2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15626,3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18,8</w:t>
            </w:r>
          </w:p>
        </w:tc>
      </w:tr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Профицит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Дефицит(-)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% к ВВП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1705,1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4,0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-2322,3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6,0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-1812,0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4,0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442,0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0,8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-39,4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-0,1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-521,4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-0,8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-143,6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-0,2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-10,8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-0,01</w:t>
            </w:r>
          </w:p>
        </w:tc>
      </w:tr>
      <w:tr w:rsidR="00C72D9C" w:rsidRPr="000A5222" w:rsidTr="000A5222">
        <w:tc>
          <w:tcPr>
            <w:tcW w:w="9571" w:type="dxa"/>
            <w:gridSpan w:val="9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A5222">
              <w:rPr>
                <w:b/>
                <w:sz w:val="24"/>
                <w:szCs w:val="24"/>
              </w:rPr>
              <w:t>Консолидированный бюджет субъектов Российской Федерации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Доходы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% к ВВП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6198,8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15,0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5926,6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15,3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6537,3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14,5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7644,2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14,0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8064,5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12,9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8592,7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12,9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9332,1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12,6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10233,1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12,3</w:t>
            </w:r>
          </w:p>
        </w:tc>
      </w:tr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Расходы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% к ВВП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6253,1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15,1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6255,7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16,1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6636,9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14,7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7679,1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14,1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9182,8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14,7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8786,7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13,2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9438,9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12,7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10258,0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12,4</w:t>
            </w:r>
          </w:p>
        </w:tc>
      </w:tr>
      <w:tr w:rsidR="00C72D9C" w:rsidRPr="000A5222" w:rsidTr="000A5222">
        <w:tc>
          <w:tcPr>
            <w:tcW w:w="1511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Профицит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Дефицит(-)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% к ВВП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-54,4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-0,1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-329,1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-0,8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-99,6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-0,2</w:t>
            </w:r>
          </w:p>
        </w:tc>
        <w:tc>
          <w:tcPr>
            <w:tcW w:w="1007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-34,9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-0,1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-278,6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-0,4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-194,0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-0,3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-106,8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-0,1</w:t>
            </w:r>
          </w:p>
        </w:tc>
        <w:tc>
          <w:tcPr>
            <w:tcW w:w="1008" w:type="dxa"/>
          </w:tcPr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24,9</w:t>
            </w:r>
          </w:p>
          <w:p w:rsidR="00C72D9C" w:rsidRPr="000A5222" w:rsidRDefault="00C72D9C" w:rsidP="000A5222">
            <w:pPr>
              <w:pStyle w:val="BodyTextIndent"/>
              <w:spacing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A5222">
              <w:rPr>
                <w:sz w:val="24"/>
                <w:szCs w:val="24"/>
              </w:rPr>
              <w:t>-0,03</w:t>
            </w:r>
          </w:p>
        </w:tc>
      </w:tr>
    </w:tbl>
    <w:p w:rsidR="00C72D9C" w:rsidRDefault="00C72D9C" w:rsidP="00290BF1">
      <w:pPr>
        <w:spacing w:after="0" w:line="360" w:lineRule="auto"/>
        <w:ind w:firstLine="709"/>
        <w:contextualSpacing/>
      </w:pPr>
    </w:p>
    <w:p w:rsidR="00C72D9C" w:rsidRDefault="00C72D9C" w:rsidP="00290BF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Стратегия оптимизации и повышения эффективности бюджетных расходов как составная часть бюджетной стратегии региона должна быть ориентирована на координацию стратегических целей и задач в области управления бюджетными расходами и формирования системы показателей для оценки достижимости и реализуемости поставленных целей и задач (Таблица № 2). </w:t>
      </w:r>
    </w:p>
    <w:p w:rsidR="00C72D9C" w:rsidRDefault="00C72D9C" w:rsidP="00290BF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72D9C" w:rsidRDefault="00C72D9C" w:rsidP="00290BF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72D9C" w:rsidRDefault="00C72D9C" w:rsidP="00C57145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2.</w:t>
      </w:r>
    </w:p>
    <w:p w:rsidR="00C72D9C" w:rsidRPr="00C57145" w:rsidRDefault="00C72D9C" w:rsidP="00C571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СТРАТЕГИЧЕСКИЕ НАПРАВЛЕНИЯ ОПТИМИЗАЦИИ  И ПОВЫШЕНИЯ ЭФФЕКТИВНОСТИ БЮДЖЕТНЫХ РАСХОДОВ И ПОКАЗАТЕЛИ ИХ РЕАЛИЗАЦИИ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5"/>
        <w:gridCol w:w="6391"/>
      </w:tblGrid>
      <w:tr w:rsidR="00C72D9C" w:rsidRPr="000A5222" w:rsidTr="000A5222">
        <w:tc>
          <w:tcPr>
            <w:tcW w:w="2943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222">
              <w:rPr>
                <w:rFonts w:ascii="Times New Roman" w:hAnsi="Times New Roman"/>
                <w:b/>
                <w:sz w:val="24"/>
                <w:szCs w:val="24"/>
              </w:rPr>
              <w:t>Стратегические направления оптимизации и повышения эффективности бюджетных расходов</w:t>
            </w:r>
          </w:p>
        </w:tc>
        <w:tc>
          <w:tcPr>
            <w:tcW w:w="6628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222">
              <w:rPr>
                <w:rFonts w:ascii="Times New Roman" w:hAnsi="Times New Roman"/>
                <w:b/>
                <w:sz w:val="24"/>
                <w:szCs w:val="24"/>
              </w:rPr>
              <w:t>Показатели мониторинга и оценки реализации стратегических направлений</w:t>
            </w:r>
          </w:p>
        </w:tc>
      </w:tr>
      <w:tr w:rsidR="00C72D9C" w:rsidRPr="000A5222" w:rsidTr="000A5222">
        <w:tc>
          <w:tcPr>
            <w:tcW w:w="2943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Формирование программного бюджета с перечнем контрольных мероприятий</w:t>
            </w:r>
          </w:p>
        </w:tc>
        <w:tc>
          <w:tcPr>
            <w:tcW w:w="6628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Удельный вес расходов бюджета СРФ. Формируемых в рамках программ, в общей сумме расходов бюджета;</w:t>
            </w:r>
          </w:p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Удельный вес своевременно реализованных контрольных мероприятий программ в общем количестве контрольных мероприятий.</w:t>
            </w:r>
          </w:p>
        </w:tc>
      </w:tr>
      <w:tr w:rsidR="00C72D9C" w:rsidRPr="000A5222" w:rsidTr="000A5222">
        <w:tc>
          <w:tcPr>
            <w:tcW w:w="2943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Определение перечня промежуточных и конечных показателей эффективности и результативности по разделам и подразделам классификации расходов бюджетов СРФ</w:t>
            </w:r>
          </w:p>
        </w:tc>
        <w:tc>
          <w:tcPr>
            <w:tcW w:w="6628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Доля разделов и подразделов классификации расходов с четко определенными промежуточными и конечными показателями эффективности и результативности расходов бюджета СРФ в общем количестве разделов и подразделов бюджетной классификации расходов СРФ;</w:t>
            </w:r>
          </w:p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Соответствие промежуточных и конечных показателей эффективности и результативности бюджетных расходов стратегическим долгосрочным целям социально-экономического развития СРФ.</w:t>
            </w:r>
          </w:p>
        </w:tc>
      </w:tr>
      <w:tr w:rsidR="00C72D9C" w:rsidRPr="000A5222" w:rsidTr="000A5222">
        <w:tc>
          <w:tcPr>
            <w:tcW w:w="2943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Повышение эффективности и результативности бюджетных расходов, в т.ч. принимаемых расходных обязательств</w:t>
            </w:r>
          </w:p>
        </w:tc>
        <w:tc>
          <w:tcPr>
            <w:tcW w:w="6628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Удельный вес неэффективных расходов в общем объеме расходов бюджета СРФ;</w:t>
            </w:r>
          </w:p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Наличие нормативного правового акта (НПА) СРФ, устанавливающего конкурсное распределение принимаемых расходных обязательств и методику оценки их эффективности;</w:t>
            </w:r>
          </w:p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Удельный вес расходов бюджета СРФ на оказание государственных услуг, оказываемых в соответствии с государственными заданиями, в общем объеме расходов бюджетов СРФ;</w:t>
            </w:r>
          </w:p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Соотношение объемов трансфертов из бюджета СРФ государственным унитарным предприятиям (ГУПам) к прибыли, перечисленной в бюджет СРФ от ГУПов.</w:t>
            </w:r>
          </w:p>
        </w:tc>
      </w:tr>
      <w:tr w:rsidR="00C72D9C" w:rsidRPr="000A5222" w:rsidTr="000A5222">
        <w:tc>
          <w:tcPr>
            <w:tcW w:w="2943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Повышение прозрачности и открытости расходов бюджетов СРФ</w:t>
            </w:r>
          </w:p>
        </w:tc>
        <w:tc>
          <w:tcPr>
            <w:tcW w:w="6628" w:type="dxa"/>
          </w:tcPr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Размещение на официальном сайте органов государственной власти СРФ информации, касающейся целевых программ СРФ и результатов их реализации, отчета об исполнении бюджета СРФ и прочей информации, предусмотренной законодательством РФ и СРФ для публичного размещения;</w:t>
            </w:r>
          </w:p>
          <w:p w:rsidR="00C72D9C" w:rsidRPr="000A5222" w:rsidRDefault="00C72D9C" w:rsidP="000A52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222">
              <w:rPr>
                <w:rFonts w:ascii="Times New Roman" w:hAnsi="Times New Roman"/>
                <w:sz w:val="24"/>
                <w:szCs w:val="24"/>
              </w:rPr>
              <w:t>- Наличие НПА, устанавливающего порядок изучения мнения населения о качестве оказания государственных услуг органами государственной власти СРФ.</w:t>
            </w:r>
          </w:p>
        </w:tc>
      </w:tr>
    </w:tbl>
    <w:p w:rsidR="00C72D9C" w:rsidRDefault="00C72D9C" w:rsidP="000160F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72D9C" w:rsidRDefault="00C72D9C" w:rsidP="00290BF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разработка стратегических направлений оптимизации и повышения эффективности бюджетных расходов на долгосрочный период позволит полноценно ориентировать бюджетный процесс на достижение стратегических целей социально-экономического и бюджетного развития субъектов Российской Федерации, усилить влияние бюджетных расходов на показатели качества жизни населения и уровень экономического развития в стране. Разработка бюджетной стратегии региона должна стать неотъемлемой часть. Системы государственного стратегического планирования, как на уровне Российской Федерации, так и на уровне субъектов Российской Федерации. Особое внимание в процессе бюджетного стратегирования должно быть уделено стратегическим направлениям оптимизации и повышения эффективности бюджетных расходов, обеспечению «жесткой» увязки стратегического планирования бюджетных расходов и достижения долгосрочных целей социально-экономического развития региона.</w:t>
      </w:r>
    </w:p>
    <w:p w:rsidR="00C72D9C" w:rsidRPr="00C01B11" w:rsidRDefault="00C72D9C" w:rsidP="00C01B1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01B11">
        <w:rPr>
          <w:rFonts w:ascii="Times New Roman" w:hAnsi="Times New Roman"/>
          <w:b/>
          <w:sz w:val="24"/>
          <w:szCs w:val="24"/>
        </w:rPr>
        <w:t>Библиографический список:</w:t>
      </w:r>
    </w:p>
    <w:p w:rsidR="00C72D9C" w:rsidRPr="004A2494" w:rsidRDefault="00C72D9C" w:rsidP="00C01B1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A2494">
        <w:rPr>
          <w:rFonts w:ascii="Times New Roman" w:hAnsi="Times New Roman"/>
          <w:sz w:val="24"/>
          <w:szCs w:val="24"/>
        </w:rPr>
        <w:t>Афанасьев Мст. П., Кривогов И.В., Беленчук А.А. Бюджет и бюджетная система. М.: Юрайт, 2011. 777с. С.81-83.</w:t>
      </w:r>
    </w:p>
    <w:p w:rsidR="00C72D9C" w:rsidRPr="004A2494" w:rsidRDefault="00C72D9C" w:rsidP="00C01B1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A2494">
        <w:rPr>
          <w:rFonts w:ascii="Times New Roman" w:hAnsi="Times New Roman"/>
          <w:sz w:val="24"/>
          <w:szCs w:val="24"/>
        </w:rPr>
        <w:t>Бюджетный кодекс Российской Федерации: текст с изм. И доп. На 2013 г. – М.: Эксмо, 2013. – 336 с. – (Актуальное законодательство).</w:t>
      </w:r>
    </w:p>
    <w:p w:rsidR="00C72D9C" w:rsidRPr="004A2494" w:rsidRDefault="00C72D9C" w:rsidP="00C01B1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A2494">
        <w:rPr>
          <w:rFonts w:ascii="Times New Roman" w:hAnsi="Times New Roman"/>
          <w:sz w:val="24"/>
          <w:szCs w:val="24"/>
        </w:rPr>
        <w:t xml:space="preserve">Ковалева Т.Н. Финансовая глобализация и бюджетная система государства: монография. СПб.: Изд-во Политехнического университета.- 2010. </w:t>
      </w:r>
    </w:p>
    <w:p w:rsidR="00C72D9C" w:rsidRPr="004A2494" w:rsidRDefault="00C72D9C" w:rsidP="00C01B1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A2494">
        <w:rPr>
          <w:rFonts w:ascii="Times New Roman" w:hAnsi="Times New Roman"/>
          <w:sz w:val="24"/>
          <w:szCs w:val="24"/>
        </w:rPr>
        <w:t>Николаев А.В., Баев А.С., Блинов А.О. Внедрение БОР в систему государственного управления субъектов РФ: монография. М.: Перо.-2010.</w:t>
      </w:r>
    </w:p>
    <w:p w:rsidR="00C72D9C" w:rsidRPr="004A2494" w:rsidRDefault="00C72D9C" w:rsidP="00C01B1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A2494">
        <w:rPr>
          <w:rFonts w:ascii="Times New Roman" w:hAnsi="Times New Roman"/>
          <w:sz w:val="24"/>
          <w:szCs w:val="24"/>
        </w:rPr>
        <w:t>Пасько С.Н. Социально-экономические стратегии развития – перспективы заимствования / С.Н. Пасько //// Научный журнал КубГАУ [Электронный ресурс]. – Краснодар: КубГАУ, 2013. -  № 86 (02). Режим доступа: http:// ej.kubagro.ru/2013/02/pdf/34.pdf. С.1. (Дата обращения 10.10.2013г.)</w:t>
      </w:r>
    </w:p>
    <w:p w:rsidR="00C72D9C" w:rsidRPr="004A2494" w:rsidRDefault="00C72D9C" w:rsidP="00C01B1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A2494">
        <w:rPr>
          <w:rFonts w:ascii="Times New Roman" w:hAnsi="Times New Roman"/>
          <w:sz w:val="24"/>
          <w:szCs w:val="24"/>
        </w:rPr>
        <w:t>Повышение эффективности бюджетных расходов: учебное пособие /под общ. ред. А.А. Климова. – М.: Издательство «Дело» АНХ, 2009. – 520с.</w:t>
      </w:r>
    </w:p>
    <w:p w:rsidR="00C72D9C" w:rsidRPr="00EE7421" w:rsidRDefault="00C72D9C" w:rsidP="004A2494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72D9C" w:rsidRPr="007F569D" w:rsidRDefault="00C72D9C" w:rsidP="00C01B11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F569D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72D9C" w:rsidRPr="0068010D" w:rsidRDefault="00C72D9C" w:rsidP="00C01B1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8010D">
        <w:rPr>
          <w:rFonts w:ascii="Times New Roman" w:hAnsi="Times New Roman"/>
          <w:sz w:val="24"/>
          <w:szCs w:val="24"/>
          <w:lang w:val="en-US"/>
        </w:rPr>
        <w:t>1.</w:t>
      </w:r>
      <w:r w:rsidRPr="0068010D">
        <w:rPr>
          <w:rFonts w:ascii="Times New Roman" w:hAnsi="Times New Roman"/>
          <w:sz w:val="24"/>
          <w:szCs w:val="24"/>
          <w:lang w:val="en-US"/>
        </w:rPr>
        <w:tab/>
        <w:t>Afanas'ev Mst. P., Krivogov I.V., Belenchuk A.A. Bjudzhet i bjudzhetnaja sistema. M.: Jurajt, 2011. 777s. S.81-83.</w:t>
      </w:r>
    </w:p>
    <w:p w:rsidR="00C72D9C" w:rsidRPr="0068010D" w:rsidRDefault="00C72D9C" w:rsidP="00C01B1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8010D">
        <w:rPr>
          <w:rFonts w:ascii="Times New Roman" w:hAnsi="Times New Roman"/>
          <w:sz w:val="24"/>
          <w:szCs w:val="24"/>
          <w:lang w:val="en-US"/>
        </w:rPr>
        <w:t>2.</w:t>
      </w:r>
      <w:r w:rsidRPr="0068010D">
        <w:rPr>
          <w:rFonts w:ascii="Times New Roman" w:hAnsi="Times New Roman"/>
          <w:sz w:val="24"/>
          <w:szCs w:val="24"/>
          <w:lang w:val="en-US"/>
        </w:rPr>
        <w:tab/>
        <w:t>Bjudzhetnyj kodeks Rossijskoj Federacii: tekst s izm. I dop. Na 2013 g. – M.: Jeksmo, 2013. – 336 s. – (Aktual'noe zakonodatel'stvo).</w:t>
      </w:r>
    </w:p>
    <w:p w:rsidR="00C72D9C" w:rsidRPr="0068010D" w:rsidRDefault="00C72D9C" w:rsidP="00C01B1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8010D">
        <w:rPr>
          <w:rFonts w:ascii="Times New Roman" w:hAnsi="Times New Roman"/>
          <w:sz w:val="24"/>
          <w:szCs w:val="24"/>
          <w:lang w:val="en-US"/>
        </w:rPr>
        <w:t>3.</w:t>
      </w:r>
      <w:r w:rsidRPr="0068010D">
        <w:rPr>
          <w:rFonts w:ascii="Times New Roman" w:hAnsi="Times New Roman"/>
          <w:sz w:val="24"/>
          <w:szCs w:val="24"/>
          <w:lang w:val="en-US"/>
        </w:rPr>
        <w:tab/>
        <w:t xml:space="preserve">Kovaleva T.N. Finansovaja globalizacija i bjudzhetnaja sistema gosudarstva: monografija. SPb.: Izd-vo Politehnicheskogo universiteta.- 2010. </w:t>
      </w:r>
    </w:p>
    <w:p w:rsidR="00C72D9C" w:rsidRPr="0068010D" w:rsidRDefault="00C72D9C" w:rsidP="00C01B1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8010D">
        <w:rPr>
          <w:rFonts w:ascii="Times New Roman" w:hAnsi="Times New Roman"/>
          <w:sz w:val="24"/>
          <w:szCs w:val="24"/>
          <w:lang w:val="en-US"/>
        </w:rPr>
        <w:t>4.</w:t>
      </w:r>
      <w:r w:rsidRPr="0068010D">
        <w:rPr>
          <w:rFonts w:ascii="Times New Roman" w:hAnsi="Times New Roman"/>
          <w:sz w:val="24"/>
          <w:szCs w:val="24"/>
          <w:lang w:val="en-US"/>
        </w:rPr>
        <w:tab/>
        <w:t>Nikolaev A.V., Baev A.S., Blinov A.O. Vnedrenie BOR v sistemu gosudarstvennogo upravlenija sub#ektov RF: monografija. M.: Pero.-2010.</w:t>
      </w:r>
    </w:p>
    <w:p w:rsidR="00C72D9C" w:rsidRPr="0068010D" w:rsidRDefault="00C72D9C" w:rsidP="00C01B1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8010D">
        <w:rPr>
          <w:rFonts w:ascii="Times New Roman" w:hAnsi="Times New Roman"/>
          <w:sz w:val="24"/>
          <w:szCs w:val="24"/>
          <w:lang w:val="en-US"/>
        </w:rPr>
        <w:t>5.</w:t>
      </w:r>
      <w:r w:rsidRPr="0068010D">
        <w:rPr>
          <w:rFonts w:ascii="Times New Roman" w:hAnsi="Times New Roman"/>
          <w:sz w:val="24"/>
          <w:szCs w:val="24"/>
          <w:lang w:val="en-US"/>
        </w:rPr>
        <w:tab/>
        <w:t>Pas'ko S.N. Social'no-jekonomicheskie strategii razvitija – perspektivy zaimstvovanija / S.N. Pas'ko //// Nauchnyj zhurnal KubGAU [Jelektronnyj resurs]. – Krasnodar: KubGAU, 2013. -  № 86 (02). Rezhim dostupa: http:// ej.kubagro.ru/2013/02/pdf/34.pdf. S.1. (Data obrashhenija 10.10.2013g.)</w:t>
      </w:r>
    </w:p>
    <w:p w:rsidR="00C72D9C" w:rsidRPr="007F569D" w:rsidRDefault="00C72D9C" w:rsidP="00C01B1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F569D">
        <w:rPr>
          <w:rFonts w:ascii="Times New Roman" w:hAnsi="Times New Roman"/>
          <w:sz w:val="24"/>
          <w:szCs w:val="24"/>
          <w:lang w:val="en-US"/>
        </w:rPr>
        <w:t>6.</w:t>
      </w:r>
      <w:r w:rsidRPr="007F569D">
        <w:rPr>
          <w:rFonts w:ascii="Times New Roman" w:hAnsi="Times New Roman"/>
          <w:sz w:val="24"/>
          <w:szCs w:val="24"/>
          <w:lang w:val="en-US"/>
        </w:rPr>
        <w:tab/>
        <w:t xml:space="preserve">Povyshenie jeffektivnosti bjudzhetnyh rashodov: uchebnoe posobie /pod obshh. red. </w:t>
      </w:r>
      <w:r w:rsidRPr="007F569D">
        <w:rPr>
          <w:rFonts w:ascii="Times New Roman" w:hAnsi="Times New Roman"/>
          <w:sz w:val="24"/>
          <w:szCs w:val="24"/>
        </w:rPr>
        <w:t>A.A. Klimova. – M.: Izdatel'stvo «Delo» ANH, 2009. – 520s.</w:t>
      </w:r>
    </w:p>
    <w:sectPr w:rsidR="00C72D9C" w:rsidRPr="007F569D" w:rsidSect="008E64B0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D9C" w:rsidRDefault="00C72D9C" w:rsidP="005742C5">
      <w:pPr>
        <w:spacing w:after="0" w:line="240" w:lineRule="auto"/>
      </w:pPr>
      <w:r>
        <w:separator/>
      </w:r>
    </w:p>
  </w:endnote>
  <w:endnote w:type="continuationSeparator" w:id="1">
    <w:p w:rsidR="00C72D9C" w:rsidRDefault="00C72D9C" w:rsidP="00574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D9C" w:rsidRDefault="00C72D9C">
    <w:pPr>
      <w:pStyle w:val="Footer"/>
    </w:pPr>
    <w:r w:rsidRPr="00465A85">
      <w:rPr>
        <w:rFonts w:ascii="Times New Roman" w:hAnsi="Times New Roman"/>
        <w:sz w:val="24"/>
        <w:szCs w:val="24"/>
      </w:rPr>
      <w:t>http://ej.kubagro.ru/2013/0</w:t>
    </w:r>
    <w:r w:rsidRPr="00465A85">
      <w:rPr>
        <w:rFonts w:ascii="Times New Roman" w:hAnsi="Times New Roman"/>
        <w:sz w:val="24"/>
        <w:szCs w:val="24"/>
        <w:lang w:val="en-US"/>
      </w:rPr>
      <w:t>9</w:t>
    </w:r>
    <w:r w:rsidRPr="00465A85">
      <w:rPr>
        <w:rFonts w:ascii="Times New Roman" w:hAnsi="Times New Roman"/>
        <w:sz w:val="24"/>
        <w:szCs w:val="24"/>
      </w:rPr>
      <w:t>/pdf/</w:t>
    </w:r>
    <w:r w:rsidRPr="00465A85">
      <w:rPr>
        <w:rFonts w:ascii="Times New Roman" w:hAnsi="Times New Roman"/>
        <w:sz w:val="24"/>
        <w:szCs w:val="24"/>
        <w:lang w:val="en-US"/>
      </w:rPr>
      <w:t>9</w:t>
    </w:r>
    <w:r>
      <w:rPr>
        <w:rFonts w:ascii="Times New Roman" w:hAnsi="Times New Roman"/>
        <w:sz w:val="24"/>
        <w:szCs w:val="24"/>
        <w:lang w:val="en-US"/>
      </w:rPr>
      <w:t>6</w:t>
    </w:r>
    <w:r w:rsidRPr="00465A8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D9C" w:rsidRDefault="00C72D9C" w:rsidP="005742C5">
      <w:pPr>
        <w:spacing w:after="0" w:line="240" w:lineRule="auto"/>
      </w:pPr>
      <w:r>
        <w:separator/>
      </w:r>
    </w:p>
  </w:footnote>
  <w:footnote w:type="continuationSeparator" w:id="1">
    <w:p w:rsidR="00C72D9C" w:rsidRDefault="00C72D9C" w:rsidP="005742C5">
      <w:pPr>
        <w:spacing w:after="0" w:line="240" w:lineRule="auto"/>
      </w:pPr>
      <w:r>
        <w:continuationSeparator/>
      </w:r>
    </w:p>
  </w:footnote>
  <w:footnote w:id="2">
    <w:p w:rsidR="00C72D9C" w:rsidRDefault="00C72D9C" w:rsidP="005742C5">
      <w:pPr>
        <w:pStyle w:val="FootnoteText"/>
        <w:jc w:val="both"/>
      </w:pPr>
      <w:r w:rsidRPr="001C5D19">
        <w:rPr>
          <w:rStyle w:val="FootnoteReference"/>
          <w:sz w:val="24"/>
          <w:szCs w:val="24"/>
        </w:rPr>
        <w:footnoteRef/>
      </w:r>
      <w:r w:rsidRPr="001C5D19">
        <w:rPr>
          <w:sz w:val="24"/>
          <w:szCs w:val="24"/>
        </w:rPr>
        <w:t xml:space="preserve"> </w:t>
      </w:r>
      <w:r w:rsidRPr="00424554">
        <w:rPr>
          <w:rFonts w:ascii="Times New Roman" w:hAnsi="Times New Roman"/>
          <w:sz w:val="24"/>
          <w:szCs w:val="24"/>
        </w:rPr>
        <w:t xml:space="preserve">Составлено автором по данным Министерства финансов РФ, опубликованных на сайте </w:t>
      </w:r>
      <w:r w:rsidRPr="00424554">
        <w:rPr>
          <w:rFonts w:ascii="Times New Roman" w:hAnsi="Times New Roman"/>
          <w:sz w:val="24"/>
          <w:szCs w:val="24"/>
          <w:lang w:val="en-US"/>
        </w:rPr>
        <w:t>www</w:t>
      </w:r>
      <w:r w:rsidRPr="00424554">
        <w:rPr>
          <w:rFonts w:ascii="Times New Roman" w:hAnsi="Times New Roman"/>
          <w:sz w:val="24"/>
          <w:szCs w:val="24"/>
        </w:rPr>
        <w:t>.</w:t>
      </w:r>
      <w:r w:rsidRPr="00424554">
        <w:rPr>
          <w:rFonts w:ascii="Times New Roman" w:hAnsi="Times New Roman"/>
          <w:sz w:val="24"/>
          <w:szCs w:val="24"/>
          <w:lang w:val="en-US"/>
        </w:rPr>
        <w:t>minfin</w:t>
      </w:r>
      <w:r w:rsidRPr="00424554">
        <w:rPr>
          <w:rFonts w:ascii="Times New Roman" w:hAnsi="Times New Roman"/>
          <w:sz w:val="24"/>
          <w:szCs w:val="24"/>
        </w:rPr>
        <w:t>.</w:t>
      </w:r>
      <w:r w:rsidRPr="00424554">
        <w:rPr>
          <w:rFonts w:ascii="Times New Roman" w:hAnsi="Times New Roman"/>
          <w:sz w:val="24"/>
          <w:szCs w:val="24"/>
          <w:lang w:val="en-US"/>
        </w:rPr>
        <w:t>ru</w:t>
      </w:r>
      <w:r w:rsidRPr="00424554">
        <w:rPr>
          <w:rFonts w:ascii="Times New Roman" w:hAnsi="Times New Roman"/>
          <w:sz w:val="24"/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D9C" w:rsidRDefault="00C72D9C" w:rsidP="00A832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D9C" w:rsidRDefault="00C72D9C" w:rsidP="00C4022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D9C" w:rsidRPr="00C40227" w:rsidRDefault="00C72D9C" w:rsidP="00A832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40227">
      <w:rPr>
        <w:rStyle w:val="PageNumber"/>
        <w:rFonts w:ascii="Times New Roman" w:hAnsi="Times New Roman"/>
        <w:sz w:val="28"/>
        <w:szCs w:val="28"/>
      </w:rPr>
      <w:fldChar w:fldCharType="begin"/>
    </w:r>
    <w:r w:rsidRPr="00C4022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4022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C40227">
      <w:rPr>
        <w:rStyle w:val="PageNumber"/>
        <w:rFonts w:ascii="Times New Roman" w:hAnsi="Times New Roman"/>
        <w:sz w:val="28"/>
        <w:szCs w:val="28"/>
      </w:rPr>
      <w:fldChar w:fldCharType="end"/>
    </w:r>
  </w:p>
  <w:p w:rsidR="00C72D9C" w:rsidRDefault="00C72D9C" w:rsidP="00C40227">
    <w:pPr>
      <w:pStyle w:val="Header"/>
      <w:ind w:right="360"/>
    </w:pPr>
    <w:r w:rsidRPr="00F01EF7">
      <w:rPr>
        <w:rFonts w:ascii="Times New Roman" w:hAnsi="Times New Roman"/>
        <w:sz w:val="24"/>
        <w:szCs w:val="24"/>
      </w:rPr>
      <w:t>Научный журнал КубГАУ, №9</w:t>
    </w:r>
    <w:r w:rsidRPr="00F01EF7">
      <w:rPr>
        <w:rFonts w:ascii="Times New Roman" w:hAnsi="Times New Roman"/>
        <w:sz w:val="24"/>
        <w:szCs w:val="24"/>
        <w:lang w:val="en-US"/>
      </w:rPr>
      <w:t>3</w:t>
    </w:r>
    <w:r w:rsidRPr="00F01EF7">
      <w:rPr>
        <w:rFonts w:ascii="Times New Roman" w:hAnsi="Times New Roman"/>
        <w:sz w:val="24"/>
        <w:szCs w:val="24"/>
      </w:rPr>
      <w:t>(0</w:t>
    </w:r>
    <w:r w:rsidRPr="00F01EF7">
      <w:rPr>
        <w:rFonts w:ascii="Times New Roman" w:hAnsi="Times New Roman"/>
        <w:sz w:val="24"/>
        <w:szCs w:val="24"/>
        <w:lang w:val="en-US"/>
      </w:rPr>
      <w:t>9</w:t>
    </w:r>
    <w:r w:rsidRPr="00F01EF7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76C"/>
    <w:multiLevelType w:val="hybridMultilevel"/>
    <w:tmpl w:val="A7282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2C5"/>
    <w:rsid w:val="000160FF"/>
    <w:rsid w:val="000400C3"/>
    <w:rsid w:val="00095723"/>
    <w:rsid w:val="000A5222"/>
    <w:rsid w:val="000F0D64"/>
    <w:rsid w:val="000F32A0"/>
    <w:rsid w:val="0011295D"/>
    <w:rsid w:val="00114255"/>
    <w:rsid w:val="00125749"/>
    <w:rsid w:val="001A4271"/>
    <w:rsid w:val="001C5D19"/>
    <w:rsid w:val="002260DF"/>
    <w:rsid w:val="00271E8D"/>
    <w:rsid w:val="00290BF1"/>
    <w:rsid w:val="002B7E63"/>
    <w:rsid w:val="002D586F"/>
    <w:rsid w:val="002D6B85"/>
    <w:rsid w:val="003039C7"/>
    <w:rsid w:val="00307508"/>
    <w:rsid w:val="00320957"/>
    <w:rsid w:val="00344A71"/>
    <w:rsid w:val="00377976"/>
    <w:rsid w:val="00396F2D"/>
    <w:rsid w:val="00397E24"/>
    <w:rsid w:val="003E5A42"/>
    <w:rsid w:val="00424554"/>
    <w:rsid w:val="00455737"/>
    <w:rsid w:val="00465A85"/>
    <w:rsid w:val="004A2494"/>
    <w:rsid w:val="004B333F"/>
    <w:rsid w:val="004D3AFE"/>
    <w:rsid w:val="004E3423"/>
    <w:rsid w:val="0050162D"/>
    <w:rsid w:val="00533A73"/>
    <w:rsid w:val="00537503"/>
    <w:rsid w:val="005742C5"/>
    <w:rsid w:val="0058515B"/>
    <w:rsid w:val="006040D5"/>
    <w:rsid w:val="00620553"/>
    <w:rsid w:val="00642957"/>
    <w:rsid w:val="0068010D"/>
    <w:rsid w:val="006803FC"/>
    <w:rsid w:val="006A18FD"/>
    <w:rsid w:val="006F42F6"/>
    <w:rsid w:val="007D0252"/>
    <w:rsid w:val="007F1038"/>
    <w:rsid w:val="007F569D"/>
    <w:rsid w:val="008065C9"/>
    <w:rsid w:val="0081344D"/>
    <w:rsid w:val="00883848"/>
    <w:rsid w:val="008E1DF8"/>
    <w:rsid w:val="008E64B0"/>
    <w:rsid w:val="00902BA4"/>
    <w:rsid w:val="009115B8"/>
    <w:rsid w:val="00912D7D"/>
    <w:rsid w:val="009143C3"/>
    <w:rsid w:val="009A2BAF"/>
    <w:rsid w:val="009F455E"/>
    <w:rsid w:val="00A0710D"/>
    <w:rsid w:val="00A21440"/>
    <w:rsid w:val="00A564E9"/>
    <w:rsid w:val="00A826A7"/>
    <w:rsid w:val="00A832E9"/>
    <w:rsid w:val="00A950E5"/>
    <w:rsid w:val="00AC52D1"/>
    <w:rsid w:val="00AD28BE"/>
    <w:rsid w:val="00B60AB6"/>
    <w:rsid w:val="00B83CC1"/>
    <w:rsid w:val="00B90889"/>
    <w:rsid w:val="00BD7DE7"/>
    <w:rsid w:val="00BE3B80"/>
    <w:rsid w:val="00C01B11"/>
    <w:rsid w:val="00C40227"/>
    <w:rsid w:val="00C56819"/>
    <w:rsid w:val="00C57145"/>
    <w:rsid w:val="00C72D9C"/>
    <w:rsid w:val="00C82DB2"/>
    <w:rsid w:val="00C85F42"/>
    <w:rsid w:val="00C96F57"/>
    <w:rsid w:val="00CE7BFA"/>
    <w:rsid w:val="00CF115A"/>
    <w:rsid w:val="00D03B76"/>
    <w:rsid w:val="00D04185"/>
    <w:rsid w:val="00D42323"/>
    <w:rsid w:val="00D5004C"/>
    <w:rsid w:val="00D50E84"/>
    <w:rsid w:val="00D50FBD"/>
    <w:rsid w:val="00D76053"/>
    <w:rsid w:val="00D8438C"/>
    <w:rsid w:val="00DC216A"/>
    <w:rsid w:val="00DD55B3"/>
    <w:rsid w:val="00E1084B"/>
    <w:rsid w:val="00E50970"/>
    <w:rsid w:val="00E53EA8"/>
    <w:rsid w:val="00EA7090"/>
    <w:rsid w:val="00EB54AD"/>
    <w:rsid w:val="00EC6226"/>
    <w:rsid w:val="00EE600E"/>
    <w:rsid w:val="00EE7421"/>
    <w:rsid w:val="00F01EF7"/>
    <w:rsid w:val="00F05E84"/>
    <w:rsid w:val="00F12C62"/>
    <w:rsid w:val="00F24B8B"/>
    <w:rsid w:val="00F75718"/>
    <w:rsid w:val="00F84FD8"/>
    <w:rsid w:val="00FA61FB"/>
    <w:rsid w:val="00FB72DD"/>
    <w:rsid w:val="00FE4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C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742C5"/>
    <w:pPr>
      <w:spacing w:after="0" w:line="48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742C5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5742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5742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742C5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742C5"/>
    <w:rPr>
      <w:rFonts w:cs="Times New Roman"/>
      <w:vertAlign w:val="superscript"/>
    </w:rPr>
  </w:style>
  <w:style w:type="paragraph" w:styleId="NormalWeb">
    <w:name w:val="Normal (Web)"/>
    <w:aliases w:val="Обычный (Web)"/>
    <w:basedOn w:val="Normal"/>
    <w:uiPriority w:val="99"/>
    <w:rsid w:val="00FB7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564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B3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333F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4B3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333F"/>
    <w:rPr>
      <w:rFonts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rsid w:val="00C402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497</TotalTime>
  <Pages>12</Pages>
  <Words>3186</Words>
  <Characters>18164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dcterms:created xsi:type="dcterms:W3CDTF">2013-10-22T17:32:00Z</dcterms:created>
  <dcterms:modified xsi:type="dcterms:W3CDTF">2013-11-24T18:21:00Z</dcterms:modified>
</cp:coreProperties>
</file>