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5"/>
        <w:gridCol w:w="4535"/>
      </w:tblGrid>
      <w:tr w:rsidR="00E37CFE" w:rsidRPr="000D7E9C" w:rsidTr="003E0E12">
        <w:trPr>
          <w:trHeight w:val="835"/>
        </w:trPr>
        <w:tc>
          <w:tcPr>
            <w:tcW w:w="2500" w:type="pct"/>
            <w:shd w:val="clear" w:color="auto" w:fill="FFFFFF"/>
          </w:tcPr>
          <w:p w:rsidR="00E37CFE" w:rsidRPr="00220C10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bookmark0"/>
            <w:r w:rsidRPr="00220C10">
              <w:rPr>
                <w:rFonts w:ascii="Times New Roman" w:hAnsi="Times New Roman"/>
                <w:sz w:val="20"/>
                <w:szCs w:val="20"/>
              </w:rPr>
              <w:t>УДК 338.436</w:t>
            </w:r>
            <w:r w:rsidRPr="00220C10">
              <w:rPr>
                <w:rFonts w:ascii="Times New Roman" w:hAnsi="Times New Roman"/>
                <w:sz w:val="20"/>
                <w:szCs w:val="20"/>
              </w:rPr>
              <w:br/>
            </w:r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0E12">
              <w:rPr>
                <w:rFonts w:ascii="Times New Roman" w:hAnsi="Times New Roman"/>
                <w:b/>
                <w:bCs/>
                <w:sz w:val="20"/>
                <w:szCs w:val="20"/>
              </w:rPr>
              <w:t>ПЕРСПЕКТИВЫ РАЗВИТИЯ СВЕКЛОСАХАРНОГО ПОДКОМПЛЕКСА РОССИИ В УСЛОВИЯХ МОДЕРНИЗАЦИИ ПРОИЗВОДСТВА И МЕЖДУНАРОДНОЙ ИНТЕГРАЦИИ</w:t>
            </w:r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E37CFE" w:rsidRPr="00220C10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20C10">
              <w:rPr>
                <w:rFonts w:ascii="Times New Roman" w:hAnsi="Times New Roman"/>
                <w:sz w:val="20"/>
                <w:szCs w:val="20"/>
                <w:lang w:val="en-US"/>
              </w:rPr>
              <w:t>UDC 338.436</w:t>
            </w:r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E0E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PROSPECTS OF DEVELOPMENT OF THE BEET SUGAR SUBCOMPLEX OF </w:t>
            </w:r>
            <w:smartTag w:uri="urn:schemas-microsoft-com:office:smarttags" w:element="place">
              <w:smartTag w:uri="urn:schemas-microsoft-com:office:smarttags" w:element="country-region">
                <w:r w:rsidRPr="003E0E12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3E0E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 THE CONDITIONS OF MODERNIZATION OF PRODUCTION AND THE INTERNATIONAL INTEGRATION</w:t>
            </w:r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7CFE" w:rsidRPr="000D7E9C" w:rsidTr="003E0E12">
        <w:trPr>
          <w:trHeight w:val="551"/>
        </w:trPr>
        <w:tc>
          <w:tcPr>
            <w:tcW w:w="2500" w:type="pct"/>
            <w:shd w:val="clear" w:color="auto" w:fill="FFFFFF"/>
          </w:tcPr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E0E1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Тупикова Оксана Андреевна</w:t>
            </w:r>
          </w:p>
          <w:p w:rsidR="00E37CFE" w:rsidRPr="00220C10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3E0E12">
              <w:rPr>
                <w:rFonts w:ascii="Times New Roman" w:hAnsi="Times New Roman"/>
                <w:sz w:val="20"/>
                <w:szCs w:val="20"/>
              </w:rPr>
              <w:t>спирант кафедры</w:t>
            </w:r>
            <w:r w:rsidRPr="003E0E1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</w:t>
            </w:r>
            <w:r w:rsidRPr="003E0E12">
              <w:rPr>
                <w:rFonts w:ascii="Times New Roman" w:hAnsi="Times New Roman"/>
                <w:color w:val="181818"/>
                <w:sz w:val="20"/>
                <w:szCs w:val="20"/>
                <w:shd w:val="clear" w:color="auto" w:fill="FFFFFF"/>
              </w:rPr>
              <w:t>нституциональной экономики и инвестиционного менеджмента</w:t>
            </w:r>
          </w:p>
        </w:tc>
        <w:tc>
          <w:tcPr>
            <w:tcW w:w="2500" w:type="pct"/>
            <w:shd w:val="clear" w:color="auto" w:fill="FFFFFF"/>
          </w:tcPr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>Tupikova Oksana Andreevna</w:t>
            </w:r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postg</w:t>
            </w: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raduate student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C</w:t>
            </w: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>hair of institutional economy and investment management</w:t>
            </w:r>
          </w:p>
        </w:tc>
      </w:tr>
      <w:tr w:rsidR="00E37CFE" w:rsidRPr="000D7E9C" w:rsidTr="003E0E12">
        <w:trPr>
          <w:trHeight w:val="527"/>
        </w:trPr>
        <w:tc>
          <w:tcPr>
            <w:tcW w:w="2500" w:type="pct"/>
            <w:shd w:val="clear" w:color="auto" w:fill="FFFFFF"/>
          </w:tcPr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3E0E12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3E0E1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university, Krasnodar, </w:t>
            </w:r>
            <w:smartTag w:uri="urn:schemas-microsoft-com:office:smarttags" w:element="metricconverter">
              <w:smartTagPr>
                <w:attr w:name="ProductID" w:val="9. In"/>
              </w:smartTagPr>
              <w:r w:rsidRPr="003E0E12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Russia</w:t>
              </w:r>
            </w:smartTag>
          </w:p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E37CFE" w:rsidRPr="000D7E9C" w:rsidTr="003E0E12">
        <w:trPr>
          <w:trHeight w:val="1166"/>
        </w:trPr>
        <w:tc>
          <w:tcPr>
            <w:tcW w:w="2500" w:type="pct"/>
            <w:shd w:val="clear" w:color="auto" w:fill="FFFFFF"/>
          </w:tcPr>
          <w:p w:rsidR="00E37CFE" w:rsidRPr="00220C10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0E12">
              <w:rPr>
                <w:rFonts w:ascii="Times New Roman" w:hAnsi="Times New Roman"/>
                <w:sz w:val="20"/>
                <w:szCs w:val="20"/>
              </w:rPr>
              <w:t>В статье подробно рассматриваются перспективы развития свеклосахарного подкомплекса России в условиях модернизации производ</w:t>
            </w:r>
            <w:r>
              <w:rPr>
                <w:rFonts w:ascii="Times New Roman" w:hAnsi="Times New Roman"/>
                <w:sz w:val="20"/>
                <w:szCs w:val="20"/>
              </w:rPr>
              <w:t>ства и международной интеграции</w:t>
            </w:r>
          </w:p>
        </w:tc>
        <w:tc>
          <w:tcPr>
            <w:tcW w:w="2500" w:type="pct"/>
            <w:shd w:val="clear" w:color="auto" w:fill="FFFFFF"/>
          </w:tcPr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article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consider </w:t>
            </w: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>in detail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</w:t>
            </w: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prospects of development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beet sugar subcomplex of </w:t>
            </w:r>
            <w:smartTag w:uri="urn:schemas-microsoft-com:office:smarttags" w:element="metricconverter">
              <w:smartTagPr>
                <w:attr w:name="ProductID" w:val="9. In"/>
              </w:smartTagPr>
              <w:r w:rsidRPr="003E0E12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conditions of modernization of production and the international integration</w:t>
            </w:r>
          </w:p>
        </w:tc>
      </w:tr>
      <w:tr w:rsidR="00E37CFE" w:rsidRPr="000D7E9C" w:rsidTr="003E0E12">
        <w:trPr>
          <w:trHeight w:val="389"/>
        </w:trPr>
        <w:tc>
          <w:tcPr>
            <w:tcW w:w="2500" w:type="pct"/>
            <w:shd w:val="clear" w:color="auto" w:fill="FFFFFF"/>
          </w:tcPr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0E12">
              <w:rPr>
                <w:rFonts w:ascii="Times New Roman" w:hAnsi="Times New Roman"/>
                <w:sz w:val="20"/>
                <w:szCs w:val="20"/>
              </w:rPr>
              <w:t>Ключевые слова: ГОСУДАРСТВЕННОЕ РЕГУЛИРОВАНИЕ, СУБСИДИРОВАНИЕ, РАЗВИТИЕ, ЭФФЕКТИВНОСТЬ, АПК, ПРОДОВОЛЬСТВЕННАЯ БЕЗОПАСНОСТЬ</w:t>
            </w:r>
          </w:p>
        </w:tc>
        <w:tc>
          <w:tcPr>
            <w:tcW w:w="2500" w:type="pct"/>
            <w:shd w:val="clear" w:color="auto" w:fill="FFFFFF"/>
          </w:tcPr>
          <w:p w:rsidR="00E37CFE" w:rsidRPr="003E0E12" w:rsidRDefault="00E37CFE" w:rsidP="000D7E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0E12">
              <w:rPr>
                <w:rFonts w:ascii="Times New Roman" w:hAnsi="Times New Roman"/>
                <w:sz w:val="20"/>
                <w:szCs w:val="20"/>
                <w:lang w:val="en-US"/>
              </w:rPr>
              <w:t>Keywords: STATE REGULATION, SUBSIDIZING, DEVELOPMENT, EFFICIENCY, AGRARIAN AND INDUSTRIAL COMPLEX, FOOD SECURITY</w:t>
            </w:r>
          </w:p>
        </w:tc>
      </w:tr>
      <w:bookmarkEnd w:id="0"/>
    </w:tbl>
    <w:p w:rsidR="00E37CFE" w:rsidRPr="001A6B37" w:rsidRDefault="00E37CFE">
      <w:pPr>
        <w:rPr>
          <w:rFonts w:ascii="Times New Roman" w:hAnsi="Times New Roman"/>
          <w:sz w:val="28"/>
          <w:szCs w:val="28"/>
          <w:lang w:val="en-US"/>
        </w:rPr>
      </w:pPr>
    </w:p>
    <w:p w:rsidR="00E37CFE" w:rsidRPr="001A6B37" w:rsidRDefault="00E37CFE" w:rsidP="007721E0">
      <w:pPr>
        <w:pStyle w:val="BodyTextIndent2"/>
        <w:spacing w:line="360" w:lineRule="auto"/>
        <w:ind w:firstLine="709"/>
        <w:rPr>
          <w:sz w:val="28"/>
          <w:szCs w:val="28"/>
        </w:rPr>
      </w:pPr>
      <w:r w:rsidRPr="001A6B37">
        <w:rPr>
          <w:sz w:val="28"/>
          <w:szCs w:val="28"/>
        </w:rPr>
        <w:t>Свеклосахарный подкомплекс, являясь высокоиндустриальным и энергоемким производством, занимает важное место в структуре АПК России. Предприятия отрасли размещены в 24 регионах страны, в этом секторе экономики занято более 250 тысяч специалистов. Потребность населения и перерабатывающей промышленности в сахаре за счет собственного производства удовлетворяется на 55–57% [15].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Основная продукция свеклосахарного комплекса – сахар, не только используется в ежедневном рационе питания каждого россиянина, являясь ценнейшим продуктом питания, но широко используется в кондитерской, хлебопекарной, консервной, молочной и других отраслях промышленности, в целом на промышленную переработку идет 43% производимого сахара. Побочная продукция (меласса и жом) служит ценным сырьем для дрожжевой промышленности и используется в качестве кормовых ресурсов для животноводства.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A6B37">
        <w:rPr>
          <w:rFonts w:ascii="Times New Roman" w:hAnsi="Times New Roman"/>
          <w:spacing w:val="2"/>
          <w:sz w:val="28"/>
          <w:szCs w:val="28"/>
        </w:rPr>
        <w:t>Посевы сахарной свеклы за последние годы занимают около 1% от площади всех сельскохозяйственных культур и составляют 0,8–1,0 млн. га [10].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 xml:space="preserve">Природные ограничения зоны свеклосеяния дают возможность возделывать эту культуру лишь в 26 регионах России при существенных различиях уровней урожайности, качества продукции и уровня затрат. Основными зонами свеклосеяния являются Центрально-Черноземный и Северо-Кавказский регионы, где сосредоточено 75% посевных площадей, Республики Башкортостан и Татарстан, Алтайский край, Орловская и Пензенская области. Положительной тенденцией последних лет в развитии свекловодства является рост урожайности и сахаристости сахарной свеклы. В </w:t>
      </w:r>
      <w:smartTag w:uri="urn:schemas-microsoft-com:office:smarttags" w:element="metricconverter">
        <w:smartTagPr>
          <w:attr w:name="ProductID" w:val="9. In"/>
        </w:smartTagPr>
        <w:r w:rsidRPr="001A6B37">
          <w:rPr>
            <w:rFonts w:ascii="Times New Roman" w:hAnsi="Times New Roman"/>
            <w:sz w:val="28"/>
            <w:szCs w:val="28"/>
          </w:rPr>
          <w:t>2012 г</w:t>
        </w:r>
      </w:smartTag>
      <w:r w:rsidRPr="001A6B37">
        <w:rPr>
          <w:rFonts w:ascii="Times New Roman" w:hAnsi="Times New Roman"/>
          <w:sz w:val="28"/>
          <w:szCs w:val="28"/>
        </w:rPr>
        <w:t>. валовой сбор сахарной свеклы составил 26,2 млн. т, что позволило выработать из нее 3,5 млн. т сахара. За последние годы наиболее высокие результаты в производстве свеклы достигли Краснодарский и Ставропольский края, где урожайность составила – 445 и 510 ц/га, Республика Мордовия –380 ц/га, Липецкая область – 390 ц/га, Курская – 395 ц/га [12].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6B37">
        <w:rPr>
          <w:rFonts w:ascii="Times New Roman" w:hAnsi="Times New Roman"/>
          <w:spacing w:val="-2"/>
          <w:sz w:val="28"/>
          <w:szCs w:val="28"/>
        </w:rPr>
        <w:t xml:space="preserve">Интегрированный показатель эффективности производства – выход сахара с одного га посевной площади в </w:t>
      </w:r>
      <w:smartTag w:uri="urn:schemas-microsoft-com:office:smarttags" w:element="metricconverter">
        <w:smartTagPr>
          <w:attr w:name="ProductID" w:val="9. In"/>
        </w:smartTagPr>
        <w:r w:rsidRPr="001A6B37">
          <w:rPr>
            <w:rFonts w:ascii="Times New Roman" w:hAnsi="Times New Roman"/>
            <w:spacing w:val="-2"/>
            <w:sz w:val="28"/>
            <w:szCs w:val="28"/>
          </w:rPr>
          <w:t>2012 г</w:t>
        </w:r>
      </w:smartTag>
      <w:r w:rsidRPr="001A6B37">
        <w:rPr>
          <w:rFonts w:ascii="Times New Roman" w:hAnsi="Times New Roman"/>
          <w:spacing w:val="-2"/>
          <w:sz w:val="28"/>
          <w:szCs w:val="28"/>
        </w:rPr>
        <w:t xml:space="preserve">. составил 5,05 т против 2,17 т в 2000 году. В то же время в Ставропольском крае – 6,17 т/га, Рязанской области – 5,99 т/га, Курской области – 5,9 т/га, в Республике Мордовия – 5,83 т/га, Липецкой области – 5,54 т/га, Тамбовской области – 5,51 т/га. Большое значение в получении конечного результата играет селекция и семеноводство сахарной свеклы. В последние годы семеноводство сахарной свеклы находится в кризисном положении: площади под маточной свеклой в Российской Федерации в целом сократились в 4,5 раза. В отдельных областях (Липецкой, Курской, Пензенской, Орловский и др.) снижение было еще значительнее – в 7–10 раз. Сложное положение и в других регионах, что может привести к свертыванию этой важной отрасли и полной зависимости от иностранных поставщиков семян. В </w:t>
      </w:r>
      <w:smartTag w:uri="urn:schemas-microsoft-com:office:smarttags" w:element="metricconverter">
        <w:smartTagPr>
          <w:attr w:name="ProductID" w:val="9. In"/>
        </w:smartTagPr>
        <w:r w:rsidRPr="001A6B37">
          <w:rPr>
            <w:rFonts w:ascii="Times New Roman" w:hAnsi="Times New Roman"/>
            <w:spacing w:val="-2"/>
            <w:sz w:val="28"/>
            <w:szCs w:val="28"/>
          </w:rPr>
          <w:t>2012 г</w:t>
        </w:r>
      </w:smartTag>
      <w:r w:rsidRPr="001A6B37">
        <w:rPr>
          <w:rFonts w:ascii="Times New Roman" w:hAnsi="Times New Roman"/>
          <w:spacing w:val="-2"/>
          <w:sz w:val="28"/>
          <w:szCs w:val="28"/>
        </w:rPr>
        <w:t>. было закуплено около 87% семян сортов и гибридов сахарной свеклы иностранной селекции.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A6B37">
        <w:rPr>
          <w:rFonts w:ascii="Times New Roman" w:hAnsi="Times New Roman"/>
          <w:spacing w:val="-4"/>
          <w:sz w:val="28"/>
          <w:szCs w:val="28"/>
        </w:rPr>
        <w:t>Перерабатывающая база свеклосахарной промышленности располагает 76 действующими сахарными заводами производственной мощностью 284,14 тыс. т переработки свеклы в сутки. Производственные мощности сахарных заводов могут обеспечивать в настоящее время переработку 26–27 млн. т сахарной свеклы в оптимальные сроки. В ряде регионов России были выведены из эксплуатации физически изношенные мощности 9 сахарных заводов. Износ основных производственных фондов промышленности превышает 50%, последний сахарный завод введен в эксплуатацию в Республике Башкортостан в 1985 году [17].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Основными производителями сахара остаются Центральный и Южный федеральные округа: 40–45% от общих объемов производства сахара приходится на Центральный округ, 35–40% – Южный округ. На долю Приволжского, Сибирского и Дальневосточного округов приходится около 20% выработки сахара. Позитивной тенденцией последних лет является рост удельного веса объемов производства сахара, выработанного из сахарной свеклы в общем объеме производства. Доля сахара-песка из сахарной свеклы в общем объеме производства за последние 10 лет возросла с 22% (</w:t>
      </w:r>
      <w:smartTag w:uri="urn:schemas-microsoft-com:office:smarttags" w:element="metricconverter">
        <w:smartTagPr>
          <w:attr w:name="ProductID" w:val="9. In"/>
        </w:smartTagPr>
        <w:r w:rsidRPr="001A6B37">
          <w:rPr>
            <w:rFonts w:ascii="Times New Roman" w:hAnsi="Times New Roman"/>
            <w:sz w:val="28"/>
            <w:szCs w:val="28"/>
          </w:rPr>
          <w:t>1999 г</w:t>
        </w:r>
      </w:smartTag>
      <w:r w:rsidRPr="001A6B37">
        <w:rPr>
          <w:rFonts w:ascii="Times New Roman" w:hAnsi="Times New Roman"/>
          <w:sz w:val="28"/>
          <w:szCs w:val="28"/>
        </w:rPr>
        <w:t>.) до 68% (</w:t>
      </w:r>
      <w:smartTag w:uri="urn:schemas-microsoft-com:office:smarttags" w:element="metricconverter">
        <w:smartTagPr>
          <w:attr w:name="ProductID" w:val="9. In"/>
        </w:smartTagPr>
        <w:r w:rsidRPr="001A6B37">
          <w:rPr>
            <w:rFonts w:ascii="Times New Roman" w:hAnsi="Times New Roman"/>
            <w:sz w:val="28"/>
            <w:szCs w:val="28"/>
          </w:rPr>
          <w:t>2011 г</w:t>
        </w:r>
      </w:smartTag>
      <w:r w:rsidRPr="001A6B37">
        <w:rPr>
          <w:rFonts w:ascii="Times New Roman" w:hAnsi="Times New Roman"/>
          <w:sz w:val="28"/>
          <w:szCs w:val="28"/>
        </w:rPr>
        <w:t xml:space="preserve">.), а из импортного сахара-сырца за эти годы снизилась с 78% до 35% [7]. 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  <w:lang w:eastAsia="ar-SA"/>
        </w:rPr>
        <w:t xml:space="preserve">Высокие темпы развития свекловодства обеспечили существенный рост объемов выработки свекловичного сахара, который в </w:t>
      </w:r>
      <w:smartTag w:uri="urn:schemas-microsoft-com:office:smarttags" w:element="metricconverter">
        <w:smartTagPr>
          <w:attr w:name="ProductID" w:val="9. In"/>
        </w:smartTagPr>
        <w:r w:rsidRPr="001A6B37">
          <w:rPr>
            <w:rFonts w:ascii="Times New Roman" w:hAnsi="Times New Roman"/>
            <w:sz w:val="28"/>
            <w:szCs w:val="28"/>
            <w:lang w:eastAsia="ar-SA"/>
          </w:rPr>
          <w:t>2011 г</w:t>
        </w:r>
      </w:smartTag>
      <w:r w:rsidRPr="001A6B37">
        <w:rPr>
          <w:rFonts w:ascii="Times New Roman" w:hAnsi="Times New Roman"/>
          <w:sz w:val="28"/>
          <w:szCs w:val="28"/>
          <w:lang w:eastAsia="ar-SA"/>
        </w:rPr>
        <w:t xml:space="preserve">. достиг 3335 тыс. т, превысив уровень 1986–1990 гг. на 24%. Однако, несмотря на несомненные достижения, производство сахара из собственного сырья составило только 65% от общего объема производства. </w:t>
      </w:r>
      <w:r w:rsidRPr="001A6B37">
        <w:rPr>
          <w:rFonts w:ascii="Times New Roman" w:hAnsi="Times New Roman"/>
          <w:sz w:val="28"/>
          <w:szCs w:val="28"/>
        </w:rPr>
        <w:t>Более того,</w:t>
      </w:r>
      <w:r w:rsidRPr="001A6B3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A6B37">
        <w:rPr>
          <w:rFonts w:ascii="Times New Roman" w:hAnsi="Times New Roman"/>
          <w:sz w:val="28"/>
          <w:szCs w:val="28"/>
        </w:rPr>
        <w:t>в динамике развития отрасли наметился ряд негативных тенденций, не позволяющих в перспективе довести производство сахара до установленного уровня продовольственной безопасности, а также повысить экономическую эффективность свеклосахарного подкомплекса.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A6B37">
        <w:rPr>
          <w:rFonts w:ascii="Times New Roman" w:hAnsi="Times New Roman"/>
          <w:spacing w:val="2"/>
          <w:sz w:val="28"/>
          <w:szCs w:val="28"/>
        </w:rPr>
        <w:t>Так, не удалось добиться стабильных прогнозируемых объемов производства сахарной свеклы, что обусловлено существенными колебаниями как ее посевных площадей, так и урожайности. Снижение экономической эффективности выращивания сахарной свеклы вследствие опережающего роста цен на средства для ее производства осложняет инвестиционную политику в свекловодстве, что не позволяет полностью реализовать потенциал современных технологий, добиться существенного повышения урожайности и качества производимого сырья [18].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6B37">
        <w:rPr>
          <w:rFonts w:ascii="Times New Roman" w:hAnsi="Times New Roman"/>
          <w:spacing w:val="-2"/>
          <w:sz w:val="28"/>
          <w:szCs w:val="28"/>
        </w:rPr>
        <w:t xml:space="preserve">Вместе с тем, опережающее развитие сырьевой базы по отношению к приросту производственных мощностей уже в ближайшей перспективе может стать ограничивающим фактором увеличения объемов производства свекловичного сахара. Нестабильность сырьевой базы тормозит обновление основных фондов и внедрение новых технологий в перерабатывающем подкомплексе. И хотя производственные мощности действующих сахарных заводов составляют 288,8 тыс. т переработки свеклы в сутки и могут обеспечивать в настоящее время переработку в оптимальные сроки 26–27 млн. т сахарной свеклы, переработка сырья на морально и физически устаревших производственных мощностях в целом по стране осуществляется с относительно низким уровнем извлечения целевого компонента, высоким удельным расходом энергетических, материальных и трудовых ресурсов [9]. 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Анализ экономического состояния свеклосахарного подкомплекса показывает нарушение принципа сбалансированного функционирования сферы производства сырья и наличие необходимых производственных мощностей по переработке заготавливаемого сырья. Сегодня дефицит производственных мощностей в целом по промышленности оценивается более 50 тыс. т переработки в сутки. Дефицит производственных мощностей сегодня наблюдается в Липецкой, Тамбовской, Пензенской, Ульяновской областях, Республиках Мордовия и Башкортостан, Ставропольском крае, где объемы заготовки сырья значительно выросли.</w:t>
      </w:r>
    </w:p>
    <w:p w:rsidR="00E37CFE" w:rsidRPr="001A6B37" w:rsidRDefault="00E37CFE" w:rsidP="007721E0">
      <w:pPr>
        <w:pStyle w:val="BodyTextIndent2"/>
        <w:spacing w:line="360" w:lineRule="auto"/>
        <w:ind w:firstLine="709"/>
        <w:rPr>
          <w:sz w:val="28"/>
          <w:szCs w:val="28"/>
        </w:rPr>
      </w:pPr>
      <w:r w:rsidRPr="001A6B37">
        <w:rPr>
          <w:sz w:val="28"/>
          <w:szCs w:val="28"/>
        </w:rPr>
        <w:t xml:space="preserve">Решение проблем поддержания сахарной промышленности в работоспособном состоянии, увеличения мощностей сахарных заводов и модернизация промышленности в целом требуют больших капитальных вложений. Финансовая оценка этого масштабного проекта, только в части создания новых мощностей, требует привлечения инвестиций в объеме 1,5–1,7 млрд. долл., а с учетом затрат на техническое перевооружение действующих мощностей до современных требований экономики они возрастут вдвое. Это, прежде всего, относится к заводам, расположенным в Краснодарском крае, Республике Татарстан, Белгородской, Воронежской, Курской областях [13]. 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 xml:space="preserve">Реализация стоящих перед промышленностью указанных задач возможна только при государственной поддержке и проведении протекционистской политики в отношении отечественной сахарной промышленности. 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Структурная перестройка сахарной промышленности России находит свое отражение, в первую очередь, в концентрации производственных мощностей в руках крупных компаний, таких как «Продимекс», «Русагро», «Разгуляй», «Доминант», «Сюкден» и других. На базе этих компаний созданы агропромышленные холдинги с участием свекловодческих хозяйств и товаропроводящих сетей, что позволяет им консолидировать аграрный и финансовый капитал для выработки конкурентно способной продукции и получения прибыли для проведения технического переоснащения сахарных заводов. Крупные сахарные компании арендуют значительные площади земель сельскохозяйственного назначения для производства не только сахарной свеклы, но и других сельскохозяйственных культур, что повышает их экономические и финансовые возможности, создавая при этом более эластичный потенциал реализуемой на рынке продукции [2].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За последние годы рынок сахара консолидировался. Всего сахарными активами владеют 26 компаний и агрохолдингов. Сахарные заводы сами стали участвовать в формировании собственной сырьевой зоны. На сегодня агрохолдинги, владеющие сахарными заводами, занимаются производством всего спектра сельхозпродукции и обрабатывают около 1 млн. га посевных площадей.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A6B37">
        <w:rPr>
          <w:rFonts w:ascii="Times New Roman" w:hAnsi="Times New Roman"/>
          <w:sz w:val="28"/>
          <w:szCs w:val="28"/>
        </w:rPr>
        <w:t>Рекомендуемая Институтом питания РАМН ежегодная норма потребления сахара составляет 39 кг на душу населения. Средний вариант демографического прогноза предполагает, что численность населения России к 2020 г. составит 146,6 млн. человек.</w:t>
      </w:r>
      <w:r w:rsidRPr="001A6B37">
        <w:rPr>
          <w:rFonts w:ascii="Times New Roman" w:hAnsi="Times New Roman"/>
          <w:sz w:val="28"/>
          <w:szCs w:val="28"/>
          <w:lang w:eastAsia="ar-SA"/>
        </w:rPr>
        <w:t xml:space="preserve"> Для обеспечения душевого потребления в научно-обоснованных нормах при прогнозируемой численности населения годовая потребность в сахаре составит 5,6 млн. тонн [13]. 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Реализация стоящих перед промышленностью задач возможна только при государственной поддержке и проведении протекционистской политики в отношении отечественной сахарной промышленности. Предполагается, что государственная поддержка дальнейшего развития свеклосахарного подкомплекса будет производиться в рамках ведомственной целевой программы развития свеклосахарного подкомплекса России на 2010–2012 гг., определяющей основные приоритеты, цели и направления развития всех секторов подкомплекса.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В результате реализации Программы будет обеспечено к 2014 г.: доведение объемов производства – сахарной свеклы до 36,2 млн. т, сахара из свеклы до 4,32 млн. т, среднедушевое потребление сахара в количестве 38–39 кг; снижение зависимости от импорта сахара-сырца с 43 до 33%; доведение производственных мощностей сахарных заводов по переработке сахарной свеклы до 385,96 тыс. т свеклы в сутки.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A6B37">
        <w:rPr>
          <w:rFonts w:ascii="Times New Roman" w:hAnsi="Times New Roman"/>
          <w:sz w:val="28"/>
          <w:szCs w:val="28"/>
          <w:lang w:eastAsia="ar-SA"/>
        </w:rPr>
        <w:t>Прогнозируемый баланс сахара на 2015 г. может быть удовлетворен за счет производства свекловичного сахара в объёме 4,6</w:t>
      </w:r>
      <w:r w:rsidRPr="001A6B37">
        <w:rPr>
          <w:rFonts w:ascii="Times New Roman" w:hAnsi="Times New Roman"/>
          <w:color w:val="FF0000"/>
          <w:sz w:val="28"/>
          <w:szCs w:val="28"/>
          <w:lang w:eastAsia="ar-SA"/>
        </w:rPr>
        <w:t xml:space="preserve"> </w:t>
      </w:r>
      <w:r w:rsidRPr="001A6B37">
        <w:rPr>
          <w:rFonts w:ascii="Times New Roman" w:hAnsi="Times New Roman"/>
          <w:sz w:val="28"/>
          <w:szCs w:val="28"/>
          <w:lang w:eastAsia="ar-SA"/>
        </w:rPr>
        <w:t>млн. т и белого сахара из тростникового сахара-сырца – 1,0 млн. т, в 2020 г. – соответственно 4,7 и 0,9 млн. т, в 2020 г. – 5 и 0,6 млн. тонн. Исполнение представленного баланса позволит уже к 2015 г. обеспечить продовольственную независимость России по сахару.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pacing w:val="-4"/>
          <w:sz w:val="28"/>
          <w:szCs w:val="28"/>
        </w:rPr>
        <w:t xml:space="preserve">За период 2000–2012 гг. внутреннее производство сахара-песка из сахарной свеклы выросло более чем в 2,2 раза с 1,61 млн. т до 3,55 млн. т, </w:t>
      </w:r>
      <w:r w:rsidRPr="001A6B37">
        <w:rPr>
          <w:rFonts w:ascii="Times New Roman" w:hAnsi="Times New Roman"/>
          <w:sz w:val="28"/>
          <w:szCs w:val="28"/>
        </w:rPr>
        <w:t>что составляет 65,5% от общего объема потребления сахара в стране. Рост производства сахара произошел в основном за счет повышения урожайности и сахаристости сахарной свеклы.</w:t>
      </w:r>
      <w:r w:rsidRPr="001A6B3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A6B37">
        <w:rPr>
          <w:rFonts w:ascii="Times New Roman" w:hAnsi="Times New Roman"/>
          <w:sz w:val="28"/>
          <w:szCs w:val="28"/>
        </w:rPr>
        <w:t>Так, в 2012 г. урожайность сахарной свеклы составила 332 ц/га, или увеличилась по сравнению с 2000 г.</w:t>
      </w:r>
      <w:r w:rsidRPr="001A6B3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A6B37">
        <w:rPr>
          <w:rFonts w:ascii="Times New Roman" w:hAnsi="Times New Roman"/>
          <w:sz w:val="28"/>
          <w:szCs w:val="28"/>
        </w:rPr>
        <w:t>на 147 ц/га, а ее сахаристость увеличилась с 16,0% до 17,4%. С учетом достигнутого уровня в последние годы урожайность сахарной свеклы в целом по стране прогнозируется на 2015 г. на уровне 375 ц/га, 2020 г. – 390 ц/га, 2030 г. – 420 ц/га.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Прогноз развития отрасли на период до 2020 г. предполагает повышение исходных технологических качеств свекловичного сырья, в частности сахаристость корнеплодов при приемке должна достигнуть в 2015 г. 17,4%, в 2020 г. – 17,5 %, в 2030 г. – 17,9% за счет селекционного улучшения культуры и совершенствования технологии выращивания и заготовки [19].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6B37">
        <w:rPr>
          <w:rFonts w:ascii="Times New Roman" w:hAnsi="Times New Roman"/>
          <w:spacing w:val="-2"/>
          <w:sz w:val="28"/>
          <w:szCs w:val="28"/>
        </w:rPr>
        <w:t>Сопоставляя современное состояние свеклосахарного комплекса России с последними достижениями сахарного производства промышленно развитых стран, можно принять их технико-экономический уровень как индикатор для будущего развития. Производство сахара с 1 га составило в целом по России за 2012 г. 4,98 т, в то время как во Франции, например, – около 10 т. Стало совершенно очевидным, что необходим кардинальный прорыв в отечественном свеклосахарном производстве, переход к принципиально новым технологиям возделывания, заготовки, хранения и переработки свеклы, которые смогли бы вывести отрасль на качественно новый уровень и обеспечить достижение в среднем по стране к 2020 г. следующих показателей: выход сахара – 15,0%, степень извлечения сахара из свеклы при переработке – 83–85%, потери сахара в производстве – 0,5–0,7%, расход условного топлива – 3,8–4,0%, расход известнякового камня – 4,0–4,2% к массе свеклы, качество сахара, отвечающее европейским стандартам, трудозатраты на переработку 100 т свеклы – не более 3 чел./дней [3; 21].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Стратегические цели, стоящие перед сахарной промышленностью, предполагают ее устойчивое развитие на базе обновления основных производственных фондов с опорой на собственные воспроизводимые ресурсы. Решению этих задач во многом должна способствовать разработка и реализация технической политики, представляющей собой систему законодательных, административных, финансово-экономических решений, мер и действий, направленных, прежде всего, на повышение технического уровня промышленности [5].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6B37">
        <w:rPr>
          <w:rFonts w:ascii="Times New Roman" w:hAnsi="Times New Roman"/>
          <w:spacing w:val="-2"/>
          <w:sz w:val="28"/>
          <w:szCs w:val="28"/>
        </w:rPr>
        <w:t>В России экспорт сахара белого составляет относительно небольшую долю его валового производства. Так, в 2004 г. экспорт сахара составил 121,9 тыс. т, в 2005 г. – 135,6, 2006 г. – 159,4, 2007 г. – 301,3, 2008 г. – 53,5 тыс. т. В настоящее время не имеется серьезных оснований ожидать существенных изменений объема экспорта сахара в ближайшие годы, но в долгосрочной перспективе возможно наращивание объемов экспорта этого стратегического продукта. Основными зонами свеклосеяния и в перспективе будут являться области Центрального Черноземья и регионы Северного Кавказа, где сейчас сосредоточено 75% посевных площадей и 76% мощностей перерабатывающих предприятий, Республики Башкортостан и Татарстан, Алтайский край, Орловская и Пензенская области. Основными производителями сахарной свеклы останутся сельхозорганизации, доля которых в ее общем производстве в 2008 г. составила 89%, около 10% свеклы выращивалась в фермерских хозяйствах.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В настоящее время при посевах сахарной свеклы используются сорта и гибриды отечественной и иностранной селекции. Отличительная особенность последнего времени состоит в том, что гибриды иностранной селекции вытесняют с рынка отечественные семена и, по оценкам специалистов, в посевной компании 2008 г. их доля достигла 90%, что может привести к полной потере отечественной семеноводческой отрасли.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A6B37">
        <w:rPr>
          <w:rFonts w:ascii="Times New Roman" w:hAnsi="Times New Roman"/>
          <w:spacing w:val="-4"/>
          <w:sz w:val="28"/>
          <w:szCs w:val="28"/>
        </w:rPr>
        <w:t xml:space="preserve">Причины доминирования семенного материала иностранной селекции заключаются в неудовлетворительной подготовке отечественных семян к посеву, не отвечающих современным требованиям, и неразвитости отрасли семеноводства. Семеноводство сахарной свеклы находится в кризисном положении. В результате реализации энергичных усилий государства и бизнеса по восстановлению отрасли возможно постепенное снижение доли импортных семян в посевах до 40–50% [1]. 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A6B37">
        <w:rPr>
          <w:rFonts w:ascii="Times New Roman" w:hAnsi="Times New Roman"/>
          <w:spacing w:val="-6"/>
          <w:sz w:val="28"/>
          <w:szCs w:val="28"/>
        </w:rPr>
        <w:t>Необходимо дальнейшее совершенствование размещения посевов сахарной свеклы. Существующая структура сырьевых зон в ряде свеклосеющих регионов страны, характеризующаяся низкой концентрацией посевов сахарной свеклы, обусловливает большие радиусы доставки корнеплодов на переработку, приводит к большим потерям свекломассы, значительным затратам на транспортировку и негативно отражается на доходах свеклосеющих хозяйств.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Сроки эксплуатации многих зданий и сооружений сахарных заводов превышают 50–100 лет. Сроки работы большинства установленного оборудования на предприятиях сахарной промышленности превышают нормативные в 2 и более раз. Кроме того, к 2015 г. возможна ситуация, связанная с появлением дефицита водных ресурсов, что будет создавать дополнительные риски для активного проведения преобразований инновационной структуры производства и снижения темпов экономического роста в отраслях, потребляющих большие объемы воды. Со всей очевидностью можно предположить, что в этот период в сахарной отрасли возникнут проблемы с ростом оплаты предприятий за водопользование и водоотведение, что также будет отражаться на себестоимости сахара [16].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1A6B37">
        <w:rPr>
          <w:rFonts w:ascii="Times New Roman" w:hAnsi="Times New Roman"/>
          <w:spacing w:val="-4"/>
          <w:sz w:val="28"/>
          <w:szCs w:val="28"/>
        </w:rPr>
        <w:t>Принимая во внимание современные тенденции развития мирового сахарного рынка, нарастание дефицита ресурсов и рост цен на нем, а также использование продукции сахарного производства для получения биоэтанола, можно ожидать, что сохраняющаяся высокая зависимость внутреннего рынка от импорта сахара будет создавать дополнительные риски по обеспечению</w:t>
      </w:r>
      <w:r w:rsidRPr="001A6B37">
        <w:rPr>
          <w:rFonts w:ascii="Times New Roman" w:hAnsi="Times New Roman"/>
          <w:color w:val="FF0000"/>
          <w:spacing w:val="-4"/>
          <w:sz w:val="28"/>
          <w:szCs w:val="28"/>
        </w:rPr>
        <w:t xml:space="preserve"> </w:t>
      </w:r>
      <w:r w:rsidRPr="001A6B37">
        <w:rPr>
          <w:rFonts w:ascii="Times New Roman" w:hAnsi="Times New Roman"/>
          <w:spacing w:val="-4"/>
          <w:sz w:val="28"/>
          <w:szCs w:val="28"/>
        </w:rPr>
        <w:t xml:space="preserve">сахаром населения и предприятий пищевой и перерабатывающей промышленности. Поэтому стимулирование развития российского свеклосахарного подкомплекса в рамках Программы следует рассматривать как инструмент государственной политики, направленный на снижение внешних угроз и уменьшение рисков [4; 20]. </w:t>
      </w:r>
    </w:p>
    <w:p w:rsidR="00E37CFE" w:rsidRPr="001A6B37" w:rsidRDefault="00E37CFE" w:rsidP="007721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A6B37">
        <w:rPr>
          <w:rFonts w:ascii="Times New Roman" w:hAnsi="Times New Roman"/>
          <w:spacing w:val="-6"/>
          <w:sz w:val="28"/>
          <w:szCs w:val="28"/>
        </w:rPr>
        <w:t>Вступление России в ВТО предполагает либерализацию таможенно-тарифной политики на сахарном рынке и снижение таможенного барьера в течение 3-х лет на ввозимый сахар-сырец. Развитие ситуации по этому сценарию повлечет за собой увеличение импорта сахара, что приведет к стагнации собственного производства и дестабилизации отечественного сахарного рынка.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1A6B37">
        <w:rPr>
          <w:rFonts w:ascii="Times New Roman" w:hAnsi="Times New Roman"/>
          <w:spacing w:val="-6"/>
          <w:sz w:val="28"/>
          <w:szCs w:val="28"/>
        </w:rPr>
        <w:t>Высокая концентрация производства сахара-сырца в основных странах-экспортерах (Латинская Америка) и выработка из него биоэтанола будут сопровождаться уменьшением предложения и ростом цен на сахар-сырец, который в больших объемах поступает в Россию, обусловит рост цен на производимый из него белый сахар. С каждым годом в практике планирования и экономического прогнозирования все более широко будут использоваться методы математического моделирования, опирающиеся на надежную (научно обоснованную) нормативную базу и использующие в качестве критериев оптимальности не только экономические, но и экологические показатели. Сегодня во многих странах и на разных уровнях широко используется система методов экспертной оценки стратегических перспектив инновационного развития «Форсайт». Она применяется: для оценки перспектив развития существующих и возникновения новых рынков вследствие технологических прорывов; выявления перспективных технологий, обладающих наиболее высоким инновационным потенциалом и отвечающих будущим вызовам; выбора стратегических приоритетов государственной поддержки науки и технологий для повышения конкурентоспособности и ускорения экономического роста; оценки средне- и долгосрочных потребностей и перспектив развития общества и экономики. «Форсайт» исходит из вариантов возможного будущего, которое может наступить при выполнении ряда условий: правильного определения сценариев развития, достижения консенсуса по выбору того или иного желательного сценария, предпринятых мер по его реализации. Он позволяет выбрать конкретные меры и сформировать государственную политику в области науки и технологий.</w:t>
      </w:r>
    </w:p>
    <w:p w:rsidR="00E37CFE" w:rsidRPr="001A6B37" w:rsidRDefault="00E37CFE" w:rsidP="007721E0">
      <w:pPr>
        <w:snapToGri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В последние годы стали применяться и другие методы математического моделирования. Так, учеными Курского государственного технического университета для исследования и прогнозирования уровня развития сельского хозяйства Курской области в качестве программного средства использовалась диалоговая система измерения латентных переменных RUMM 2020 (</w:t>
      </w:r>
      <w:r w:rsidRPr="001A6B37">
        <w:rPr>
          <w:rFonts w:ascii="Times New Roman" w:hAnsi="Times New Roman"/>
          <w:sz w:val="28"/>
          <w:szCs w:val="28"/>
          <w:lang w:val="en-US"/>
        </w:rPr>
        <w:t>Rasch</w:t>
      </w:r>
      <w:r w:rsidRPr="001A6B37">
        <w:rPr>
          <w:rFonts w:ascii="Times New Roman" w:hAnsi="Times New Roman"/>
          <w:sz w:val="28"/>
          <w:szCs w:val="28"/>
        </w:rPr>
        <w:t xml:space="preserve"> </w:t>
      </w:r>
      <w:r w:rsidRPr="001A6B37">
        <w:rPr>
          <w:rFonts w:ascii="Times New Roman" w:hAnsi="Times New Roman"/>
          <w:sz w:val="28"/>
          <w:szCs w:val="28"/>
          <w:lang w:val="en-US"/>
        </w:rPr>
        <w:t>Unidimensional</w:t>
      </w:r>
      <w:r w:rsidRPr="001A6B37">
        <w:rPr>
          <w:rFonts w:ascii="Times New Roman" w:hAnsi="Times New Roman"/>
          <w:sz w:val="28"/>
          <w:szCs w:val="28"/>
        </w:rPr>
        <w:t xml:space="preserve"> </w:t>
      </w:r>
      <w:r w:rsidRPr="001A6B37">
        <w:rPr>
          <w:rFonts w:ascii="Times New Roman" w:hAnsi="Times New Roman"/>
          <w:sz w:val="28"/>
          <w:szCs w:val="28"/>
          <w:lang w:val="en-US"/>
        </w:rPr>
        <w:t>Measurement</w:t>
      </w:r>
      <w:r w:rsidRPr="001A6B37">
        <w:rPr>
          <w:rFonts w:ascii="Times New Roman" w:hAnsi="Times New Roman"/>
          <w:sz w:val="28"/>
          <w:szCs w:val="28"/>
        </w:rPr>
        <w:t xml:space="preserve"> </w:t>
      </w:r>
      <w:r w:rsidRPr="001A6B37">
        <w:rPr>
          <w:rFonts w:ascii="Times New Roman" w:hAnsi="Times New Roman"/>
          <w:sz w:val="28"/>
          <w:szCs w:val="28"/>
          <w:lang w:val="en-US"/>
        </w:rPr>
        <w:t>Models</w:t>
      </w:r>
      <w:r w:rsidRPr="001A6B37">
        <w:rPr>
          <w:rFonts w:ascii="Times New Roman" w:hAnsi="Times New Roman"/>
          <w:sz w:val="28"/>
          <w:szCs w:val="28"/>
        </w:rPr>
        <w:t xml:space="preserve">). С учетом упомянутых выше показателей развития свекловодства выполнены расчеты валовых сборов, объемов заготовки и переработки свекловичного сырья, обеспечивающих запланированное производство сахара. 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 xml:space="preserve">Валовое производство сахарной свеклы в 2020 г. прогнозируется на уровне 36,3 млн. т, что в 1,3 раза превышает достигнутый уровень </w:t>
      </w:r>
      <w:r w:rsidRPr="001A6B37">
        <w:rPr>
          <w:rFonts w:ascii="Times New Roman" w:hAnsi="Times New Roman"/>
          <w:spacing w:val="-2"/>
          <w:sz w:val="28"/>
          <w:szCs w:val="28"/>
        </w:rPr>
        <w:t xml:space="preserve">2008 г., объем заготовки сырья при этом должен составить 40,3 млн. т, </w:t>
      </w:r>
      <w:r w:rsidRPr="001A6B37">
        <w:rPr>
          <w:rFonts w:ascii="Times New Roman" w:hAnsi="Times New Roman"/>
          <w:sz w:val="28"/>
          <w:szCs w:val="28"/>
        </w:rPr>
        <w:t>объем переработки – 40,4 млн. т, средний выход сахара при переработке свеклы прогнозируется на уровне: в 2015 г. – 14,5%; в 2020 г. – 14,7%; в 2030 г. – 15,2%. Для переработки прогнозируемого объема сырья потребуется наращивание производственных мощностей сахарных заводов, которые составят: в 2015 г. – 386,0 тыс. т, в 2020 г. – 426,8 тыс. т; в 2030 г. – 476,0 тыс. т переработки свеклы сутки [11].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Долгосрочная программа инновационной трансформации продовольственного комплекса страны, включающего и свеклосахарный подкомплекс, будет охватывать все звенья этого комплекса – от производства продукции в хозяйствах всех типов, ее хранения, переработки, транспортировки до стадии конечного потребления и утилизации отходов.</w:t>
      </w:r>
    </w:p>
    <w:p w:rsidR="00E37CFE" w:rsidRPr="001A6B37" w:rsidRDefault="00E37CFE" w:rsidP="007721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Важное место при этом будут занимать инновационные проекты развития свекловодства как основы обеспечения страны сахаром.</w:t>
      </w:r>
    </w:p>
    <w:p w:rsidR="00E37CFE" w:rsidRPr="001A6B37" w:rsidRDefault="00E37CFE" w:rsidP="005164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B37">
        <w:rPr>
          <w:rFonts w:ascii="Times New Roman" w:hAnsi="Times New Roman"/>
          <w:sz w:val="28"/>
          <w:szCs w:val="28"/>
        </w:rPr>
        <w:t>Научно-технический прогресс в машиностроении (освоение обрабатывающих центров, совершенствование заготовительных операций, освоение приспособлений для обработки, сборки) создаст экономические предпосылки для снижения стоимости основных фондов по сравнению с ростом объема производства, повышения фондоотдачи и конкурентоспособности продукции отрасли.</w:t>
      </w:r>
    </w:p>
    <w:p w:rsidR="00E37CFE" w:rsidRPr="001A6B37" w:rsidRDefault="00E37CFE" w:rsidP="005164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7CFE" w:rsidRPr="001A6B37" w:rsidRDefault="00E37CFE" w:rsidP="005164E6">
      <w:pPr>
        <w:spacing w:after="0" w:line="240" w:lineRule="auto"/>
        <w:ind w:left="20" w:right="20" w:hanging="20"/>
        <w:jc w:val="center"/>
        <w:rPr>
          <w:rFonts w:ascii="Times New Roman" w:hAnsi="Times New Roman"/>
          <w:b/>
          <w:sz w:val="24"/>
          <w:szCs w:val="28"/>
        </w:rPr>
      </w:pPr>
      <w:r w:rsidRPr="001A6B37">
        <w:rPr>
          <w:rFonts w:ascii="Times New Roman" w:hAnsi="Times New Roman"/>
          <w:b/>
          <w:sz w:val="24"/>
          <w:szCs w:val="28"/>
        </w:rPr>
        <w:t>Список литературы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1.</w:t>
      </w:r>
      <w:r w:rsidRPr="00474FB7">
        <w:rPr>
          <w:rFonts w:ascii="Times New Roman" w:hAnsi="Times New Roman"/>
          <w:sz w:val="24"/>
          <w:szCs w:val="24"/>
        </w:rPr>
        <w:tab/>
        <w:t>Агаев В.Г. организационно-экономический механизм обеспечения продовольственной безопасности / В.Г. Агаев. – М.: МСХА, 2000.-178с.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2.</w:t>
      </w:r>
      <w:r w:rsidRPr="00474FB7">
        <w:rPr>
          <w:rFonts w:ascii="Times New Roman" w:hAnsi="Times New Roman"/>
          <w:sz w:val="24"/>
          <w:szCs w:val="24"/>
        </w:rPr>
        <w:tab/>
        <w:t>Балабанов В.С. Продовольственная безопасность: (международные и внутренние аспекты) / В.С. Балабанов, Е.Н. Борисенко. – М.: Экономика, 2002. – 544с.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3.</w:t>
      </w:r>
      <w:r w:rsidRPr="00474FB7">
        <w:rPr>
          <w:rFonts w:ascii="Times New Roman" w:hAnsi="Times New Roman"/>
          <w:sz w:val="24"/>
          <w:szCs w:val="24"/>
        </w:rPr>
        <w:tab/>
        <w:t>Гайдук В.И. Формирование оптового продуктового рынка региона / В.И. Гайдук, С.В. Багмут // Вестник Московского университета. Серия 6: Экономика. – 2012, № 5. С. 77-85.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4.</w:t>
      </w:r>
      <w:r w:rsidRPr="00474FB7">
        <w:rPr>
          <w:rFonts w:ascii="Times New Roman" w:hAnsi="Times New Roman"/>
          <w:sz w:val="24"/>
          <w:szCs w:val="24"/>
        </w:rPr>
        <w:tab/>
        <w:t>Гуляева Т.И. Свеклосахарное производство России: Статистический анализ, прогноз: монография / Т.И. Гуляева. – М.: Финансы и статистика, 2000.-264с.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5.</w:t>
      </w:r>
      <w:r w:rsidRPr="00474FB7">
        <w:rPr>
          <w:rFonts w:ascii="Times New Roman" w:hAnsi="Times New Roman"/>
          <w:sz w:val="24"/>
          <w:szCs w:val="24"/>
        </w:rPr>
        <w:tab/>
        <w:t>Егорова М.И. Перспективы повышения эффективности свеклосахарного подкомплекса / М.И. Егорова, В.В. Спичак, В.М. Дулин // Сахар. – 2003. №2. – С.10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6.</w:t>
      </w:r>
      <w:r w:rsidRPr="00474FB7">
        <w:rPr>
          <w:rFonts w:ascii="Times New Roman" w:hAnsi="Times New Roman"/>
          <w:sz w:val="24"/>
          <w:szCs w:val="24"/>
        </w:rPr>
        <w:tab/>
        <w:t>Кундиус В.А., Полтарыхин А.Л., Михайлушкин П.В. Инновационное развитие интеграционных процессов в свеклосахарном подкомплексе АПК Краснодар, 2011.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7.</w:t>
      </w:r>
      <w:r w:rsidRPr="00474FB7">
        <w:rPr>
          <w:rFonts w:ascii="Times New Roman" w:hAnsi="Times New Roman"/>
          <w:sz w:val="24"/>
          <w:szCs w:val="24"/>
        </w:rPr>
        <w:tab/>
        <w:t>Мельников А.Б. Продовольственная безопасность – основа обеспечения экономической безопасности России / А.Б. Мельников, Е.И. Артемова, И.А. Бурса, Б.А. Мельников // Гуманитарные, социально-экономические и общественные науки. – 2012, №3 С. 189-194.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8.</w:t>
      </w:r>
      <w:r w:rsidRPr="00474FB7">
        <w:rPr>
          <w:rFonts w:ascii="Times New Roman" w:hAnsi="Times New Roman"/>
          <w:sz w:val="24"/>
          <w:szCs w:val="24"/>
        </w:rPr>
        <w:tab/>
        <w:t>Мельников А.Б. Продовольственная безопасность в России в современных условиях / А.Б. Мельников // АПК: экономика, управление. – 2012. №10, С. 23-36.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9.</w:t>
      </w:r>
      <w:r w:rsidRPr="00474FB7">
        <w:rPr>
          <w:rFonts w:ascii="Times New Roman" w:hAnsi="Times New Roman"/>
          <w:sz w:val="24"/>
          <w:szCs w:val="24"/>
        </w:rPr>
        <w:tab/>
        <w:t>Милосердов В.В. Аграрная политика России – ХХ век / В.В. Милосердов. М.: ФГУП «ВО Минсельхоза России», 2002. – 544с.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10.</w:t>
      </w:r>
      <w:r w:rsidRPr="00474FB7">
        <w:rPr>
          <w:rFonts w:ascii="Times New Roman" w:hAnsi="Times New Roman"/>
          <w:sz w:val="24"/>
          <w:szCs w:val="24"/>
        </w:rPr>
        <w:tab/>
        <w:t>Михайлушкин П.В. Программно-целевой подход к реализации прогнозных сценариев развития кластерных структур апк региона / П.В. Михайлушкин, А.А. Баранников // Молодой ученый. – 2012, №10. С. 133-135.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11.</w:t>
      </w:r>
      <w:r w:rsidRPr="00474FB7">
        <w:rPr>
          <w:rFonts w:ascii="Times New Roman" w:hAnsi="Times New Roman"/>
          <w:sz w:val="24"/>
          <w:szCs w:val="24"/>
        </w:rPr>
        <w:tab/>
        <w:t>Михайлушкин П.В. Развитие и регулирование свеклосахарного производства в Краснодарском крае / Международный сельскохозяйственный журнал. 2012. № 1. С. 37-40.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12.</w:t>
      </w:r>
      <w:r w:rsidRPr="00474FB7">
        <w:rPr>
          <w:rFonts w:ascii="Times New Roman" w:hAnsi="Times New Roman"/>
          <w:sz w:val="24"/>
          <w:szCs w:val="24"/>
        </w:rPr>
        <w:tab/>
        <w:t>Михайлушкин П.В. свеклосахарный подкомплекс России и Краснодарского края: проблемы и перспективы / АПК: Экономика, управление. 2012. № 10. С. 59-64.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474FB7">
        <w:rPr>
          <w:rFonts w:ascii="Times New Roman" w:hAnsi="Times New Roman"/>
          <w:sz w:val="24"/>
          <w:szCs w:val="24"/>
        </w:rPr>
        <w:t>13.</w:t>
      </w:r>
      <w:r w:rsidRPr="00474FB7">
        <w:rPr>
          <w:rFonts w:ascii="Times New Roman" w:hAnsi="Times New Roman"/>
          <w:sz w:val="24"/>
          <w:szCs w:val="24"/>
        </w:rPr>
        <w:tab/>
        <w:t xml:space="preserve">Михайлушкин П.В. Угрозы национальной безопасности российской федерации на начальном этапе функционирования отечественной экономики в рамках ВТО / П.В. Михайлушкин, А.А. Баранников // Молодой ученый. - 2012, №9. </w:t>
      </w:r>
      <w:r w:rsidRPr="00474FB7">
        <w:rPr>
          <w:rFonts w:ascii="Times New Roman" w:hAnsi="Times New Roman"/>
          <w:sz w:val="24"/>
          <w:szCs w:val="24"/>
          <w:lang w:val="en-US"/>
        </w:rPr>
        <w:t>С. 132-135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14.</w:t>
      </w:r>
      <w:r w:rsidRPr="00474FB7">
        <w:rPr>
          <w:rFonts w:ascii="Times New Roman" w:hAnsi="Times New Roman"/>
          <w:sz w:val="24"/>
          <w:szCs w:val="24"/>
        </w:rPr>
        <w:tab/>
        <w:t xml:space="preserve">Луценко Е.В Количественные меры возрастания эмерджентности в процессе эволюции систем (в рамках системной теории информации)  . Политематический сетевой электронный научный журнал Кубанского государственного аграрного университета = </w:t>
      </w:r>
      <w:r w:rsidRPr="00474FB7">
        <w:rPr>
          <w:rFonts w:ascii="Times New Roman" w:hAnsi="Times New Roman"/>
          <w:sz w:val="24"/>
          <w:szCs w:val="24"/>
          <w:lang w:val="en-US"/>
        </w:rPr>
        <w:t>Polythematic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online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scientific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journal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of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Kuban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State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Agrarian</w:t>
      </w:r>
      <w:r w:rsidRPr="00474FB7">
        <w:rPr>
          <w:rFonts w:ascii="Times New Roman" w:hAnsi="Times New Roman"/>
          <w:sz w:val="24"/>
          <w:szCs w:val="24"/>
        </w:rPr>
        <w:t xml:space="preserve"> </w:t>
      </w:r>
      <w:r w:rsidRPr="00474FB7">
        <w:rPr>
          <w:rFonts w:ascii="Times New Roman" w:hAnsi="Times New Roman"/>
          <w:sz w:val="24"/>
          <w:szCs w:val="24"/>
          <w:lang w:val="en-US"/>
        </w:rPr>
        <w:t>University</w:t>
      </w:r>
      <w:r w:rsidRPr="00474FB7">
        <w:rPr>
          <w:rFonts w:ascii="Times New Roman" w:hAnsi="Times New Roman"/>
          <w:sz w:val="24"/>
          <w:szCs w:val="24"/>
        </w:rPr>
        <w:t>. 2006. № 21. С. 1-20.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15.</w:t>
      </w:r>
      <w:r w:rsidRPr="00474FB7">
        <w:rPr>
          <w:rFonts w:ascii="Times New Roman" w:hAnsi="Times New Roman"/>
          <w:sz w:val="24"/>
          <w:szCs w:val="24"/>
        </w:rPr>
        <w:tab/>
        <w:t>О государственном регулировании агропромышленного производства: Закон РФ от 15 июля 1997г. № 100.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16.</w:t>
      </w:r>
      <w:r w:rsidRPr="00474FB7">
        <w:rPr>
          <w:rFonts w:ascii="Times New Roman" w:hAnsi="Times New Roman"/>
          <w:sz w:val="24"/>
          <w:szCs w:val="24"/>
        </w:rPr>
        <w:tab/>
        <w:t>Приоритеты реализации стратегии инновационного развития регионального апк Полтарыхин А.Л., Михайлушкин П.В., Шумакова О.В., Глотко А.В., Гуторов А.А.  Барнаул, 2013.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17.</w:t>
      </w:r>
      <w:r w:rsidRPr="00474FB7">
        <w:rPr>
          <w:rFonts w:ascii="Times New Roman" w:hAnsi="Times New Roman"/>
          <w:sz w:val="24"/>
          <w:szCs w:val="24"/>
        </w:rPr>
        <w:tab/>
        <w:t>Семенов А.А. Состояние и меры по развитию агропромышленного производства / А.А. Семенов // Экономические  проблемы развития АПК в условиях рынка»: тезисы докладов науч.-практ. конфедры экономики и ВЭД КубГАУ. – Краснодар, 2001. – С. 3-6.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474FB7">
        <w:rPr>
          <w:rFonts w:ascii="Times New Roman" w:hAnsi="Times New Roman"/>
          <w:sz w:val="24"/>
          <w:szCs w:val="24"/>
        </w:rPr>
        <w:t>18.</w:t>
      </w:r>
      <w:r w:rsidRPr="00474FB7">
        <w:rPr>
          <w:rFonts w:ascii="Times New Roman" w:hAnsi="Times New Roman"/>
          <w:sz w:val="24"/>
          <w:szCs w:val="24"/>
        </w:rPr>
        <w:tab/>
        <w:t xml:space="preserve">Организация инновационной деятельности в аграрном производстве Аристер Н.И., Нечаев В.И., Бирман В.Ф., Санду И.С., Бершицкий Ю.И., Кравченко Н.П., Михайлушкин П.В., Половинкин П.Д., Прохорова В.В. учебник для студентов вузов / Под редакцией профессора В.И. Нечаева. </w:t>
      </w:r>
      <w:r w:rsidRPr="00474FB7">
        <w:rPr>
          <w:rFonts w:ascii="Times New Roman" w:hAnsi="Times New Roman"/>
          <w:sz w:val="24"/>
          <w:szCs w:val="24"/>
          <w:lang w:val="en-US"/>
        </w:rPr>
        <w:t>Краснодар, 2012.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19.</w:t>
      </w:r>
      <w:r w:rsidRPr="00474FB7">
        <w:rPr>
          <w:rFonts w:ascii="Times New Roman" w:hAnsi="Times New Roman"/>
          <w:sz w:val="24"/>
          <w:szCs w:val="24"/>
        </w:rPr>
        <w:tab/>
        <w:t>Сидоренко В.В. Продовольственная безопасность в современном мире / В.В. Сидоренко, П.В. Михайлушкин // Международный сельскохозяйственный журнал. – 2012. №2. С. 40-45.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20.</w:t>
      </w:r>
      <w:r w:rsidRPr="00474FB7">
        <w:rPr>
          <w:rFonts w:ascii="Times New Roman" w:hAnsi="Times New Roman"/>
          <w:sz w:val="24"/>
          <w:szCs w:val="24"/>
        </w:rPr>
        <w:tab/>
        <w:t>Смит А. Исследование о природе и причинах богатства народа: кН. 1. / А. Смит. – М.: Наука, 1992. – 572с.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474FB7">
        <w:rPr>
          <w:rFonts w:ascii="Times New Roman" w:hAnsi="Times New Roman"/>
          <w:sz w:val="24"/>
          <w:szCs w:val="24"/>
        </w:rPr>
        <w:t>21.</w:t>
      </w:r>
      <w:r w:rsidRPr="00474FB7">
        <w:rPr>
          <w:rFonts w:ascii="Times New Roman" w:hAnsi="Times New Roman"/>
          <w:sz w:val="24"/>
          <w:szCs w:val="24"/>
        </w:rPr>
        <w:tab/>
        <w:t>Ушачев И.В. перспективы развития АПК и его роль в удвоении ВВП / И.В. Ушачев // Экономика с.-х. и перерабатывающих предприятий. – 2005. - №5. – С. 3-9.</w:t>
      </w:r>
    </w:p>
    <w:p w:rsidR="00E37CFE" w:rsidRPr="00474FB7" w:rsidRDefault="00E37CFE" w:rsidP="00474FB7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474FB7">
        <w:rPr>
          <w:rFonts w:ascii="Times New Roman" w:hAnsi="Times New Roman"/>
          <w:sz w:val="24"/>
          <w:szCs w:val="24"/>
        </w:rPr>
        <w:t>22.</w:t>
      </w:r>
      <w:r w:rsidRPr="00474FB7">
        <w:rPr>
          <w:rFonts w:ascii="Times New Roman" w:hAnsi="Times New Roman"/>
          <w:sz w:val="24"/>
          <w:szCs w:val="24"/>
        </w:rPr>
        <w:tab/>
        <w:t xml:space="preserve">Федеральный закон «О развитии сельского хозяйства» от 29 декабря 2006г. </w:t>
      </w:r>
      <w:r w:rsidRPr="00474FB7">
        <w:rPr>
          <w:rFonts w:ascii="Times New Roman" w:hAnsi="Times New Roman"/>
          <w:sz w:val="24"/>
          <w:szCs w:val="24"/>
          <w:lang w:val="en-US"/>
        </w:rPr>
        <w:t>№264-ФЗ</w:t>
      </w:r>
    </w:p>
    <w:p w:rsidR="00E37CFE" w:rsidRPr="00474FB7" w:rsidRDefault="00E37CFE" w:rsidP="005164E6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37CFE" w:rsidRDefault="00E37CFE" w:rsidP="005164E6">
      <w:pPr>
        <w:tabs>
          <w:tab w:val="left" w:pos="284"/>
        </w:tabs>
        <w:spacing w:after="0" w:line="240" w:lineRule="auto"/>
        <w:ind w:right="2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E37CFE" w:rsidRPr="001A6B37" w:rsidRDefault="00E37CFE" w:rsidP="005164E6">
      <w:pPr>
        <w:tabs>
          <w:tab w:val="left" w:pos="284"/>
        </w:tabs>
        <w:spacing w:after="0" w:line="240" w:lineRule="auto"/>
        <w:ind w:right="20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Agayev V.G. organizatsionno-ekonomicheskiy mekhanizm obespecheniya prodovolstvennoy bezopasnosti / V.G. Agayev. – M.: MSKhA, 2000.-178s.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2.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Balabanov V.S. Prodovolstvennaya bezopasnost: (mezhdunarodnyye i vnutrenniye aspekty) / V.S. Balabanov, Ye.N. Borisenko. – M.: Ekonomika, 2002. – 544s.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3.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Gayduk V.I. Formirovaniye optovogo produktovogo rynka regiona / V.I. Gayduk, S.V. Bagmut // Vestnik Moskovskogo universiteta. Seriya 6: Ekonomika. – 2012, № 5. S. 77-85.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4.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Gulyayeva T.I. Sveklosakharnoye proizvodstvo Rossii: Statisticheskiy analiz, prognoz: monografiya / T.I. Gulyayeva. – M.: Finansy i statistika, 2000.-264s.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5.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Egorova M.I. Perspektivy povysheniya effektivnosti sveklosakharnogo podkompleksa / M.I. Yegorova, V.V. Spichak, V.M. Dulin // Sakhar. – 2003. №2. – S.10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6.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Kundius V.A., Poltarykhin A.L., Mikhaylushkin P.V. Innovatsionnoye razvitiye integratsionnykh protsessov v sveklosakharnom podkomplekse APK Krasnodar, 2011.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7.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Melnikov A.B. Prodovolstvennaya bezopasnost – osnova obespecheniya ekonomicheskoy bezopasnosti Rossii / A.B. Melnikov, Ye.I. Artemova, I.A. Bursa, B.A. Melnikov // Gumanitarnyye, sotsialno-ekonomicheskiye i obshchestvennyye nauki. – 2012, №3 S. 189-194.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8.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Melnikov A.B. Prodovolstvennaya bezopasnost v Rossii v sovremennykh usloviyakh / A.B. Melnikov // APK: ekonomika, upravleniye. – 2012. №10, S. 23-36.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9.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Miloserdov V.V. Agrarnaya politika Rossii – KhKh vek / V.V. Miloserdov. M.: FGUP «VO Minselkhoza Rossii», 2002. – 544s.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10.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Mikhaylushkin P.V. Programmno-tselevoy podkhod k realizatsii prognoznykh stsenariyev razvitiya klasternykh struktur apk regiona / P.V. Mikhaylushkin, A.A. Barannikov // Molodoy uchenyy. – 2012, №10. S. 133-135.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11.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Mikhaylushkin P.V. Razvitiye i regulirovaniye sveklosakharnogo proizvodstva v Krasnodarskom kraye / Mezhdunarodnyy selskokhozyaystvennyy zhurnal. 2012. № 1. S. 37-40.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12.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Mikhaylushkin P.V. sveklosakharnyy podkompleks Rossii i Krasnodarskogo kraya: problemy i perspektivy / APK: Ekonomika, upravleniye. 2012. № 10. S. 59-64.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13.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Mikhaylushkin P.V. Ugrozy natsionalnoy bezopasnosti rossiyskoy federatsii na nachalnom etape funktsionirovaniya otechestvennoy ekonomiki v ramkakh VTO / P.V. Mikhaylushkin, A.A. Barannikov // Molodoy uchenyy. - 2012, №9. S. 132-135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14.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Lutsenko Ye.V Kolichestvennyye mery vozrastaniya emerdzhentnosti v protsesse evolyutsii sistem (v ramkakh sistemnoy teorii informatsii)  . Politematicheskiy setevoy elektronnyy nauchnyy zhurnal Kubanskogo gosudarstvennogo agrarnogo universiteta = Polythematic online scientific journal of Kuban State Agrarian University. 2006. № 21. S. 1-20.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15.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O gosudarstvennom regulirovanii agropromyshlennogo proizvodstva: Zakon RF ot 15 iyulya 1997g. № 100.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16.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Prioritety realizatsii strategii innovatsionnogo razvitiya regionalnogo apk Poltarykhin A.L., Mikhaylushkin P.V., Shumakova O.V., Glotko A.V., Gutorov A.A.  Barnaul, 2013.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17.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Semenov A.A. Sostoyaniye i mery po razvitiyu agropromyshlennogo proizvodstva / A.A. Semenov // Ekonomicheskiye  problemy razvitiya APK v usloviyakh rynka»: tezisy dokladov nauch.-prakt. konfedry ekonomiki i VED KubGAU. – Krasnodar, 2001. – S. 3-6.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18.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Organizatsiya innovatsionnoy deyatelnosti v agrarnom proizvodstve Arister N.I., Nechayev V.I., Birman V.F., Sandu I.S., Bershitskiy Yu.I., Kravchenko N.P., Mikhaylushkin P.V., Polovinkin P.D., Prokhorova V.V. uchebnik dlya studentov vuzov / Pod redaktsiyey professora V.I. Nechayeva. Krasnodar, 2012.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19.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Sidorenko V.V. Prodovolstvennaya bezopasnost v sovremennom mire / V.V. Sidorenko, P.V. Mikhaylushkin // Mezhdunarodnyy selskokhozyaystvennyy zhurnal. – 2012. №2. S. 40-45.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20.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Smit A. Issledovaniye o prirode i prichinakh bogatstva naroda: kN. 1. / A. Smit. – M.: Nauka, 1992. – 572s.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p w:rsidR="00E37CFE" w:rsidRPr="005860A8" w:rsidRDefault="00E37CFE" w:rsidP="005860A8">
      <w:pPr>
        <w:tabs>
          <w:tab w:val="left" w:pos="284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val="en-US"/>
        </w:rPr>
      </w:pPr>
      <w:r w:rsidRPr="005860A8">
        <w:rPr>
          <w:rFonts w:ascii="Times New Roman" w:hAnsi="Times New Roman"/>
          <w:sz w:val="24"/>
          <w:szCs w:val="24"/>
          <w:lang w:val="en-US"/>
        </w:rPr>
        <w:t>21.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Ushachev I.V. perspektivy razvitiya APK i yego rol v udvoyenii VVP / I.V. Ushachev // Ekonomika s.-kh. i pererabatyvayushchikh predpriyatiy. – 2005. - №5. – S. 3-9.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1A6B37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In Russian</w:t>
      </w:r>
    </w:p>
    <w:p w:rsidR="00E37CFE" w:rsidRDefault="00E37CFE" w:rsidP="005860A8">
      <w:pPr>
        <w:tabs>
          <w:tab w:val="left" w:pos="284"/>
        </w:tabs>
        <w:spacing w:after="0" w:line="240" w:lineRule="auto"/>
        <w:ind w:right="20"/>
        <w:jc w:val="both"/>
      </w:pPr>
      <w:r w:rsidRPr="005860A8">
        <w:rPr>
          <w:rFonts w:ascii="Times New Roman" w:hAnsi="Times New Roman"/>
          <w:sz w:val="24"/>
          <w:szCs w:val="24"/>
          <w:lang w:val="en-US"/>
        </w:rPr>
        <w:t>22.</w:t>
      </w:r>
      <w:r w:rsidRPr="005860A8">
        <w:rPr>
          <w:rFonts w:ascii="Times New Roman" w:hAnsi="Times New Roman"/>
          <w:sz w:val="24"/>
          <w:szCs w:val="24"/>
          <w:lang w:val="en-US"/>
        </w:rPr>
        <w:tab/>
        <w:t>Federalnyy zakon «O razvitii selskogo khozyaystva» ot 29 dekabrya 2006g. №264-FZ</w:t>
      </w:r>
      <w:r w:rsidRPr="005860A8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</w:p>
    <w:sectPr w:rsidR="00E37CFE" w:rsidSect="000D7E9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CFE" w:rsidRDefault="00E37CFE" w:rsidP="005164E6">
      <w:pPr>
        <w:spacing w:after="0" w:line="240" w:lineRule="auto"/>
      </w:pPr>
      <w:r>
        <w:separator/>
      </w:r>
    </w:p>
  </w:endnote>
  <w:endnote w:type="continuationSeparator" w:id="1">
    <w:p w:rsidR="00E37CFE" w:rsidRDefault="00E37CFE" w:rsidP="00516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FE" w:rsidRPr="008452C9" w:rsidRDefault="00E37CFE">
    <w:pPr>
      <w:pStyle w:val="Footer"/>
      <w:rPr>
        <w:rFonts w:ascii="Times New Roman" w:hAnsi="Times New Roman"/>
        <w:sz w:val="24"/>
        <w:szCs w:val="24"/>
      </w:rPr>
    </w:pPr>
    <w:r w:rsidRPr="008452C9">
      <w:rPr>
        <w:rFonts w:ascii="Times New Roman" w:hAnsi="Times New Roman"/>
        <w:sz w:val="24"/>
        <w:szCs w:val="24"/>
      </w:rPr>
      <w:t>http://ej.kubagro.ru/2013/0</w:t>
    </w:r>
    <w:r w:rsidRPr="008452C9">
      <w:rPr>
        <w:rFonts w:ascii="Times New Roman" w:hAnsi="Times New Roman"/>
        <w:sz w:val="24"/>
        <w:szCs w:val="24"/>
        <w:lang w:val="en-US"/>
      </w:rPr>
      <w:t>9</w:t>
    </w:r>
    <w:r w:rsidRPr="008452C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57</w:t>
    </w:r>
    <w:r w:rsidRPr="008452C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CFE" w:rsidRDefault="00E37CFE" w:rsidP="005164E6">
      <w:pPr>
        <w:spacing w:after="0" w:line="240" w:lineRule="auto"/>
      </w:pPr>
      <w:r>
        <w:separator/>
      </w:r>
    </w:p>
  </w:footnote>
  <w:footnote w:type="continuationSeparator" w:id="1">
    <w:p w:rsidR="00E37CFE" w:rsidRDefault="00E37CFE" w:rsidP="00516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FE" w:rsidRDefault="00E37CFE" w:rsidP="004840D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7CFE" w:rsidRDefault="00E37CFE" w:rsidP="000D7E9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FE" w:rsidRPr="000D7E9C" w:rsidRDefault="00E37CFE" w:rsidP="004840D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D7E9C">
      <w:rPr>
        <w:rStyle w:val="PageNumber"/>
        <w:rFonts w:ascii="Times New Roman" w:hAnsi="Times New Roman"/>
        <w:sz w:val="28"/>
        <w:szCs w:val="28"/>
      </w:rPr>
      <w:fldChar w:fldCharType="begin"/>
    </w:r>
    <w:r w:rsidRPr="000D7E9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D7E9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0D7E9C">
      <w:rPr>
        <w:rStyle w:val="PageNumber"/>
        <w:rFonts w:ascii="Times New Roman" w:hAnsi="Times New Roman"/>
        <w:sz w:val="28"/>
        <w:szCs w:val="28"/>
      </w:rPr>
      <w:fldChar w:fldCharType="end"/>
    </w:r>
  </w:p>
  <w:p w:rsidR="00E37CFE" w:rsidRPr="000D7E9C" w:rsidRDefault="00E37CFE" w:rsidP="000D7E9C">
    <w:pPr>
      <w:pStyle w:val="Header"/>
      <w:ind w:right="360"/>
      <w:rPr>
        <w:lang w:val="en-US"/>
      </w:rPr>
    </w:pPr>
    <w:r w:rsidRPr="0013162C">
      <w:rPr>
        <w:rFonts w:ascii="Times New Roman" w:hAnsi="Times New Roman"/>
        <w:sz w:val="24"/>
        <w:szCs w:val="24"/>
      </w:rPr>
      <w:t>Научный журнал КубГАУ, №9</w:t>
    </w:r>
    <w:r w:rsidRPr="0013162C">
      <w:rPr>
        <w:rFonts w:ascii="Times New Roman" w:hAnsi="Times New Roman"/>
        <w:sz w:val="24"/>
        <w:szCs w:val="24"/>
        <w:lang w:val="en-US"/>
      </w:rPr>
      <w:t>3</w:t>
    </w:r>
    <w:r w:rsidRPr="0013162C">
      <w:rPr>
        <w:rFonts w:ascii="Times New Roman" w:hAnsi="Times New Roman"/>
        <w:sz w:val="24"/>
        <w:szCs w:val="24"/>
      </w:rPr>
      <w:t>(0</w:t>
    </w:r>
    <w:r w:rsidRPr="0013162C">
      <w:rPr>
        <w:rFonts w:ascii="Times New Roman" w:hAnsi="Times New Roman"/>
        <w:sz w:val="24"/>
        <w:szCs w:val="24"/>
        <w:lang w:val="en-US"/>
      </w:rPr>
      <w:t>9</w:t>
    </w:r>
    <w:r w:rsidRPr="0013162C">
      <w:rPr>
        <w:rFonts w:ascii="Times New Roman" w:hAnsi="Times New Roman"/>
        <w:sz w:val="24"/>
        <w:szCs w:val="24"/>
      </w:rPr>
      <w:t>), 2013 года</w:t>
    </w:r>
  </w:p>
  <w:p w:rsidR="00E37CFE" w:rsidRDefault="00E37CF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CFE" w:rsidRDefault="00E37CFE" w:rsidP="004840D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37CFE" w:rsidRDefault="00E37CFE" w:rsidP="000D7E9C">
    <w:pPr>
      <w:pStyle w:val="Header"/>
      <w:ind w:right="360"/>
    </w:pPr>
    <w:r w:rsidRPr="0013162C">
      <w:rPr>
        <w:rFonts w:ascii="Times New Roman" w:hAnsi="Times New Roman"/>
        <w:sz w:val="24"/>
        <w:szCs w:val="24"/>
      </w:rPr>
      <w:t>Научный журнал КубГАУ, №9</w:t>
    </w:r>
    <w:r w:rsidRPr="0013162C">
      <w:rPr>
        <w:rFonts w:ascii="Times New Roman" w:hAnsi="Times New Roman"/>
        <w:sz w:val="24"/>
        <w:szCs w:val="24"/>
        <w:lang w:val="en-US"/>
      </w:rPr>
      <w:t>3</w:t>
    </w:r>
    <w:r w:rsidRPr="0013162C">
      <w:rPr>
        <w:rFonts w:ascii="Times New Roman" w:hAnsi="Times New Roman"/>
        <w:sz w:val="24"/>
        <w:szCs w:val="24"/>
      </w:rPr>
      <w:t>(0</w:t>
    </w:r>
    <w:r w:rsidRPr="0013162C">
      <w:rPr>
        <w:rFonts w:ascii="Times New Roman" w:hAnsi="Times New Roman"/>
        <w:sz w:val="24"/>
        <w:szCs w:val="24"/>
        <w:lang w:val="en-US"/>
      </w:rPr>
      <w:t>9</w:t>
    </w:r>
    <w:r w:rsidRPr="0013162C">
      <w:rPr>
        <w:rFonts w:ascii="Times New Roman" w:hAnsi="Times New Roman"/>
        <w:sz w:val="24"/>
        <w:szCs w:val="24"/>
      </w:rPr>
      <w:t>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776A8"/>
    <w:multiLevelType w:val="hybridMultilevel"/>
    <w:tmpl w:val="CC662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21E0"/>
    <w:rsid w:val="000D7E9C"/>
    <w:rsid w:val="00113019"/>
    <w:rsid w:val="0013162C"/>
    <w:rsid w:val="00141AB9"/>
    <w:rsid w:val="001A6B37"/>
    <w:rsid w:val="00220C10"/>
    <w:rsid w:val="00247D0D"/>
    <w:rsid w:val="00363C7D"/>
    <w:rsid w:val="00382479"/>
    <w:rsid w:val="003910BF"/>
    <w:rsid w:val="003A0A63"/>
    <w:rsid w:val="003A6504"/>
    <w:rsid w:val="003E0E12"/>
    <w:rsid w:val="00446A81"/>
    <w:rsid w:val="0045137C"/>
    <w:rsid w:val="00474FB7"/>
    <w:rsid w:val="004840D9"/>
    <w:rsid w:val="005164E6"/>
    <w:rsid w:val="005860A8"/>
    <w:rsid w:val="0061100E"/>
    <w:rsid w:val="00672E03"/>
    <w:rsid w:val="007721E0"/>
    <w:rsid w:val="008452C9"/>
    <w:rsid w:val="008C52A4"/>
    <w:rsid w:val="008C7905"/>
    <w:rsid w:val="008E3C9F"/>
    <w:rsid w:val="00983CBC"/>
    <w:rsid w:val="00991FC9"/>
    <w:rsid w:val="00A46574"/>
    <w:rsid w:val="00A609E9"/>
    <w:rsid w:val="00D15148"/>
    <w:rsid w:val="00D66DED"/>
    <w:rsid w:val="00D91F57"/>
    <w:rsid w:val="00D93F6C"/>
    <w:rsid w:val="00E37CFE"/>
    <w:rsid w:val="00E80000"/>
    <w:rsid w:val="00E803F3"/>
    <w:rsid w:val="00FA6375"/>
    <w:rsid w:val="00FC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47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7721E0"/>
    <w:pPr>
      <w:spacing w:after="0" w:line="240" w:lineRule="auto"/>
      <w:ind w:firstLine="708"/>
      <w:jc w:val="both"/>
    </w:pPr>
    <w:rPr>
      <w:rFonts w:ascii="Times New Roman"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721E0"/>
    <w:rPr>
      <w:rFonts w:ascii="Times New Roman" w:hAnsi="Times New Roman" w:cs="Times New Roman"/>
      <w:sz w:val="32"/>
      <w:szCs w:val="32"/>
    </w:rPr>
  </w:style>
  <w:style w:type="paragraph" w:styleId="ListParagraph">
    <w:name w:val="List Paragraph"/>
    <w:basedOn w:val="Normal"/>
    <w:uiPriority w:val="99"/>
    <w:qFormat/>
    <w:rsid w:val="005164E6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516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64E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164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64E6"/>
    <w:rPr>
      <w:rFonts w:cs="Times New Roman"/>
    </w:rPr>
  </w:style>
  <w:style w:type="character" w:styleId="PageNumber">
    <w:name w:val="page number"/>
    <w:basedOn w:val="DefaultParagraphFont"/>
    <w:uiPriority w:val="99"/>
    <w:rsid w:val="000D7E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15</Pages>
  <Words>4391</Words>
  <Characters>25029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admin</cp:lastModifiedBy>
  <cp:revision>15</cp:revision>
  <dcterms:created xsi:type="dcterms:W3CDTF">2013-10-19T17:01:00Z</dcterms:created>
  <dcterms:modified xsi:type="dcterms:W3CDTF">2013-11-20T18:22:00Z</dcterms:modified>
</cp:coreProperties>
</file>