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4643"/>
        <w:gridCol w:w="4643"/>
      </w:tblGrid>
      <w:tr w:rsidR="00E944C1" w:rsidRPr="00EC5E25" w:rsidTr="00DD2860">
        <w:tc>
          <w:tcPr>
            <w:tcW w:w="4643" w:type="dxa"/>
          </w:tcPr>
          <w:p w:rsidR="00E944C1" w:rsidRPr="00EC5E25" w:rsidRDefault="00E944C1" w:rsidP="00DD2860">
            <w:pPr>
              <w:pStyle w:val="Heading4"/>
              <w:widowControl w:val="0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EC5E25">
              <w:rPr>
                <w:b w:val="0"/>
                <w:sz w:val="20"/>
                <w:szCs w:val="20"/>
              </w:rPr>
              <w:t xml:space="preserve">УДК 336.71 </w:t>
            </w:r>
          </w:p>
        </w:tc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EC5E25">
              <w:rPr>
                <w:sz w:val="20"/>
                <w:szCs w:val="20"/>
                <w:lang w:val="en-US"/>
              </w:rPr>
              <w:t>UDC</w:t>
            </w:r>
            <w:r w:rsidRPr="00EC5E25">
              <w:rPr>
                <w:sz w:val="20"/>
                <w:szCs w:val="20"/>
              </w:rPr>
              <w:t xml:space="preserve"> 336.71</w:t>
            </w:r>
          </w:p>
        </w:tc>
      </w:tr>
      <w:tr w:rsidR="00E944C1" w:rsidRPr="00EC5E25" w:rsidTr="00DD2860">
        <w:tc>
          <w:tcPr>
            <w:tcW w:w="4643" w:type="dxa"/>
          </w:tcPr>
          <w:p w:rsidR="00E944C1" w:rsidRPr="00EC5E25" w:rsidRDefault="00E944C1" w:rsidP="00DD2860">
            <w:pPr>
              <w:pStyle w:val="Heading4"/>
              <w:widowControl w:val="0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E944C1" w:rsidRPr="00EC5E25" w:rsidTr="00DD2860"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b/>
                <w:caps/>
                <w:sz w:val="20"/>
                <w:szCs w:val="20"/>
              </w:rPr>
            </w:pPr>
            <w:r w:rsidRPr="00EC5E25">
              <w:rPr>
                <w:b/>
                <w:caps/>
                <w:sz w:val="20"/>
                <w:szCs w:val="20"/>
              </w:rPr>
              <w:t xml:space="preserve">Банковские инновации как фактор  </w:t>
            </w:r>
            <w:r w:rsidRPr="00EC5E25">
              <w:rPr>
                <w:b/>
                <w:caps/>
                <w:spacing w:val="-6"/>
                <w:sz w:val="20"/>
                <w:szCs w:val="20"/>
              </w:rPr>
              <w:t>повышения конкурентоспособности</w:t>
            </w:r>
            <w:r w:rsidRPr="00EC5E25">
              <w:rPr>
                <w:b/>
                <w:caps/>
                <w:sz w:val="20"/>
                <w:szCs w:val="20"/>
              </w:rPr>
              <w:t xml:space="preserve"> региональной банковской системы</w:t>
            </w:r>
          </w:p>
          <w:p w:rsidR="00E944C1" w:rsidRPr="00EC5E25" w:rsidRDefault="00E944C1" w:rsidP="00DD2860">
            <w:pPr>
              <w:widowControl w:val="0"/>
              <w:spacing w:after="0" w:line="240" w:lineRule="auto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b/>
                <w:caps/>
                <w:sz w:val="20"/>
                <w:szCs w:val="20"/>
                <w:lang w:val="en-US"/>
              </w:rPr>
            </w:pPr>
            <w:r w:rsidRPr="00EC5E25">
              <w:rPr>
                <w:b/>
                <w:caps/>
                <w:sz w:val="20"/>
                <w:szCs w:val="20"/>
                <w:lang w:val="en-US"/>
              </w:rPr>
              <w:t>Bank innovations as A factor increasING THE competitiveness of a regional bank system</w:t>
            </w:r>
          </w:p>
        </w:tc>
      </w:tr>
      <w:tr w:rsidR="00E944C1" w:rsidRPr="00EC5E25" w:rsidTr="00DD2860">
        <w:tc>
          <w:tcPr>
            <w:tcW w:w="4643" w:type="dxa"/>
          </w:tcPr>
          <w:p w:rsidR="00E944C1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C5E25">
              <w:rPr>
                <w:sz w:val="20"/>
                <w:szCs w:val="20"/>
              </w:rPr>
              <w:t>Тимченко Андрей Андреевич</w:t>
            </w:r>
          </w:p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EC5E25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4643" w:type="dxa"/>
          </w:tcPr>
          <w:p w:rsidR="00E944C1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C5E25">
              <w:rPr>
                <w:sz w:val="20"/>
                <w:szCs w:val="20"/>
                <w:lang w:val="en-US"/>
              </w:rPr>
              <w:t>Timchenko Andrey Andreevich</w:t>
            </w:r>
          </w:p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C5E25">
              <w:rPr>
                <w:sz w:val="20"/>
                <w:szCs w:val="20"/>
                <w:lang w:val="en-US"/>
              </w:rPr>
              <w:t>lecturer</w:t>
            </w:r>
          </w:p>
        </w:tc>
      </w:tr>
      <w:tr w:rsidR="00E944C1" w:rsidRPr="00EC5E25" w:rsidTr="00DD2860"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i/>
                <w:sz w:val="20"/>
                <w:szCs w:val="20"/>
              </w:rPr>
            </w:pPr>
            <w:r w:rsidRPr="00EC5E25">
              <w:rPr>
                <w:i/>
                <w:sz w:val="20"/>
                <w:szCs w:val="20"/>
              </w:rPr>
              <w:t>Кубанский государственный университет, Краснодар, Россия</w:t>
            </w:r>
          </w:p>
        </w:tc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i/>
                <w:sz w:val="20"/>
                <w:szCs w:val="20"/>
                <w:lang w:val="en-US"/>
              </w:rPr>
            </w:pPr>
            <w:r w:rsidRPr="00EC5E25">
              <w:rPr>
                <w:i/>
                <w:sz w:val="20"/>
                <w:szCs w:val="20"/>
                <w:lang w:val="en-US"/>
              </w:rPr>
              <w:t>Kuban State University, Krasnodar, Russia</w:t>
            </w:r>
          </w:p>
        </w:tc>
      </w:tr>
      <w:tr w:rsidR="00E944C1" w:rsidRPr="00EC5E25" w:rsidTr="00DD2860"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E944C1" w:rsidRPr="00EC5E25" w:rsidTr="00DD2860"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EC5E25">
              <w:rPr>
                <w:sz w:val="20"/>
                <w:szCs w:val="20"/>
              </w:rPr>
              <w:t xml:space="preserve">В статье рассматриваются тенденции развития банковского рынка Краснодарского края, анализируется степень его эффективности в зависимости от степени использования инновационных банковских услуг </w:t>
            </w:r>
          </w:p>
        </w:tc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The </w:t>
            </w:r>
            <w:r w:rsidRPr="00EC5E25">
              <w:rPr>
                <w:sz w:val="20"/>
                <w:szCs w:val="20"/>
                <w:lang w:val="en-US"/>
              </w:rPr>
              <w:t xml:space="preserve">article </w:t>
            </w:r>
            <w:r>
              <w:rPr>
                <w:sz w:val="20"/>
                <w:szCs w:val="20"/>
                <w:lang w:val="en-US"/>
              </w:rPr>
              <w:t xml:space="preserve">presents the </w:t>
            </w:r>
            <w:r w:rsidRPr="00EC5E25">
              <w:rPr>
                <w:sz w:val="20"/>
                <w:szCs w:val="20"/>
                <w:lang w:val="en-US"/>
              </w:rPr>
              <w:t xml:space="preserve">tendencies of the </w:t>
            </w:r>
            <w:r>
              <w:rPr>
                <w:sz w:val="20"/>
                <w:szCs w:val="20"/>
                <w:lang w:val="en-US"/>
              </w:rPr>
              <w:t>Krasnodar region bank market</w:t>
            </w:r>
            <w:r w:rsidRPr="00EC5E25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EC5E25">
              <w:rPr>
                <w:sz w:val="20"/>
                <w:szCs w:val="20"/>
                <w:lang w:val="en-US"/>
              </w:rPr>
              <w:t xml:space="preserve">degree of its efficiency depending on using of innovative banking services </w:t>
            </w:r>
            <w:r>
              <w:rPr>
                <w:sz w:val="20"/>
                <w:szCs w:val="20"/>
                <w:lang w:val="en-US"/>
              </w:rPr>
              <w:t>has been</w:t>
            </w:r>
            <w:r w:rsidRPr="00EC5E25">
              <w:rPr>
                <w:sz w:val="20"/>
                <w:szCs w:val="20"/>
                <w:lang w:val="en-US"/>
              </w:rPr>
              <w:t xml:space="preserve"> analyzed</w:t>
            </w:r>
          </w:p>
        </w:tc>
      </w:tr>
      <w:tr w:rsidR="00E944C1" w:rsidRPr="00EC5E25" w:rsidTr="00DD2860"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E944C1" w:rsidRPr="00EC5E25" w:rsidTr="00DD2860"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EC5E25">
              <w:rPr>
                <w:sz w:val="20"/>
                <w:szCs w:val="20"/>
              </w:rPr>
              <w:t xml:space="preserve">Ключевые слова: </w:t>
            </w:r>
            <w:r w:rsidRPr="00EC5E25">
              <w:rPr>
                <w:caps/>
                <w:sz w:val="20"/>
                <w:szCs w:val="20"/>
              </w:rPr>
              <w:t>финансовые инновации, конкуренция, банковская система, инновационные процессы</w:t>
            </w:r>
          </w:p>
        </w:tc>
        <w:tc>
          <w:tcPr>
            <w:tcW w:w="4643" w:type="dxa"/>
          </w:tcPr>
          <w:p w:rsidR="00E944C1" w:rsidRPr="00EC5E25" w:rsidRDefault="00E944C1" w:rsidP="00DD2860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C5E25">
              <w:rPr>
                <w:sz w:val="20"/>
                <w:szCs w:val="20"/>
                <w:lang w:val="en-US"/>
              </w:rPr>
              <w:t xml:space="preserve">Keywords: </w:t>
            </w:r>
            <w:r w:rsidRPr="00EC5E25">
              <w:rPr>
                <w:caps/>
                <w:sz w:val="20"/>
                <w:szCs w:val="20"/>
                <w:lang w:val="en-US"/>
              </w:rPr>
              <w:t>FINANCIAL INNOVATIONS, competitiveness, BANKING SYSTEM, INNOVATIVE PROCESSES</w:t>
            </w:r>
          </w:p>
        </w:tc>
      </w:tr>
    </w:tbl>
    <w:p w:rsidR="00E944C1" w:rsidRPr="00D81B5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lang w:val="en-US"/>
        </w:rPr>
      </w:pPr>
    </w:p>
    <w:p w:rsidR="00E944C1" w:rsidRPr="00ED12A3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</w:pPr>
      <w:r w:rsidRPr="00F106D2">
        <w:t xml:space="preserve">Увеличение конкуренции на рынке финансовых (банковских) услуг, постоянно изменяющаяся законодательная и нормативная база, дифференцированность клиентской базы, регионально-территориальные особенности геополитического характера (связанные с плотностью населения, демографической ситуацией, лояльностью органов власти к финансовым учреждениям и т.д.), возможности роста предпринимательской активности, инфраструктурно техническая обеспеченность вызывают повышенные требования к внедряемым технологиям банковского обслуживания, методам их эффективного использования в деятельности региональной банковской системы. Так авторами статьи «Современные тенденции развития функционально-инструментального комплекса рынка финансовых услуг» выражается мысль о том, что «рост глобального рынка капиталов и в новом тысячелетии сопровождается существенным снижением роли банков и параллельным усилением рыночных институтов как главных финансовых посредников» [5]. </w:t>
      </w:r>
      <w:r w:rsidRPr="00ED12A3">
        <w:t>В соответствии с динамично меняющимися условиями деятельности любой банк как полноценный участник рынка вынужден меняться сам, становясь инициатором внутриорганизационных</w:t>
      </w:r>
      <w:r w:rsidRPr="00F106D2">
        <w:rPr>
          <w:rFonts w:ascii="TimesNewRoman" w:eastAsia="TimesNewRoman" w:cs="TimesNewRoman"/>
        </w:rPr>
        <w:t xml:space="preserve"> </w:t>
      </w:r>
      <w:r w:rsidRPr="00ED12A3">
        <w:t>инновационных процессов [6]</w:t>
      </w:r>
      <w:r w:rsidRPr="00ED12A3">
        <w:rPr>
          <w:rFonts w:eastAsia="TimesNewRoman"/>
        </w:rPr>
        <w:t>.</w:t>
      </w:r>
    </w:p>
    <w:p w:rsidR="00E944C1" w:rsidRDefault="00E944C1" w:rsidP="00E06BEB">
      <w:pPr>
        <w:widowControl w:val="0"/>
        <w:spacing w:after="0" w:line="360" w:lineRule="auto"/>
        <w:ind w:firstLine="708"/>
        <w:jc w:val="both"/>
      </w:pPr>
      <w:r w:rsidRPr="00F106D2">
        <w:t>При этом особое внимание следует уделить тому факту, что в качестве базы описываемых выше процессов</w:t>
      </w:r>
      <w:r>
        <w:t xml:space="preserve"> необходимо обозначить межбанковскую конкуренцию, основывающуюся на инновационной активности финансовых и банковских институтов вне зависимости от их региональной принадлежности. </w:t>
      </w:r>
    </w:p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  <w:r>
        <w:t xml:space="preserve">Так, Е.С. Старостина отмечала, что </w:t>
      </w:r>
      <w:r w:rsidRPr="004E19A4">
        <w:t>межбанковск</w:t>
      </w:r>
      <w:r>
        <w:t>ую</w:t>
      </w:r>
      <w:r w:rsidRPr="004E19A4">
        <w:t xml:space="preserve"> конкуренци</w:t>
      </w:r>
      <w:r>
        <w:t>ю можно определить</w:t>
      </w:r>
      <w:r w:rsidRPr="004E19A4">
        <w:t xml:space="preserve"> как </w:t>
      </w:r>
      <w:r>
        <w:t>«</w:t>
      </w:r>
      <w:r w:rsidRPr="004E19A4">
        <w:t>экономическ</w:t>
      </w:r>
      <w:r>
        <w:t>ую</w:t>
      </w:r>
      <w:r w:rsidRPr="004E19A4">
        <w:t xml:space="preserve"> философи</w:t>
      </w:r>
      <w:r>
        <w:t>ю</w:t>
      </w:r>
      <w:r w:rsidRPr="004E19A4">
        <w:t xml:space="preserve"> и мотивационный механизм инновационной активности в сфере банковской деятельности</w:t>
      </w:r>
      <w:r>
        <w:t xml:space="preserve">» </w:t>
      </w:r>
      <w:r w:rsidRPr="001A7630">
        <w:t>[1]</w:t>
      </w:r>
      <w:r>
        <w:t>. Придерживаясь данной точки зрения, акцентируем внимание на том, что эффективность исп</w:t>
      </w:r>
      <w:r w:rsidRPr="00C3092A">
        <w:t xml:space="preserve">ользования инновационных финансовых продуктов и технологий в </w:t>
      </w:r>
      <w:r>
        <w:t xml:space="preserve">региональной </w:t>
      </w:r>
      <w:r w:rsidRPr="00C3092A">
        <w:t xml:space="preserve">банковской </w:t>
      </w:r>
      <w:r>
        <w:t>системе</w:t>
      </w:r>
      <w:r w:rsidRPr="00C3092A">
        <w:t xml:space="preserve"> </w:t>
      </w:r>
      <w:r>
        <w:t>основывается на утверждении</w:t>
      </w:r>
      <w:r w:rsidRPr="00C3092A">
        <w:t xml:space="preserve">, что важнейшим перспективным </w:t>
      </w:r>
      <w:r>
        <w:t>вектором</w:t>
      </w:r>
      <w:r w:rsidRPr="00C3092A">
        <w:t xml:space="preserve"> развития выступает </w:t>
      </w:r>
      <w:r>
        <w:t xml:space="preserve">усиленное </w:t>
      </w:r>
      <w:r w:rsidRPr="00C3092A">
        <w:t>внедрение инфокоммуникационных технологий</w:t>
      </w:r>
      <w:r>
        <w:t xml:space="preserve"> и новых форм банковского клиентского  обслуживания</w:t>
      </w:r>
      <w:r w:rsidRPr="00C3092A">
        <w:t xml:space="preserve"> на </w:t>
      </w:r>
      <w:r>
        <w:t xml:space="preserve">региональных </w:t>
      </w:r>
      <w:r w:rsidRPr="00C3092A">
        <w:t xml:space="preserve">финансовых рынках. </w:t>
      </w:r>
      <w:r>
        <w:t>При этом</w:t>
      </w:r>
      <w:r w:rsidRPr="00C3092A">
        <w:t xml:space="preserve"> данную стремительно развивающуюся тенденцию следует рассматривать в системной совокупности с</w:t>
      </w:r>
      <w:r>
        <w:t xml:space="preserve"> </w:t>
      </w:r>
      <w:r w:rsidRPr="00C3092A">
        <w:t xml:space="preserve">рядом </w:t>
      </w:r>
      <w:r>
        <w:t>тенденций развития регионального банковского</w:t>
      </w:r>
      <w:r w:rsidRPr="00C3092A">
        <w:t xml:space="preserve"> сектор</w:t>
      </w:r>
      <w:r>
        <w:t>а</w:t>
      </w:r>
      <w:r w:rsidRPr="00C3092A">
        <w:t>, к числу которых</w:t>
      </w:r>
      <w:r>
        <w:t>, на наш взгляд,</w:t>
      </w:r>
      <w:r w:rsidRPr="00C3092A">
        <w:t xml:space="preserve"> следует отнести</w:t>
      </w:r>
      <w:r>
        <w:t>:</w:t>
      </w:r>
      <w:r w:rsidRPr="00C3092A">
        <w:t xml:space="preserve"> финансов</w:t>
      </w:r>
      <w:r>
        <w:t>ую</w:t>
      </w:r>
      <w:r w:rsidRPr="00C3092A">
        <w:t xml:space="preserve"> глобализаци</w:t>
      </w:r>
      <w:r>
        <w:t>ю</w:t>
      </w:r>
      <w:r w:rsidRPr="00C3092A">
        <w:t>,</w:t>
      </w:r>
      <w:r>
        <w:t xml:space="preserve"> </w:t>
      </w:r>
      <w:r w:rsidRPr="00C3092A">
        <w:t>процессы слияния, поглощения и об</w:t>
      </w:r>
      <w:r>
        <w:t>разования банковских холдингов</w:t>
      </w:r>
      <w:r w:rsidRPr="00C3092A">
        <w:t xml:space="preserve">, проблемы </w:t>
      </w:r>
      <w:r>
        <w:t>проникновения</w:t>
      </w:r>
      <w:r w:rsidRPr="00C3092A">
        <w:t xml:space="preserve"> иностранного</w:t>
      </w:r>
      <w:r>
        <w:t xml:space="preserve"> банковского </w:t>
      </w:r>
      <w:r w:rsidRPr="00C3092A">
        <w:t xml:space="preserve">капитала в </w:t>
      </w:r>
      <w:r>
        <w:t>региональную банковскую систему</w:t>
      </w:r>
      <w:r w:rsidRPr="00C3092A">
        <w:t>.</w:t>
      </w:r>
    </w:p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jc w:val="both"/>
      </w:pPr>
      <w:r>
        <w:tab/>
        <w:t xml:space="preserve">В условиях конкуренции на рынке финансовых услуг банковские инновации, основанные на концепции предоставления дополнительных ценностей и «расширенных» услуг, имеют актуальное значение и обеспечивают финансовым институтам их внедряющим конкурентные преимущества, что было описано нами ранее в других публикациях </w:t>
      </w:r>
      <w:r w:rsidRPr="00C26834">
        <w:t>[3</w:t>
      </w:r>
      <w:r>
        <w:t>, 4</w:t>
      </w:r>
      <w:r w:rsidRPr="00C26834">
        <w:t>]</w:t>
      </w:r>
      <w:r>
        <w:t>. Такой подход способствует зарождению и поддержанию процесса долгосрочных инновационных преобразований как доминантного фактора устойчивого развития коммерческого банка. Особая значимость данного процесса в том, что в результате данных преобразований и банк-оператор и клиент-потребитель получают от сотрудничества огромную выгоду.</w:t>
      </w:r>
    </w:p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jc w:val="both"/>
      </w:pPr>
      <w:r>
        <w:tab/>
        <w:t>По нашему мнению, одним из важнейших направлений развития интеграции банковских инноваций с классическими и устоявшимися банковскими услугами может выступить создание единой системы взаимных ценностей (управление инновационными преобразованиями на основе ценностей), обладающей особой важностью для ее участников и дающей им ряд определенных преимуществ, представленных в таблице 1.</w:t>
      </w:r>
    </w:p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jc w:val="both"/>
      </w:pPr>
    </w:p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jc w:val="both"/>
      </w:pPr>
      <w:r>
        <w:t>Таблица 1 – Преимущества, обеспечиваемые единой системой взаимных ценностей для участников</w:t>
      </w:r>
      <w:r w:rsidRPr="0058168B">
        <w:t xml:space="preserve"> </w:t>
      </w:r>
      <w:r>
        <w:t>процесса долгосрочных инновационных преобразований в коммерческом банке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3402"/>
        <w:gridCol w:w="3649"/>
      </w:tblGrid>
      <w:tr w:rsidR="00E944C1" w:rsidRPr="006E23E1" w:rsidTr="006E23E1">
        <w:tc>
          <w:tcPr>
            <w:tcW w:w="2235" w:type="dxa"/>
            <w:vAlign w:val="center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Участник цепочки      </w:t>
            </w:r>
          </w:p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инновационных        </w:t>
            </w:r>
          </w:p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преобразований</w:t>
            </w:r>
          </w:p>
        </w:tc>
        <w:tc>
          <w:tcPr>
            <w:tcW w:w="3402" w:type="dxa"/>
            <w:vAlign w:val="center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Банк-генератор</w:t>
            </w:r>
          </w:p>
        </w:tc>
        <w:tc>
          <w:tcPr>
            <w:tcW w:w="3649" w:type="dxa"/>
            <w:vAlign w:val="center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Клиент-потребитель</w:t>
            </w:r>
          </w:p>
        </w:tc>
      </w:tr>
      <w:tr w:rsidR="00E944C1" w:rsidRPr="006E23E1" w:rsidTr="006E23E1">
        <w:tc>
          <w:tcPr>
            <w:tcW w:w="2235" w:type="dxa"/>
            <w:vAlign w:val="center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Осуществляет</w:t>
            </w:r>
          </w:p>
        </w:tc>
        <w:tc>
          <w:tcPr>
            <w:tcW w:w="3402" w:type="dxa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Использование современного высокотехнологичного оборудования, обучение сотрудников, реализует льготные банковские продукты и новые формы предоставления услуг</w:t>
            </w:r>
          </w:p>
        </w:tc>
        <w:tc>
          <w:tcPr>
            <w:tcW w:w="3649" w:type="dxa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Заявляет о потребностях в банковских продуктах, формирует спрос на новые банковские или финансовые услуги, отмечает присущие им недостатки</w:t>
            </w:r>
          </w:p>
        </w:tc>
      </w:tr>
      <w:tr w:rsidR="00E944C1" w:rsidRPr="006E23E1" w:rsidTr="006E23E1">
        <w:tc>
          <w:tcPr>
            <w:tcW w:w="2235" w:type="dxa"/>
            <w:vAlign w:val="center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Получает</w:t>
            </w:r>
          </w:p>
        </w:tc>
        <w:tc>
          <w:tcPr>
            <w:tcW w:w="3402" w:type="dxa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Информацию о востребованности продуктов и услуг, их объемах, качестве, недостатках и преимуществах</w:t>
            </w:r>
          </w:p>
        </w:tc>
        <w:tc>
          <w:tcPr>
            <w:tcW w:w="3649" w:type="dxa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Скидки, льготные кредиты, ВИП-обслуживание, сокращение </w:t>
            </w:r>
            <w:r w:rsidRPr="006E23E1">
              <w:rPr>
                <w:spacing w:val="-4"/>
                <w:sz w:val="24"/>
                <w:szCs w:val="24"/>
              </w:rPr>
              <w:t>сроков проведения операций, банковские продукты с более высоким уровнем эффективности</w:t>
            </w:r>
          </w:p>
        </w:tc>
      </w:tr>
    </w:tbl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jc w:val="both"/>
      </w:pPr>
    </w:p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</w:pPr>
      <w:r>
        <w:t>В результате реализации преимуществ, обеспечиваемых данной системой создается  целостная конкурентоспособная система. На наш взгляд, ее притягательность заключается в стремлении всех участников предоставить другим максимально удобные и выгодные условия ведения его деятельности. Выпадение хотя бы одного из участников цепочки отрицательно влияет на общий результат и снижает совокупный синергетический эффект от сотрудничества.</w:t>
      </w:r>
    </w:p>
    <w:p w:rsidR="00E944C1" w:rsidRPr="00160EF5" w:rsidRDefault="00E944C1" w:rsidP="00AC55B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</w:pPr>
      <w:r>
        <w:t>Также создание единой системы взаимных ценностей предполагает и создание определенных инновационных преимуществ и для структурных подразделений коммерческих банков, благодаря чему обеспечиваются конкурентные преимущества для каждого звена, обеспечивающего процесс инновационных преобразований.</w:t>
      </w:r>
      <w:r w:rsidRPr="00AC55BF">
        <w:t xml:space="preserve"> </w:t>
      </w:r>
      <w:r>
        <w:rPr>
          <w:bCs/>
          <w:iCs/>
        </w:rPr>
        <w:t>Акцентируя внимание на инновационной деятельности банковской системы Краснодарского края следует упомянуть и о том, что</w:t>
      </w:r>
      <w:r w:rsidRPr="00160EF5">
        <w:rPr>
          <w:bCs/>
          <w:iCs/>
        </w:rPr>
        <w:t xml:space="preserve"> по итогам 2012 года экономическая ситуация в регионе в целом характеризовалась положительными тенденциями:</w:t>
      </w:r>
    </w:p>
    <w:p w:rsidR="00E944C1" w:rsidRPr="00160EF5" w:rsidRDefault="00E944C1" w:rsidP="00E06BEB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</w:pPr>
      <w:r w:rsidRPr="00160EF5">
        <w:t>улучшением экономической конъюнктуры и увеличением производства товаров и услуг в большинстве основных видов деятельности нефинансового сектора;</w:t>
      </w:r>
    </w:p>
    <w:p w:rsidR="00E944C1" w:rsidRPr="00160EF5" w:rsidRDefault="00E944C1" w:rsidP="00E06BEB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422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</w:pPr>
      <w:r w:rsidRPr="00E06BEB">
        <w:t>удовлетворительным финансовым состоянием предприятий;</w:t>
      </w:r>
    </w:p>
    <w:p w:rsidR="00E944C1" w:rsidRPr="00160EF5" w:rsidRDefault="00E944C1" w:rsidP="00E06BEB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422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</w:pPr>
      <w:r w:rsidRPr="00E06BEB">
        <w:rPr>
          <w:spacing w:val="-1"/>
        </w:rPr>
        <w:t xml:space="preserve">сохранением лидирующей позиции по масштабам инвестиционной деятельности; </w:t>
      </w:r>
      <w:r w:rsidRPr="00E06BEB">
        <w:t>улучшением ситуации на рынке труда;</w:t>
      </w:r>
    </w:p>
    <w:p w:rsidR="00E944C1" w:rsidRPr="00160EF5" w:rsidRDefault="00E944C1" w:rsidP="00E06BEB">
      <w:pPr>
        <w:widowControl w:val="0"/>
        <w:shd w:val="clear" w:color="auto" w:fill="FFFFFF"/>
        <w:tabs>
          <w:tab w:val="left" w:pos="851"/>
        </w:tabs>
        <w:spacing w:after="0" w:line="360" w:lineRule="auto"/>
        <w:ind w:firstLine="709"/>
        <w:jc w:val="both"/>
      </w:pPr>
      <w:r>
        <w:t>−</w:t>
      </w:r>
      <w:r w:rsidRPr="00E06BEB">
        <w:t xml:space="preserve"> </w:t>
      </w:r>
      <w:r w:rsidRPr="00160EF5">
        <w:t>увеличением темпов роста номинальных и реальных располагаемых денежных доходов населения.</w:t>
      </w:r>
    </w:p>
    <w:p w:rsidR="00E944C1" w:rsidRPr="00160EF5" w:rsidRDefault="00E944C1" w:rsidP="00E06BEB">
      <w:pPr>
        <w:widowControl w:val="0"/>
        <w:tabs>
          <w:tab w:val="left" w:pos="4060"/>
        </w:tabs>
        <w:spacing w:after="0" w:line="360" w:lineRule="auto"/>
        <w:ind w:firstLine="709"/>
        <w:jc w:val="both"/>
      </w:pPr>
      <w:r>
        <w:t>Особую значимость перечисленным выше процессам придает тот факт, что в связи с Олимпийскими играми – 2014 в г. Сочи в Краснодарский край идет значительный поток инвестиций, бюджетных трансфертов. Следовательно, инновационные механизмы, присущие банковской системы края  имеют необходимую финансовую поддержку и обладают рядом региональных особенностей.</w:t>
      </w:r>
    </w:p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</w:pPr>
      <w:r>
        <w:t>В частности можно предложить следующую группировку особенностей регионального банковского рынка, влияющих на продвижение банковских продуктов и услуг, с позиции его инновационных преимуществ (таблица 2).</w:t>
      </w:r>
    </w:p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</w:pPr>
      <w:r>
        <w:t>Данные особенности подтверждаются и основными показателями характеризующими использование инновационных форм и методов предоставления услуг банковской системой Краснодарского края.</w:t>
      </w:r>
    </w:p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jc w:val="both"/>
      </w:pPr>
      <w:r>
        <w:t>Таблица 2 – Особенности рынка банковских услуг Краснодарского края с позиции потребностей и перспективы инновационных преобразований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5"/>
        <w:gridCol w:w="7211"/>
      </w:tblGrid>
      <w:tr w:rsidR="00E944C1" w:rsidRPr="006E23E1" w:rsidTr="006E23E1">
        <w:tc>
          <w:tcPr>
            <w:tcW w:w="0" w:type="auto"/>
            <w:vAlign w:val="center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Группы</w:t>
            </w:r>
          </w:p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особенностей</w:t>
            </w:r>
          </w:p>
        </w:tc>
        <w:tc>
          <w:tcPr>
            <w:tcW w:w="0" w:type="auto"/>
            <w:vAlign w:val="center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Содержание</w:t>
            </w:r>
          </w:p>
        </w:tc>
      </w:tr>
      <w:tr w:rsidR="00E944C1" w:rsidRPr="006E23E1" w:rsidTr="006E23E1">
        <w:tc>
          <w:tcPr>
            <w:tcW w:w="0" w:type="auto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Экономические</w:t>
            </w:r>
          </w:p>
        </w:tc>
        <w:tc>
          <w:tcPr>
            <w:tcW w:w="0" w:type="auto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Низкая стоимость отдельных видов услуг и продуктов, увеличивающая спрос на услуги; дефицит инвестиций в развитие финансовой инфраструктуры региона; высокие издержки по запуску новых видов услуг и открытию дополнительных офисов; высокая платежеспособность значительной массы потребителей банковских услуг и высокая готовность жителей края опробовать новые формы  виды услуг; значительный уровень конкуренции между банковскими кредитными организациями</w:t>
            </w:r>
          </w:p>
        </w:tc>
      </w:tr>
      <w:tr w:rsidR="00E944C1" w:rsidRPr="006E23E1" w:rsidTr="006E23E1">
        <w:tc>
          <w:tcPr>
            <w:tcW w:w="0" w:type="auto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Организационные</w:t>
            </w:r>
          </w:p>
        </w:tc>
        <w:tc>
          <w:tcPr>
            <w:tcW w:w="0" w:type="auto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Отсутствие монополизма в сфере предоставления банковских услуг; разветвленная сеть кредитно-банковских учреждений; близость к потребителям услуг; высокий уровень организации маркетинга, логистики и сервиса; равномерное распределение инфокоммуникаций и инфраструктуры по территории региона</w:t>
            </w:r>
          </w:p>
        </w:tc>
      </w:tr>
      <w:tr w:rsidR="00E944C1" w:rsidRPr="006E23E1" w:rsidTr="006E23E1">
        <w:tc>
          <w:tcPr>
            <w:tcW w:w="0" w:type="auto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Маркетинговые</w:t>
            </w:r>
          </w:p>
        </w:tc>
        <w:tc>
          <w:tcPr>
            <w:tcW w:w="0" w:type="auto"/>
          </w:tcPr>
          <w:p w:rsidR="00E944C1" w:rsidRPr="006E23E1" w:rsidRDefault="00E944C1" w:rsidP="006E2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Неготовность к  приобретению (потреблению) некоторых видов новых услуг; слабое развитие дистанционного обслуживания населения ввиду слабой компьютерной грамотности наиболее платежеспособности части клиентов и отсутствия 100-% защиты каналов передачи информации; привычка использовать наличные денежные средства, в том числе иногда и в деловом обороте </w:t>
            </w:r>
          </w:p>
        </w:tc>
      </w:tr>
    </w:tbl>
    <w:p w:rsidR="00E944C1" w:rsidRDefault="00E944C1" w:rsidP="00E06BEB">
      <w:pPr>
        <w:widowControl w:val="0"/>
        <w:autoSpaceDE w:val="0"/>
        <w:autoSpaceDN w:val="0"/>
        <w:adjustRightInd w:val="0"/>
        <w:spacing w:after="0" w:line="360" w:lineRule="auto"/>
        <w:jc w:val="both"/>
      </w:pPr>
    </w:p>
    <w:p w:rsidR="00E944C1" w:rsidRPr="000E3ECC" w:rsidRDefault="00E944C1" w:rsidP="00E06BEB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>
        <w:t>Например,</w:t>
      </w:r>
      <w:r w:rsidRPr="000E3ECC">
        <w:t xml:space="preserve"> </w:t>
      </w:r>
      <w:r>
        <w:t xml:space="preserve">число </w:t>
      </w:r>
      <w:r w:rsidRPr="000E3ECC">
        <w:t>используемых в расчетах банковских карт увеличилось за 2012 год на</w:t>
      </w:r>
      <w:r>
        <w:t xml:space="preserve"> </w:t>
      </w:r>
      <w:r w:rsidRPr="000E3ECC">
        <w:t xml:space="preserve">27,2% и составило более 6,6 млн. единиц. По числу эмитированных карт в крае </w:t>
      </w:r>
      <w:r>
        <w:t xml:space="preserve">естественно </w:t>
      </w:r>
      <w:r w:rsidRPr="000E3ECC">
        <w:t>лидируют</w:t>
      </w:r>
      <w:r>
        <w:t xml:space="preserve"> </w:t>
      </w:r>
      <w:r w:rsidRPr="000E3ECC">
        <w:t>международные платежные системы</w:t>
      </w:r>
      <w:r>
        <w:t xml:space="preserve"> (</w:t>
      </w:r>
      <w:r>
        <w:rPr>
          <w:lang w:val="en-US"/>
        </w:rPr>
        <w:t>VISA</w:t>
      </w:r>
      <w:r w:rsidRPr="00807E56">
        <w:t xml:space="preserve">, </w:t>
      </w:r>
      <w:r>
        <w:rPr>
          <w:lang w:val="en-US"/>
        </w:rPr>
        <w:t>Mastercard</w:t>
      </w:r>
      <w:r w:rsidRPr="00807E56">
        <w:t>)</w:t>
      </w:r>
      <w:r w:rsidRPr="000E3ECC">
        <w:t>, доля которых в общем объеме по состоянию на</w:t>
      </w:r>
      <w:r>
        <w:t xml:space="preserve"> </w:t>
      </w:r>
      <w:r w:rsidRPr="000E3ECC">
        <w:t>01.01.2013</w:t>
      </w:r>
      <w:r w:rsidRPr="00807E56">
        <w:t xml:space="preserve"> </w:t>
      </w:r>
      <w:r>
        <w:t>г.</w:t>
      </w:r>
      <w:r w:rsidRPr="000E3ECC">
        <w:t xml:space="preserve"> составила 71,3%.</w:t>
      </w:r>
      <w:r>
        <w:t xml:space="preserve"> Рост</w:t>
      </w:r>
      <w:r w:rsidRPr="000E3ECC">
        <w:t xml:space="preserve"> количества банковских карт, выданных кредитными организациями на территории края, связан с внедрением «зарплатных», «социальных» и «топливных» проектов, а также предоставлением кредитными организациями принципиально новых сервисных услуг для владельцев карт.</w:t>
      </w:r>
    </w:p>
    <w:p w:rsidR="00E944C1" w:rsidRPr="000E3ECC" w:rsidRDefault="00E944C1" w:rsidP="00E06BEB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>
        <w:t>Также, б</w:t>
      </w:r>
      <w:r w:rsidRPr="000E3ECC">
        <w:t>анки, функционирующие на территории края, проводили мероприятия по расширению инфраструктуры, предназначенной для приема банковских карт. Общая инфраструктура по состоянию на 01.01.2013</w:t>
      </w:r>
      <w:r>
        <w:t xml:space="preserve"> г.</w:t>
      </w:r>
      <w:r w:rsidRPr="000E3ECC">
        <w:t xml:space="preserve"> по сравнению с 01.01.2012</w:t>
      </w:r>
      <w:r>
        <w:t xml:space="preserve"> г.</w:t>
      </w:r>
      <w:r w:rsidRPr="000E3ECC">
        <w:t xml:space="preserve"> расширилась в 1,4 раза, в том числе количество банкоматов возросло на 28,7% и составило 8 504 единицы. Количество электронных терминалов, используемых для оплаты товаров и услуг, увеличилось на 47,7% и составило 20 067 единиц.</w:t>
      </w:r>
    </w:p>
    <w:p w:rsidR="00E944C1" w:rsidRPr="000E3ECC" w:rsidRDefault="00E944C1" w:rsidP="00E06BEB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 w:rsidRPr="000E3ECC">
        <w:t xml:space="preserve">В результате развития и расширения сферы использования банковских карт наблюдалось увеличение количества и объема сделок, совершенных с использованием </w:t>
      </w:r>
      <w:r w:rsidRPr="000E3ECC">
        <w:rPr>
          <w:spacing w:val="-1"/>
        </w:rPr>
        <w:t xml:space="preserve">платежных карт, выданных на территории края. Так, если в 2011 году по банковским картам </w:t>
      </w:r>
      <w:r w:rsidRPr="000E3ECC">
        <w:t xml:space="preserve">всех систем расчетов в среднем за месяц осуществлялось 8,1 млн. транзакций на сумму около 35,5 млрд. рублей, то в 2012 году </w:t>
      </w:r>
      <w:r>
        <w:t>−</w:t>
      </w:r>
      <w:r w:rsidRPr="000E3ECC">
        <w:t xml:space="preserve"> 11,9 млн. транзакций на сумму 53,0 млрд. рублей.</w:t>
      </w:r>
    </w:p>
    <w:p w:rsidR="00E944C1" w:rsidRPr="000E3ECC" w:rsidRDefault="00E944C1" w:rsidP="00E06BEB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 w:rsidRPr="000E3ECC">
        <w:t>Доля безналичных операций с использованием платежных карт в общем объеме платных услуг населению, оборотах общественного питания и розничной торговли в отчетном периоде увеличилась и составила 5,4% против 3,2% за 2011 год.</w:t>
      </w:r>
    </w:p>
    <w:p w:rsidR="00E944C1" w:rsidRPr="000E3ECC" w:rsidRDefault="00E944C1" w:rsidP="00E06BEB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 w:rsidRPr="000E3ECC">
        <w:rPr>
          <w:spacing w:val="-2"/>
        </w:rPr>
        <w:t>В условиях активного внедрения в деятельность кредитных организаций</w:t>
      </w:r>
      <w:r>
        <w:rPr>
          <w:spacing w:val="-2"/>
        </w:rPr>
        <w:t xml:space="preserve"> работающих на территории</w:t>
      </w:r>
      <w:r w:rsidRPr="000E3ECC">
        <w:rPr>
          <w:spacing w:val="-2"/>
        </w:rPr>
        <w:t xml:space="preserve"> </w:t>
      </w:r>
      <w:r>
        <w:rPr>
          <w:spacing w:val="-2"/>
        </w:rPr>
        <w:t xml:space="preserve">Краснодарского края </w:t>
      </w:r>
      <w:r w:rsidRPr="000E3ECC">
        <w:rPr>
          <w:spacing w:val="-2"/>
        </w:rPr>
        <w:t xml:space="preserve">современных </w:t>
      </w:r>
      <w:r w:rsidRPr="000E3ECC">
        <w:t>информационных и коммуникационных технологий развитие рынка расчетных услуг характериз</w:t>
      </w:r>
      <w:r>
        <w:t>уется</w:t>
      </w:r>
      <w:r w:rsidRPr="000E3ECC">
        <w:t xml:space="preserve"> дальнейшим повышением клиентского спроса на услуги по дистанционному управлению счетами.</w:t>
      </w:r>
    </w:p>
    <w:p w:rsidR="00E944C1" w:rsidRPr="000E3ECC" w:rsidRDefault="00E944C1" w:rsidP="00E06BEB">
      <w:pPr>
        <w:widowControl w:val="0"/>
        <w:shd w:val="clear" w:color="auto" w:fill="FFFFFF"/>
        <w:spacing w:after="0" w:line="360" w:lineRule="auto"/>
        <w:ind w:right="40" w:firstLine="708"/>
        <w:jc w:val="both"/>
      </w:pPr>
      <w:r w:rsidRPr="000E3ECC">
        <w:t>По состоянию на 01.01.2013</w:t>
      </w:r>
      <w:r>
        <w:t xml:space="preserve"> г.</w:t>
      </w:r>
      <w:r w:rsidRPr="000E3ECC">
        <w:t xml:space="preserve"> количество счетов, по которым проводились операции по списанию денежных средств с использованием дистанционного доступа, составило 2426,5 тыс. единиц. Дистанционно управляли своими счетами 96,3% физических лиц и 3,7% юридических лиц. Количество счетов, обслуживаемых через сеть Интернет, составило 271,6 тыс. единиц. </w:t>
      </w:r>
      <w:r>
        <w:t>Интересной особенностью является тот факт, что у</w:t>
      </w:r>
      <w:r w:rsidRPr="000E3ECC">
        <w:t xml:space="preserve">слуги по дистанционному способу управления счетами с использованием мобильных телефонов предоставлялись кредитными организациями только </w:t>
      </w:r>
      <w:r>
        <w:t xml:space="preserve">для </w:t>
      </w:r>
      <w:r w:rsidRPr="000E3ECC">
        <w:t>физически</w:t>
      </w:r>
      <w:r>
        <w:t>х</w:t>
      </w:r>
      <w:r w:rsidRPr="000E3ECC">
        <w:t xml:space="preserve"> лиц</w:t>
      </w:r>
      <w:r>
        <w:t>: к</w:t>
      </w:r>
      <w:r w:rsidRPr="000E3ECC">
        <w:t xml:space="preserve">оличество таких счетов по сравнению с </w:t>
      </w:r>
      <w:r w:rsidRPr="000E3ECC">
        <w:rPr>
          <w:spacing w:val="-1"/>
        </w:rPr>
        <w:t>данными по состоянию на 01.01.2012</w:t>
      </w:r>
      <w:r>
        <w:rPr>
          <w:spacing w:val="-1"/>
        </w:rPr>
        <w:t xml:space="preserve"> г.</w:t>
      </w:r>
      <w:r w:rsidRPr="000E3ECC">
        <w:rPr>
          <w:spacing w:val="-1"/>
        </w:rPr>
        <w:t xml:space="preserve"> увеличилось на 23,4% и по состоянию на 01.01.2013 </w:t>
      </w:r>
      <w:r>
        <w:rPr>
          <w:spacing w:val="-1"/>
        </w:rPr>
        <w:t xml:space="preserve">г. </w:t>
      </w:r>
      <w:r w:rsidRPr="000E3ECC">
        <w:t>составило 632,4 тыс. единиц.</w:t>
      </w:r>
    </w:p>
    <w:p w:rsidR="00E944C1" w:rsidRPr="000E3ECC" w:rsidRDefault="00E944C1" w:rsidP="00E06BEB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>
        <w:t>К</w:t>
      </w:r>
      <w:r w:rsidRPr="000E3ECC">
        <w:t>редитны</w:t>
      </w:r>
      <w:r>
        <w:t>е</w:t>
      </w:r>
      <w:r w:rsidRPr="000E3ECC">
        <w:t xml:space="preserve"> организации </w:t>
      </w:r>
      <w:r>
        <w:t>и филиалы кредитных организаций</w:t>
      </w:r>
      <w:r w:rsidRPr="000E3ECC">
        <w:t>, расположенны</w:t>
      </w:r>
      <w:r>
        <w:t>е</w:t>
      </w:r>
      <w:r w:rsidRPr="000E3ECC">
        <w:t xml:space="preserve"> на территории края,</w:t>
      </w:r>
      <w:r>
        <w:t xml:space="preserve"> а также </w:t>
      </w:r>
      <w:r w:rsidRPr="000E3ECC">
        <w:t>платежн</w:t>
      </w:r>
      <w:r>
        <w:t>ая</w:t>
      </w:r>
      <w:r w:rsidRPr="000E3ECC">
        <w:t xml:space="preserve"> систем</w:t>
      </w:r>
      <w:r>
        <w:t>а</w:t>
      </w:r>
      <w:r w:rsidRPr="000E3ECC">
        <w:t xml:space="preserve"> Банка России </w:t>
      </w:r>
      <w:r>
        <w:t>в 2012 году осуществили</w:t>
      </w:r>
      <w:r w:rsidRPr="000E3ECC">
        <w:t xml:space="preserve"> 86,9 млн. переводов денежных средств на общую сумму 8484,9 млрд. рублей. По сравнению с аналогичным показателем 2011 года количество и сумма переводов денежных средств увеличились на 13,2 и 13,6% соответственно. </w:t>
      </w:r>
      <w:r>
        <w:t>Каждый день</w:t>
      </w:r>
      <w:r w:rsidRPr="000E3ECC">
        <w:t xml:space="preserve"> осуществлялось в среднем более 350,3 тыс. транзакций на общую сумму 34,2 млрд. рублей (в 2011 году </w:t>
      </w:r>
      <w:r>
        <w:t>−</w:t>
      </w:r>
      <w:r w:rsidRPr="000E3ECC">
        <w:t xml:space="preserve"> 309,5 тыс. транзакций на сумму 30,1 млрд. рублей).</w:t>
      </w:r>
    </w:p>
    <w:p w:rsidR="00E944C1" w:rsidRPr="000E3ECC" w:rsidRDefault="00E944C1" w:rsidP="00E06BEB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>
        <w:t xml:space="preserve">Особенностью региональной банковской системы является тот факт, что </w:t>
      </w:r>
      <w:r w:rsidRPr="000E3ECC">
        <w:t>региональн</w:t>
      </w:r>
      <w:r>
        <w:t>ая</w:t>
      </w:r>
      <w:r w:rsidRPr="000E3ECC">
        <w:t xml:space="preserve"> компонент</w:t>
      </w:r>
      <w:r>
        <w:t>а</w:t>
      </w:r>
      <w:r w:rsidRPr="000E3ECC">
        <w:t xml:space="preserve"> платежной системы Банка России </w:t>
      </w:r>
      <w:r>
        <w:t>осуществляет</w:t>
      </w:r>
      <w:r w:rsidRPr="000E3ECC">
        <w:t xml:space="preserve"> более половины объема переводов денежных средств, проведенных </w:t>
      </w:r>
      <w:r w:rsidRPr="000E3ECC">
        <w:rPr>
          <w:spacing w:val="-1"/>
        </w:rPr>
        <w:t>банковскими учреждениями, расположенными на территории края</w:t>
      </w:r>
      <w:r>
        <w:rPr>
          <w:spacing w:val="-1"/>
        </w:rPr>
        <w:t xml:space="preserve">, а именно − </w:t>
      </w:r>
      <w:r w:rsidRPr="000E3ECC">
        <w:t>32,5 млн. переводов денежных средств на общую сумму 5362,0 млрд. руб</w:t>
      </w:r>
      <w:r>
        <w:t>лей</w:t>
      </w:r>
      <w:r w:rsidRPr="000E3ECC">
        <w:rPr>
          <w:spacing w:val="-1"/>
        </w:rPr>
        <w:t>.</w:t>
      </w:r>
      <w:r w:rsidRPr="000E3ECC">
        <w:t xml:space="preserve"> В </w:t>
      </w:r>
      <w:r>
        <w:t>2012 году</w:t>
      </w:r>
      <w:r w:rsidRPr="000E3ECC">
        <w:t xml:space="preserve"> удельный вес переводов денежных средств, проведенных с использованием электронной технологии региональной компонентой платежной системы Банка России и кредитными организациями (филиалами), расположенными на территории края, составил 78,5% от общего количества переводов денежных средств и 97,8% от суммы переводов денежных средств (</w:t>
      </w:r>
      <w:r>
        <w:t>в</w:t>
      </w:r>
      <w:r w:rsidRPr="000E3ECC">
        <w:t xml:space="preserve"> 2011 год</w:t>
      </w:r>
      <w:r>
        <w:t>у</w:t>
      </w:r>
      <w:r w:rsidRPr="000E3ECC">
        <w:t xml:space="preserve"> </w:t>
      </w:r>
      <w:r>
        <w:t>−</w:t>
      </w:r>
      <w:r w:rsidRPr="000E3ECC">
        <w:t xml:space="preserve"> соответственно 82,6 и 97,3%).</w:t>
      </w:r>
    </w:p>
    <w:p w:rsidR="00E944C1" w:rsidRPr="000E3ECC" w:rsidRDefault="00E944C1" w:rsidP="00E06BEB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>
        <w:t xml:space="preserve">Также активно банковские и кредитные учреждения Краснодарского края используют электронные технологии для перечисления средств. Например, </w:t>
      </w:r>
      <w:r w:rsidRPr="000E3ECC">
        <w:t xml:space="preserve"> наиболее существенный прирост удельного веса переводов денежных средств с использованием электронных технологий отмечен при проведении операций через корреспондентские счета, открытые в других кредитных организациях </w:t>
      </w:r>
      <w:r>
        <w:t xml:space="preserve">или </w:t>
      </w:r>
      <w:r w:rsidRPr="000E3ECC">
        <w:t xml:space="preserve">филиалах. Это главным образом связано с увеличением количества и объема переводов денежных средств, проводимых через корреспондентские счета, открытые в Краснодарском отделении № 8619 ОАО «Сбербанк России». Вместе с тем наиболее широкое распространение электронных технологий при осуществлении расчетов </w:t>
      </w:r>
      <w:r>
        <w:t>имеется</w:t>
      </w:r>
      <w:r w:rsidRPr="000E3ECC">
        <w:t xml:space="preserve"> в платежной системе Банка России </w:t>
      </w:r>
      <w:r>
        <w:t xml:space="preserve">и составляет </w:t>
      </w:r>
      <w:r w:rsidRPr="000E3ECC">
        <w:t xml:space="preserve">100,0% </w:t>
      </w:r>
      <w:r w:rsidRPr="00596EA8">
        <w:t>количества и суммы переводов денежных средств. В таблице 3 нами представлены данные</w:t>
      </w:r>
      <w:r>
        <w:t xml:space="preserve"> о структуре </w:t>
      </w:r>
      <w:r w:rsidRPr="00596EA8">
        <w:rPr>
          <w:bCs/>
        </w:rPr>
        <w:t>безналичных переводов денежных средств</w:t>
      </w:r>
      <w:r>
        <w:rPr>
          <w:bCs/>
        </w:rPr>
        <w:t>, свидетельствующие о том, что кредитные организации и их клиенты наращивали объемы переводов в форме банковских ордеров и практически не используют аккредитивные и чековые формы расчетов.</w:t>
      </w:r>
    </w:p>
    <w:p w:rsidR="00E944C1" w:rsidRDefault="00E944C1" w:rsidP="00E06BEB">
      <w:pPr>
        <w:widowControl w:val="0"/>
        <w:spacing w:after="0"/>
        <w:ind w:firstLine="708"/>
      </w:pPr>
    </w:p>
    <w:p w:rsidR="00E944C1" w:rsidRPr="00D81B51" w:rsidRDefault="00E944C1" w:rsidP="00AC55BF">
      <w:pPr>
        <w:widowControl w:val="0"/>
        <w:shd w:val="clear" w:color="auto" w:fill="FFFFFF"/>
        <w:spacing w:after="0" w:line="360" w:lineRule="auto"/>
        <w:ind w:right="40"/>
        <w:jc w:val="both"/>
      </w:pPr>
      <w:r>
        <w:t xml:space="preserve">Таблица 3 – </w:t>
      </w:r>
      <w:r w:rsidRPr="00596EA8">
        <w:rPr>
          <w:bCs/>
        </w:rPr>
        <w:t>Структура безналичных переводов денежных средств в разрезе применяемых расчетных документов, %</w:t>
      </w:r>
      <w:r>
        <w:rPr>
          <w:bCs/>
        </w:rPr>
        <w:t xml:space="preserve"> </w:t>
      </w:r>
      <w:r w:rsidRPr="00EB67A3">
        <w:rPr>
          <w:bCs/>
        </w:rPr>
        <w:t>[</w:t>
      </w:r>
      <w:r>
        <w:rPr>
          <w:bCs/>
        </w:rPr>
        <w:t>2</w:t>
      </w:r>
      <w:r w:rsidRPr="00EB67A3">
        <w:rPr>
          <w:bCs/>
        </w:rPr>
        <w:t>]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799"/>
        <w:gridCol w:w="1281"/>
        <w:gridCol w:w="1352"/>
        <w:gridCol w:w="1356"/>
        <w:gridCol w:w="1362"/>
      </w:tblGrid>
      <w:tr w:rsidR="00E944C1" w:rsidRPr="006E23E1" w:rsidTr="00C61F39">
        <w:trPr>
          <w:trHeight w:hRule="exact" w:val="341"/>
        </w:trPr>
        <w:tc>
          <w:tcPr>
            <w:tcW w:w="207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Показатель </w:t>
            </w:r>
          </w:p>
        </w:tc>
        <w:tc>
          <w:tcPr>
            <w:tcW w:w="14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596EA8">
              <w:rPr>
                <w:sz w:val="24"/>
                <w:szCs w:val="24"/>
              </w:rPr>
              <w:t>Количество</w:t>
            </w:r>
          </w:p>
        </w:tc>
        <w:tc>
          <w:tcPr>
            <w:tcW w:w="1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596EA8">
              <w:rPr>
                <w:sz w:val="24"/>
                <w:szCs w:val="24"/>
              </w:rPr>
              <w:t>Объем</w:t>
            </w:r>
          </w:p>
        </w:tc>
      </w:tr>
      <w:tr w:rsidR="00E944C1" w:rsidRPr="006E23E1" w:rsidTr="00C61F39">
        <w:trPr>
          <w:trHeight w:hRule="exact" w:val="389"/>
        </w:trPr>
        <w:tc>
          <w:tcPr>
            <w:tcW w:w="20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:rsidR="00E944C1" w:rsidRPr="006E23E1" w:rsidRDefault="00E944C1" w:rsidP="00255952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2011 </w:t>
            </w:r>
            <w:r w:rsidRPr="00596EA8">
              <w:rPr>
                <w:sz w:val="24"/>
                <w:szCs w:val="24"/>
              </w:rPr>
              <w:t>год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2012 </w:t>
            </w:r>
            <w:r w:rsidRPr="00596EA8">
              <w:rPr>
                <w:sz w:val="24"/>
                <w:szCs w:val="24"/>
              </w:rPr>
              <w:t>год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2011 </w:t>
            </w:r>
            <w:r w:rsidRPr="00596EA8">
              <w:rPr>
                <w:sz w:val="24"/>
                <w:szCs w:val="24"/>
              </w:rPr>
              <w:t>год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2012 </w:t>
            </w:r>
            <w:r w:rsidRPr="00596EA8">
              <w:rPr>
                <w:sz w:val="24"/>
                <w:szCs w:val="24"/>
              </w:rPr>
              <w:t>год</w:t>
            </w:r>
          </w:p>
        </w:tc>
      </w:tr>
      <w:tr w:rsidR="00E944C1" w:rsidRPr="006E23E1" w:rsidTr="00C61F39">
        <w:trPr>
          <w:trHeight w:hRule="exact" w:val="695"/>
        </w:trPr>
        <w:tc>
          <w:tcPr>
            <w:tcW w:w="20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596EA8">
              <w:rPr>
                <w:bCs/>
                <w:spacing w:val="-1"/>
                <w:sz w:val="24"/>
                <w:szCs w:val="24"/>
              </w:rPr>
              <w:t>Переводы денежных средств – всего</w:t>
            </w:r>
          </w:p>
          <w:p w:rsidR="00E944C1" w:rsidRPr="006E23E1" w:rsidRDefault="00E944C1" w:rsidP="00255952">
            <w:pPr>
              <w:widowControl w:val="0"/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596EA8">
              <w:rPr>
                <w:sz w:val="24"/>
                <w:szCs w:val="24"/>
              </w:rPr>
              <w:t>В том числе с применением: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bCs/>
                <w:sz w:val="24"/>
                <w:szCs w:val="24"/>
              </w:rPr>
              <w:t>100,0</w:t>
            </w:r>
          </w:p>
        </w:tc>
      </w:tr>
      <w:tr w:rsidR="00E944C1" w:rsidRPr="006E23E1" w:rsidTr="00C61F39">
        <w:trPr>
          <w:trHeight w:hRule="exact" w:val="520"/>
        </w:trPr>
        <w:tc>
          <w:tcPr>
            <w:tcW w:w="20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- </w:t>
            </w:r>
            <w:r w:rsidRPr="00596EA8">
              <w:rPr>
                <w:sz w:val="24"/>
                <w:szCs w:val="24"/>
              </w:rPr>
              <w:t>платежных поручений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58,7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56,2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98,9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98,5</w:t>
            </w:r>
          </w:p>
        </w:tc>
      </w:tr>
      <w:tr w:rsidR="00E944C1" w:rsidRPr="006E23E1" w:rsidTr="00C61F39">
        <w:trPr>
          <w:trHeight w:hRule="exact" w:val="568"/>
        </w:trPr>
        <w:tc>
          <w:tcPr>
            <w:tcW w:w="20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- </w:t>
            </w:r>
            <w:r w:rsidRPr="00596EA8">
              <w:rPr>
                <w:sz w:val="24"/>
                <w:szCs w:val="24"/>
              </w:rPr>
              <w:t>платежных треб</w:t>
            </w:r>
            <w:r>
              <w:rPr>
                <w:sz w:val="24"/>
                <w:szCs w:val="24"/>
              </w:rPr>
              <w:t>ов</w:t>
            </w:r>
            <w:r w:rsidRPr="00596EA8">
              <w:rPr>
                <w:sz w:val="24"/>
                <w:szCs w:val="24"/>
              </w:rPr>
              <w:t>аний, инкассовых поручений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11,5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9,6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0,5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0,8</w:t>
            </w:r>
          </w:p>
        </w:tc>
      </w:tr>
      <w:tr w:rsidR="00E944C1" w:rsidRPr="006E23E1" w:rsidTr="00C61F39">
        <w:trPr>
          <w:trHeight w:hRule="exact" w:val="288"/>
        </w:trPr>
        <w:tc>
          <w:tcPr>
            <w:tcW w:w="20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- </w:t>
            </w:r>
            <w:r w:rsidRPr="00596EA8">
              <w:rPr>
                <w:sz w:val="24"/>
                <w:szCs w:val="24"/>
              </w:rPr>
              <w:t>аккредитивов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0,0*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0,0*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0,0*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0,0*</w:t>
            </w:r>
          </w:p>
        </w:tc>
      </w:tr>
      <w:tr w:rsidR="00E944C1" w:rsidRPr="006E23E1" w:rsidTr="00C61F39">
        <w:trPr>
          <w:trHeight w:hRule="exact" w:val="374"/>
        </w:trPr>
        <w:tc>
          <w:tcPr>
            <w:tcW w:w="20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- </w:t>
            </w:r>
            <w:r w:rsidRPr="00596EA8">
              <w:rPr>
                <w:sz w:val="24"/>
                <w:szCs w:val="24"/>
              </w:rPr>
              <w:t>чеков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0,0*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0,0*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0,0*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0,0*</w:t>
            </w:r>
          </w:p>
        </w:tc>
      </w:tr>
      <w:tr w:rsidR="00E944C1" w:rsidRPr="006E23E1" w:rsidTr="00C61F39">
        <w:trPr>
          <w:trHeight w:hRule="exact" w:val="355"/>
        </w:trPr>
        <w:tc>
          <w:tcPr>
            <w:tcW w:w="20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 xml:space="preserve">- </w:t>
            </w:r>
            <w:r w:rsidRPr="00596EA8">
              <w:rPr>
                <w:sz w:val="24"/>
                <w:szCs w:val="24"/>
              </w:rPr>
              <w:t>банковских ордеров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29,8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34,2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0,6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4C1" w:rsidRPr="006E23E1" w:rsidRDefault="00E944C1" w:rsidP="00255952">
            <w:pPr>
              <w:widowControl w:val="0"/>
              <w:shd w:val="clear" w:color="auto" w:fill="FFFFFF"/>
              <w:spacing w:after="0"/>
              <w:jc w:val="center"/>
              <w:rPr>
                <w:sz w:val="24"/>
                <w:szCs w:val="24"/>
              </w:rPr>
            </w:pPr>
            <w:r w:rsidRPr="006E23E1">
              <w:rPr>
                <w:sz w:val="24"/>
                <w:szCs w:val="24"/>
              </w:rPr>
              <w:t>0,7</w:t>
            </w:r>
          </w:p>
        </w:tc>
      </w:tr>
    </w:tbl>
    <w:p w:rsidR="00E944C1" w:rsidRDefault="00E944C1" w:rsidP="00AC55BF">
      <w:pPr>
        <w:widowControl w:val="0"/>
        <w:shd w:val="clear" w:color="auto" w:fill="FFFFFF"/>
        <w:spacing w:after="0"/>
        <w:ind w:left="682"/>
      </w:pPr>
      <w:r>
        <w:rPr>
          <w:sz w:val="18"/>
          <w:szCs w:val="18"/>
        </w:rPr>
        <w:t>*Удельный вес переводов денежных средств незначителен – менее 0,1%</w:t>
      </w:r>
    </w:p>
    <w:p w:rsidR="00E944C1" w:rsidRDefault="00E944C1" w:rsidP="00AC55BF">
      <w:pPr>
        <w:ind w:firstLine="708"/>
      </w:pP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>
        <w:t>Несмотря на заданный Правительством РФ курс на повышение доли электронных транзакций в платежном обороте о</w:t>
      </w:r>
      <w:r w:rsidRPr="000E3ECC">
        <w:t xml:space="preserve">коло половины переводов денежных средств, совершаемых в пределах одного подразделения кредитной организации, осуществлялись </w:t>
      </w:r>
      <w:r>
        <w:t xml:space="preserve">по-прежнему </w:t>
      </w:r>
      <w:r w:rsidRPr="000E3ECC">
        <w:t>с использованием бумажной технологии.</w:t>
      </w: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>
        <w:t xml:space="preserve">Значимое место в качестве инноватора региональной банковской системы в Краснодарском крае занимает Банк России. Так, </w:t>
      </w:r>
      <w:r w:rsidRPr="000E3ECC">
        <w:t>Главным управлением в 2012 году продолжалась работа по развитию системы банковских электронных срочных платежей (БЭСП). По состоянию на 01.01.2013</w:t>
      </w:r>
      <w:r>
        <w:t xml:space="preserve"> г.</w:t>
      </w:r>
      <w:r w:rsidRPr="000E3ECC">
        <w:t xml:space="preserve"> </w:t>
      </w:r>
      <w:r w:rsidRPr="000E3ECC">
        <w:rPr>
          <w:spacing w:val="-2"/>
        </w:rPr>
        <w:t xml:space="preserve">участниками системы БЭСП являлись: 11 особых участников расчетов - расчетно-кассовые </w:t>
      </w:r>
      <w:r w:rsidRPr="000E3ECC">
        <w:t xml:space="preserve">центры и Головной расчетно-кассовый центр, 14 прямых участников расчетов (ПУР) </w:t>
      </w:r>
      <w:r>
        <w:t xml:space="preserve">− </w:t>
      </w:r>
      <w:r w:rsidRPr="000E3ECC">
        <w:t xml:space="preserve">кредитные организации (филиалы), 70 ассоциированных участников расчетов (АУР) </w:t>
      </w:r>
      <w:r>
        <w:t xml:space="preserve">− </w:t>
      </w:r>
      <w:r w:rsidRPr="000E3ECC">
        <w:t>кредитные организации (филиалы) и Управление Федерального казначейства по Краснодарскому краю</w:t>
      </w:r>
      <w:r>
        <w:t xml:space="preserve"> </w:t>
      </w:r>
      <w:r w:rsidRPr="00AD7A61">
        <w:t>[2]</w:t>
      </w:r>
      <w:r w:rsidRPr="000E3ECC">
        <w:t>.</w:t>
      </w: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>
        <w:rPr>
          <w:spacing w:val="-2"/>
        </w:rPr>
        <w:t>В частности, в</w:t>
      </w:r>
      <w:r w:rsidRPr="000E3ECC">
        <w:rPr>
          <w:spacing w:val="-2"/>
        </w:rPr>
        <w:t xml:space="preserve"> 2012 году через систему БЭСП проведено 36656 платежей на общую сумму 1014,4 </w:t>
      </w:r>
      <w:r w:rsidRPr="000E3ECC">
        <w:t xml:space="preserve">млрд. рублей, из них 23880 платежей на сумму 500,4 млрд. рублей приходится на долю ПУР и 12776 платежей на сумму 514,0 млрд. рублей </w:t>
      </w:r>
      <w:r>
        <w:t>−</w:t>
      </w:r>
      <w:r w:rsidRPr="000E3ECC">
        <w:t xml:space="preserve"> АУР. </w:t>
      </w: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 w:rsidRPr="000E3ECC">
        <w:t xml:space="preserve">Платежи, проведенные через систему БЭСП, в </w:t>
      </w:r>
      <w:r>
        <w:t>2012</w:t>
      </w:r>
      <w:r w:rsidRPr="000E3ECC">
        <w:t xml:space="preserve"> году по сравнению с данными за 2011 год увеличились по количеству и объему в 2,3 и 1,4 раза соответственно, что объясняется ростом заинтересованности в проведении платежей через данную систему расчетов как кредитных организаций (филиалов), так и их клиентов. Подавляющая часть платежей направлялась кредитными организациями в адрес участников расчетов, расположенных в других регионах России (68,8% от общего количества и 96,7% от объема платежей).</w:t>
      </w: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851"/>
        <w:jc w:val="both"/>
      </w:pPr>
      <w:r w:rsidRPr="000E3ECC">
        <w:rPr>
          <w:spacing w:val="-1"/>
        </w:rPr>
        <w:t>Самую высокую активность на кредитном рынке</w:t>
      </w:r>
      <w:r>
        <w:rPr>
          <w:spacing w:val="-1"/>
        </w:rPr>
        <w:t xml:space="preserve"> Краснодарского края</w:t>
      </w:r>
      <w:r w:rsidRPr="000E3ECC">
        <w:rPr>
          <w:spacing w:val="-1"/>
        </w:rPr>
        <w:t xml:space="preserve"> в </w:t>
      </w:r>
      <w:r>
        <w:rPr>
          <w:spacing w:val="-1"/>
        </w:rPr>
        <w:t>2012</w:t>
      </w:r>
      <w:r w:rsidRPr="000E3ECC">
        <w:rPr>
          <w:spacing w:val="-1"/>
        </w:rPr>
        <w:t xml:space="preserve"> году проявили краевые </w:t>
      </w:r>
      <w:r w:rsidRPr="000E3ECC">
        <w:t xml:space="preserve">банки, на четверть увеличив свой кредитный портфель. Филиалы банков других регионов к </w:t>
      </w:r>
      <w:r w:rsidRPr="000E3ECC">
        <w:rPr>
          <w:spacing w:val="-2"/>
        </w:rPr>
        <w:t xml:space="preserve">концу 2012 года прибавили пятую часть к своему кредитному портфелю. Филиалы Сбербанка </w:t>
      </w:r>
      <w:r w:rsidRPr="000E3ECC">
        <w:t xml:space="preserve">России расширили кредитные вложения на 15,8%. </w:t>
      </w:r>
      <w:r>
        <w:t>Следовательно, с</w:t>
      </w:r>
      <w:r w:rsidRPr="000E3ECC">
        <w:t xml:space="preserve">ущественного перераспределения позиций на региональном кредитном рынке не произошло. </w:t>
      </w:r>
      <w:r>
        <w:t>Около т</w:t>
      </w:r>
      <w:r w:rsidRPr="000E3ECC">
        <w:t>рет</w:t>
      </w:r>
      <w:r>
        <w:t>и</w:t>
      </w:r>
      <w:r w:rsidRPr="000E3ECC">
        <w:t xml:space="preserve"> задолженности и физических, и юридических лиц был</w:t>
      </w:r>
      <w:r>
        <w:t>о</w:t>
      </w:r>
      <w:r w:rsidRPr="000E3ECC">
        <w:t xml:space="preserve"> сконцентрирован</w:t>
      </w:r>
      <w:r>
        <w:t>о</w:t>
      </w:r>
      <w:r w:rsidRPr="000E3ECC">
        <w:t xml:space="preserve"> у подразделений Сбербанка России, </w:t>
      </w:r>
      <w:r>
        <w:t xml:space="preserve">несмотря на снижение </w:t>
      </w:r>
      <w:r w:rsidRPr="000E3ECC">
        <w:t>их дол</w:t>
      </w:r>
      <w:r>
        <w:t>и</w:t>
      </w:r>
      <w:r w:rsidRPr="000E3ECC">
        <w:t xml:space="preserve"> на этих основных сегментах кредитного рынка, более половины - у филиалов других банков, головные офисы которых расположены за пределами ре</w:t>
      </w:r>
      <w:r>
        <w:t>гиона.</w:t>
      </w: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851"/>
        <w:jc w:val="both"/>
      </w:pPr>
      <w:r>
        <w:rPr>
          <w:spacing w:val="-1"/>
        </w:rPr>
        <w:t>Подводя итоги инновационной составляющей рынка банковских услуг Краснодарского края, отмечаем, что в</w:t>
      </w:r>
      <w:r w:rsidRPr="000E3ECC">
        <w:rPr>
          <w:spacing w:val="-1"/>
        </w:rPr>
        <w:t xml:space="preserve"> 2012 году</w:t>
      </w:r>
      <w:r>
        <w:rPr>
          <w:spacing w:val="-1"/>
        </w:rPr>
        <w:t xml:space="preserve"> клиентский</w:t>
      </w:r>
      <w:r w:rsidRPr="000E3ECC">
        <w:rPr>
          <w:spacing w:val="-1"/>
        </w:rPr>
        <w:t xml:space="preserve"> спрос на банковские услуги и </w:t>
      </w:r>
      <w:r w:rsidRPr="000E3ECC">
        <w:t>характеризовали следующие тенденции:</w:t>
      </w:r>
    </w:p>
    <w:p w:rsidR="00E944C1" w:rsidRPr="000E3ECC" w:rsidRDefault="00E944C1" w:rsidP="00AC55BF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right="40"/>
        <w:jc w:val="both"/>
        <w:rPr>
          <w:b/>
          <w:bCs/>
        </w:rPr>
      </w:pPr>
      <w:r>
        <w:rPr>
          <w:bCs/>
        </w:rPr>
        <w:t xml:space="preserve">- </w:t>
      </w:r>
      <w:r w:rsidRPr="000E3ECC">
        <w:t>замедление роста спроса на банковские услуги по сравнению с предыдущим годом;</w:t>
      </w:r>
    </w:p>
    <w:p w:rsidR="00E944C1" w:rsidRPr="000E3ECC" w:rsidRDefault="00E944C1" w:rsidP="00AC55BF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360" w:lineRule="auto"/>
        <w:ind w:right="40"/>
        <w:jc w:val="both"/>
        <w:rPr>
          <w:b/>
          <w:bCs/>
        </w:rPr>
      </w:pPr>
      <w:r>
        <w:t xml:space="preserve">− </w:t>
      </w:r>
      <w:r w:rsidRPr="000E3ECC">
        <w:t>снижение уровня активности предприятий в использовании услуг кредитных организаций по сравнению с 2011 годом;</w:t>
      </w:r>
    </w:p>
    <w:p w:rsidR="00E944C1" w:rsidRPr="000E3ECC" w:rsidRDefault="00E944C1" w:rsidP="00AC55BF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360" w:lineRule="auto"/>
        <w:ind w:right="40"/>
        <w:jc w:val="both"/>
        <w:rPr>
          <w:b/>
          <w:bCs/>
        </w:rPr>
      </w:pPr>
      <w:r>
        <w:t xml:space="preserve">− </w:t>
      </w:r>
      <w:r w:rsidRPr="000E3ECC">
        <w:t>сохранение    взаимодействия    подавляющего    большинства    предприятий    с прежним составом кредитных организаций;</w:t>
      </w:r>
    </w:p>
    <w:p w:rsidR="00E944C1" w:rsidRPr="000E3ECC" w:rsidRDefault="00E944C1" w:rsidP="00AC55BF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360" w:lineRule="auto"/>
        <w:ind w:right="40"/>
        <w:jc w:val="both"/>
        <w:rPr>
          <w:b/>
          <w:bCs/>
        </w:rPr>
      </w:pPr>
      <w:r>
        <w:t xml:space="preserve">− </w:t>
      </w:r>
      <w:r w:rsidRPr="000E3ECC">
        <w:t>активное использование ограниченного набора банковских услуг.</w:t>
      </w: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708"/>
        <w:jc w:val="both"/>
      </w:pPr>
      <w:r w:rsidRPr="000E3ECC">
        <w:t xml:space="preserve">В </w:t>
      </w:r>
      <w:r>
        <w:t>2012 году</w:t>
      </w:r>
      <w:r w:rsidRPr="000E3ECC">
        <w:t xml:space="preserve"> интенсивность роста спроса на банковские услуги была наименьшей за период, начиная с 2009 года. Кроме того, позитивные изменения спроса в </w:t>
      </w:r>
      <w:r w:rsidRPr="000E3ECC">
        <w:rPr>
          <w:spacing w:val="-1"/>
        </w:rPr>
        <w:t xml:space="preserve">регионе были менее существенными по сравнению с динамикой, отмечаемой в большинстве </w:t>
      </w:r>
      <w:r w:rsidRPr="000E3ECC">
        <w:t>субъектов Южного федерального округа.</w:t>
      </w: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708"/>
        <w:jc w:val="both"/>
      </w:pPr>
      <w:r w:rsidRPr="000E3ECC">
        <w:t xml:space="preserve">Практически во всех основных видах деятельности (за исключением оптовой и </w:t>
      </w:r>
      <w:r w:rsidRPr="000E3ECC">
        <w:rPr>
          <w:spacing w:val="-1"/>
        </w:rPr>
        <w:t xml:space="preserve">розничной торговли) возможность получения банковских услуг превосходила потребность в </w:t>
      </w:r>
      <w:r w:rsidRPr="000E3ECC">
        <w:t>них. В целом в 2012 году активность предприятий в использовании услуг кредитных организаций была ниже, чем год назад</w:t>
      </w:r>
      <w:r>
        <w:t>, что не самым лучшим образом отражается на процессе инновационных преобразований в Краснодарском крае</w:t>
      </w:r>
      <w:r w:rsidRPr="000E3ECC">
        <w:t>.</w:t>
      </w: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708"/>
        <w:jc w:val="both"/>
      </w:pPr>
      <w:r w:rsidRPr="000E3ECC">
        <w:rPr>
          <w:bCs/>
          <w:spacing w:val="-1"/>
        </w:rPr>
        <w:t>Таким образом</w:t>
      </w:r>
      <w:r w:rsidRPr="000E3ECC">
        <w:rPr>
          <w:spacing w:val="-1"/>
        </w:rPr>
        <w:t xml:space="preserve">, основными тенденциями развития банковского сектора в 2012 </w:t>
      </w:r>
      <w:r w:rsidRPr="000E3ECC">
        <w:t xml:space="preserve">году стало наращивание ресурсного потенциала преимущественно за счет средств, </w:t>
      </w:r>
      <w:r w:rsidRPr="000E3ECC">
        <w:rPr>
          <w:spacing w:val="-1"/>
        </w:rPr>
        <w:t xml:space="preserve">поступивших от населения, а на кредитном рынке - быстрый рост кредитов, выданных </w:t>
      </w:r>
      <w:r w:rsidRPr="000E3ECC">
        <w:t>физическим лицам, на фоне ослабления динамики кредитования нефинансовых предприятий, т.е. происходил переток средств из корпоративного кредитования в потребительское. Доходность банковского бизнеса повысилась.</w:t>
      </w:r>
    </w:p>
    <w:p w:rsidR="00E944C1" w:rsidRPr="000E3ECC" w:rsidRDefault="00E944C1" w:rsidP="00AC55BF">
      <w:pPr>
        <w:widowControl w:val="0"/>
        <w:shd w:val="clear" w:color="auto" w:fill="FFFFFF"/>
        <w:spacing w:after="0" w:line="360" w:lineRule="auto"/>
        <w:ind w:right="40" w:firstLine="941"/>
        <w:jc w:val="both"/>
      </w:pPr>
      <w:r w:rsidRPr="000E3ECC">
        <w:t>Следует отметить, что стремительно развивающееся розничное кредитование является дополнительным фактором риска для банковского сектора</w:t>
      </w:r>
      <w:r>
        <w:t>, повышает конкуренцию, заставляя кредитные организации края внедрять и воспроизводить новые формы и виды услуг, активизировать инновационную деятельность, способствуя</w:t>
      </w:r>
      <w:r w:rsidRPr="000E3ECC">
        <w:t xml:space="preserve"> развити</w:t>
      </w:r>
      <w:r>
        <w:t>ю</w:t>
      </w:r>
      <w:r w:rsidRPr="000E3ECC">
        <w:t xml:space="preserve"> экономики </w:t>
      </w:r>
      <w:r>
        <w:t>края</w:t>
      </w:r>
      <w:r w:rsidRPr="000E3ECC">
        <w:t>.</w:t>
      </w:r>
    </w:p>
    <w:p w:rsidR="00E944C1" w:rsidRDefault="00E944C1" w:rsidP="00AC55BF">
      <w:pPr>
        <w:widowControl w:val="0"/>
        <w:autoSpaceDE w:val="0"/>
        <w:autoSpaceDN w:val="0"/>
        <w:adjustRightInd w:val="0"/>
        <w:spacing w:after="0" w:line="360" w:lineRule="auto"/>
        <w:jc w:val="both"/>
      </w:pPr>
    </w:p>
    <w:p w:rsidR="00E944C1" w:rsidRPr="00ED12A3" w:rsidRDefault="00E944C1" w:rsidP="00AC55BF">
      <w:pPr>
        <w:widowControl w:val="0"/>
        <w:spacing w:after="0" w:line="360" w:lineRule="auto"/>
        <w:jc w:val="center"/>
        <w:rPr>
          <w:b/>
          <w:sz w:val="24"/>
          <w:szCs w:val="24"/>
        </w:rPr>
      </w:pPr>
      <w:r w:rsidRPr="00ED12A3">
        <w:rPr>
          <w:b/>
          <w:sz w:val="24"/>
          <w:szCs w:val="24"/>
        </w:rPr>
        <w:t>Список литературы</w:t>
      </w:r>
    </w:p>
    <w:p w:rsidR="00E944C1" w:rsidRPr="001B5C34" w:rsidRDefault="00E944C1" w:rsidP="00AC55BF">
      <w:pPr>
        <w:pStyle w:val="FootnoteText"/>
        <w:widowControl w:val="0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1A7630">
        <w:rPr>
          <w:sz w:val="24"/>
          <w:szCs w:val="24"/>
        </w:rPr>
        <w:t xml:space="preserve">Старостина Е.С. Развитие инноваций в коммерческих банках как фактор </w:t>
      </w:r>
      <w:r w:rsidRPr="001B5C34">
        <w:rPr>
          <w:sz w:val="24"/>
          <w:szCs w:val="24"/>
        </w:rPr>
        <w:t>повышения эффективности функционирования на региональном уровне // Вестник ВолГУ. Серия 10. Вып. 3. 2008 г. с. 50.</w:t>
      </w:r>
    </w:p>
    <w:p w:rsidR="00E944C1" w:rsidRPr="005B0525" w:rsidRDefault="00E944C1" w:rsidP="00AC55BF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color w:val="000000"/>
          <w:sz w:val="24"/>
          <w:szCs w:val="24"/>
        </w:rPr>
      </w:pPr>
      <w:r w:rsidRPr="005B0525">
        <w:rPr>
          <w:sz w:val="24"/>
          <w:szCs w:val="24"/>
        </w:rPr>
        <w:t xml:space="preserve">Основные тенденции развития экономики и денежно-кредитной сферы </w:t>
      </w:r>
      <w:r w:rsidRPr="005B0525">
        <w:rPr>
          <w:color w:val="000000"/>
          <w:sz w:val="24"/>
          <w:szCs w:val="24"/>
        </w:rPr>
        <w:t xml:space="preserve">Краснодарского края. 2012 год.  – Краснодар. ГУ ЦБ по Краснодарскому краю. 2013. </w:t>
      </w:r>
    </w:p>
    <w:p w:rsidR="00E944C1" w:rsidRPr="005B0525" w:rsidRDefault="00E944C1" w:rsidP="00AC55BF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5B0525">
        <w:rPr>
          <w:sz w:val="24"/>
          <w:szCs w:val="24"/>
        </w:rPr>
        <w:t>Яковенко С.Н., Тимченко А.А. Финансовые инновации в деятельности коммерческих банков: теоретико-экономические аспекты // Современные проблемы науки и образования. 2013. № 2.</w:t>
      </w:r>
      <w:r w:rsidRPr="005B0525">
        <w:rPr>
          <w:color w:val="000000"/>
          <w:sz w:val="24"/>
          <w:szCs w:val="24"/>
          <w:shd w:val="clear" w:color="auto" w:fill="FFFFFF"/>
        </w:rPr>
        <w:t xml:space="preserve"> URL:</w:t>
      </w:r>
      <w:r w:rsidRPr="005B0525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  </w:t>
      </w:r>
      <w:hyperlink r:id="rId7" w:history="1">
        <w:r w:rsidRPr="005B0525">
          <w:rPr>
            <w:rStyle w:val="Hyperlink"/>
            <w:color w:val="000000"/>
            <w:sz w:val="24"/>
            <w:szCs w:val="24"/>
            <w:u w:val="none"/>
            <w:shd w:val="clear" w:color="auto" w:fill="FFFFFF"/>
          </w:rPr>
          <w:t>www.science-education.ru/108-8600</w:t>
        </w:r>
      </w:hyperlink>
      <w:r w:rsidRPr="005B0525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5B0525">
        <w:rPr>
          <w:color w:val="000000"/>
          <w:sz w:val="24"/>
          <w:szCs w:val="24"/>
          <w:shd w:val="clear" w:color="auto" w:fill="FFFFFF"/>
        </w:rPr>
        <w:t>(дата обращения: 14.09.2013).</w:t>
      </w:r>
    </w:p>
    <w:p w:rsidR="00E944C1" w:rsidRPr="005B0525" w:rsidRDefault="00E944C1" w:rsidP="00AC55BF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</w:pPr>
      <w:r w:rsidRPr="00C26834">
        <w:rPr>
          <w:sz w:val="24"/>
          <w:szCs w:val="24"/>
        </w:rPr>
        <w:t>Тимченко А.А. Теоретические аспекты инноваций коммерческих банков</w:t>
      </w:r>
      <w:r w:rsidRPr="00C26834">
        <w:rPr>
          <w:color w:val="000000"/>
          <w:sz w:val="24"/>
          <w:szCs w:val="24"/>
        </w:rPr>
        <w:t xml:space="preserve"> Перспективные инновации в науке, образовании, производстве и транспорте – 2012: Сборник научных трудов </w:t>
      </w:r>
      <w:r w:rsidRPr="00C26834">
        <w:rPr>
          <w:color w:val="000000"/>
          <w:sz w:val="24"/>
          <w:szCs w:val="24"/>
          <w:lang w:val="en-US"/>
        </w:rPr>
        <w:t>SWorld</w:t>
      </w:r>
      <w:r w:rsidRPr="00C26834">
        <w:rPr>
          <w:color w:val="000000"/>
          <w:sz w:val="24"/>
          <w:szCs w:val="24"/>
        </w:rPr>
        <w:t>. - Одесса: Изд-во Куприенко С.В., 2012. (с. 10-12</w:t>
      </w:r>
      <w:r>
        <w:rPr>
          <w:color w:val="000000"/>
          <w:sz w:val="24"/>
          <w:szCs w:val="24"/>
        </w:rPr>
        <w:t>).</w:t>
      </w:r>
    </w:p>
    <w:p w:rsidR="00E944C1" w:rsidRPr="00FA65A2" w:rsidRDefault="00E944C1" w:rsidP="00AC55BF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FA65A2">
        <w:rPr>
          <w:sz w:val="24"/>
          <w:szCs w:val="24"/>
        </w:rPr>
        <w:t xml:space="preserve">Зиниша О.С., Рындина И.В. Современные тенденции развития функционально-инструментального комплекса рынка финансовых услуг // </w:t>
      </w:r>
      <w:r w:rsidRPr="00FA65A2">
        <w:rPr>
          <w:color w:val="000000"/>
          <w:sz w:val="24"/>
          <w:szCs w:val="24"/>
        </w:rPr>
        <w:t>Альманах современной науки и образования. – Тамбов: Грамота. 2012. № 1 (56). с. 140.</w:t>
      </w:r>
    </w:p>
    <w:p w:rsidR="00E944C1" w:rsidRPr="00F106D2" w:rsidRDefault="00E944C1" w:rsidP="00AC55BF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F106D2">
        <w:rPr>
          <w:sz w:val="24"/>
          <w:szCs w:val="24"/>
        </w:rPr>
        <w:t xml:space="preserve">Крючкова О.Ю. Функционирование коммерческих банков: роль инноваций // Вестник Тамбовского университета. Т. 81. № 1. 2010. С. </w:t>
      </w:r>
      <w:r>
        <w:rPr>
          <w:sz w:val="24"/>
          <w:szCs w:val="24"/>
          <w:lang w:val="en-US"/>
        </w:rPr>
        <w:t>102</w:t>
      </w:r>
      <w:r>
        <w:rPr>
          <w:sz w:val="24"/>
          <w:szCs w:val="24"/>
        </w:rPr>
        <w:t>.</w:t>
      </w:r>
    </w:p>
    <w:p w:rsidR="00E944C1" w:rsidRDefault="00E944C1" w:rsidP="00AC55BF">
      <w:pPr>
        <w:widowControl w:val="0"/>
        <w:spacing w:after="0"/>
      </w:pPr>
      <w:r>
        <w:t xml:space="preserve"> </w:t>
      </w:r>
    </w:p>
    <w:p w:rsidR="00E944C1" w:rsidRDefault="00E944C1" w:rsidP="00AC55BF">
      <w:pPr>
        <w:pStyle w:val="ListParagraph"/>
        <w:widowControl w:val="0"/>
        <w:spacing w:after="0" w:line="240" w:lineRule="auto"/>
        <w:ind w:left="284" w:hanging="284"/>
        <w:jc w:val="center"/>
        <w:rPr>
          <w:b/>
          <w:color w:val="000000"/>
          <w:sz w:val="24"/>
          <w:szCs w:val="24"/>
          <w:lang w:val="en-US"/>
        </w:rPr>
      </w:pPr>
      <w:r>
        <w:rPr>
          <w:b/>
          <w:color w:val="000000"/>
          <w:sz w:val="24"/>
          <w:szCs w:val="24"/>
          <w:lang w:val="en-US"/>
        </w:rPr>
        <w:t>R</w:t>
      </w:r>
      <w:r w:rsidRPr="00ED12A3">
        <w:rPr>
          <w:b/>
          <w:color w:val="000000"/>
          <w:sz w:val="24"/>
          <w:szCs w:val="24"/>
        </w:rPr>
        <w:t>eferences</w:t>
      </w:r>
    </w:p>
    <w:p w:rsidR="00E944C1" w:rsidRDefault="00E944C1" w:rsidP="00AC55BF">
      <w:pPr>
        <w:pStyle w:val="ListParagraph"/>
        <w:widowControl w:val="0"/>
        <w:spacing w:after="0" w:line="240" w:lineRule="auto"/>
        <w:ind w:left="284" w:hanging="284"/>
        <w:jc w:val="center"/>
        <w:rPr>
          <w:b/>
          <w:color w:val="000000"/>
          <w:sz w:val="24"/>
          <w:szCs w:val="24"/>
          <w:lang w:val="en-US"/>
        </w:rPr>
      </w:pPr>
    </w:p>
    <w:p w:rsidR="00E944C1" w:rsidRPr="00ED12A3" w:rsidRDefault="00E944C1" w:rsidP="00ED12A3">
      <w:pPr>
        <w:pStyle w:val="ListParagraph"/>
        <w:widowControl w:val="0"/>
        <w:spacing w:after="0" w:line="240" w:lineRule="auto"/>
        <w:ind w:left="284" w:hanging="284"/>
        <w:rPr>
          <w:color w:val="000000"/>
          <w:sz w:val="24"/>
          <w:szCs w:val="24"/>
          <w:lang w:val="en-US"/>
        </w:rPr>
      </w:pPr>
      <w:r w:rsidRPr="00ED12A3">
        <w:rPr>
          <w:color w:val="000000"/>
          <w:sz w:val="24"/>
          <w:szCs w:val="24"/>
          <w:lang w:val="en-US"/>
        </w:rPr>
        <w:t>1.</w:t>
      </w:r>
      <w:r w:rsidRPr="00ED12A3">
        <w:rPr>
          <w:color w:val="000000"/>
          <w:sz w:val="24"/>
          <w:szCs w:val="24"/>
          <w:lang w:val="en-US"/>
        </w:rPr>
        <w:tab/>
        <w:t>Starostina E.S. Razvitie innovacij v kommercheskih bankah kak faktor povyshenija jeffektivnosti funkcionirovanija na regional'nom urovne // Vestnik VolGU. Serija 10. Vyp. 3. 2008 g. s. 50.</w:t>
      </w:r>
    </w:p>
    <w:p w:rsidR="00E944C1" w:rsidRPr="00ED12A3" w:rsidRDefault="00E944C1" w:rsidP="00ED12A3">
      <w:pPr>
        <w:pStyle w:val="ListParagraph"/>
        <w:widowControl w:val="0"/>
        <w:spacing w:after="0" w:line="240" w:lineRule="auto"/>
        <w:ind w:left="284" w:hanging="284"/>
        <w:rPr>
          <w:color w:val="000000"/>
          <w:sz w:val="24"/>
          <w:szCs w:val="24"/>
          <w:lang w:val="en-US"/>
        </w:rPr>
      </w:pPr>
      <w:r w:rsidRPr="00ED12A3">
        <w:rPr>
          <w:color w:val="000000"/>
          <w:sz w:val="24"/>
          <w:szCs w:val="24"/>
          <w:lang w:val="en-US"/>
        </w:rPr>
        <w:t>2.</w:t>
      </w:r>
      <w:r w:rsidRPr="00ED12A3">
        <w:rPr>
          <w:color w:val="000000"/>
          <w:sz w:val="24"/>
          <w:szCs w:val="24"/>
          <w:lang w:val="en-US"/>
        </w:rPr>
        <w:tab/>
        <w:t xml:space="preserve">Osnovnye tendencii razvitija jekonomiki i denezhno-kreditnoj sfery Krasnodarskogo kraja. 2012 god.  – Krasnodar. GU CB po Krasnodarskomu kraju. 2013. </w:t>
      </w:r>
    </w:p>
    <w:p w:rsidR="00E944C1" w:rsidRPr="00ED12A3" w:rsidRDefault="00E944C1" w:rsidP="00ED12A3">
      <w:pPr>
        <w:pStyle w:val="ListParagraph"/>
        <w:widowControl w:val="0"/>
        <w:spacing w:after="0" w:line="240" w:lineRule="auto"/>
        <w:ind w:left="284" w:hanging="284"/>
        <w:rPr>
          <w:color w:val="000000"/>
          <w:sz w:val="24"/>
          <w:szCs w:val="24"/>
          <w:lang w:val="en-US"/>
        </w:rPr>
      </w:pPr>
      <w:r w:rsidRPr="00ED12A3">
        <w:rPr>
          <w:color w:val="000000"/>
          <w:sz w:val="24"/>
          <w:szCs w:val="24"/>
          <w:lang w:val="en-US"/>
        </w:rPr>
        <w:t>3.</w:t>
      </w:r>
      <w:r w:rsidRPr="00ED12A3">
        <w:rPr>
          <w:color w:val="000000"/>
          <w:sz w:val="24"/>
          <w:szCs w:val="24"/>
          <w:lang w:val="en-US"/>
        </w:rPr>
        <w:tab/>
        <w:t>Jakovenko S.N., Timchenko A.A. Finansovye innovacii v dejatel'nosti kommercheskih bankov: teoretiko-jekonomicheskie aspekty // Sovremennye problemy nauki i obrazovanija. 2013. № 2. URL:  www.science-education.ru/108-8600 (data obrashhenija: 14.09.2013).</w:t>
      </w:r>
    </w:p>
    <w:p w:rsidR="00E944C1" w:rsidRPr="00ED12A3" w:rsidRDefault="00E944C1" w:rsidP="00ED12A3">
      <w:pPr>
        <w:pStyle w:val="ListParagraph"/>
        <w:widowControl w:val="0"/>
        <w:spacing w:after="0" w:line="240" w:lineRule="auto"/>
        <w:ind w:left="284" w:hanging="284"/>
        <w:rPr>
          <w:color w:val="000000"/>
          <w:sz w:val="24"/>
          <w:szCs w:val="24"/>
          <w:lang w:val="en-US"/>
        </w:rPr>
      </w:pPr>
      <w:r w:rsidRPr="00ED12A3">
        <w:rPr>
          <w:color w:val="000000"/>
          <w:sz w:val="24"/>
          <w:szCs w:val="24"/>
          <w:lang w:val="en-US"/>
        </w:rPr>
        <w:t>4.</w:t>
      </w:r>
      <w:r w:rsidRPr="00ED12A3">
        <w:rPr>
          <w:color w:val="000000"/>
          <w:sz w:val="24"/>
          <w:szCs w:val="24"/>
          <w:lang w:val="en-US"/>
        </w:rPr>
        <w:tab/>
        <w:t>Timchenko A.A. Teoreticheskie aspekty innovacij kommercheskih bankov Perspektivnye innovacii v nauke, obrazovanii, proizvodstve i transporte – 2012: Sbornik nauchnyh trudov SWorld. - Odessa: Izd-vo Kuprienko S.V., 2012. (s. 10-12).</w:t>
      </w:r>
    </w:p>
    <w:p w:rsidR="00E944C1" w:rsidRPr="00ED12A3" w:rsidRDefault="00E944C1" w:rsidP="00ED12A3">
      <w:pPr>
        <w:pStyle w:val="ListParagraph"/>
        <w:widowControl w:val="0"/>
        <w:spacing w:after="0" w:line="240" w:lineRule="auto"/>
        <w:ind w:left="284" w:hanging="284"/>
        <w:rPr>
          <w:color w:val="000000"/>
          <w:sz w:val="24"/>
          <w:szCs w:val="24"/>
          <w:lang w:val="en-US"/>
        </w:rPr>
      </w:pPr>
      <w:r w:rsidRPr="00ED12A3">
        <w:rPr>
          <w:color w:val="000000"/>
          <w:sz w:val="24"/>
          <w:szCs w:val="24"/>
          <w:lang w:val="en-US"/>
        </w:rPr>
        <w:t>5.</w:t>
      </w:r>
      <w:r w:rsidRPr="00ED12A3">
        <w:rPr>
          <w:color w:val="000000"/>
          <w:sz w:val="24"/>
          <w:szCs w:val="24"/>
          <w:lang w:val="en-US"/>
        </w:rPr>
        <w:tab/>
        <w:t>Zinisha O.S., Ryndina I.V. Sovremennye tendencii razvitija funkcional'no-instrumental'nogo kompleksa rynka finansovyh uslug // Al'manah sovremennoj nauki i obrazovanija. – Tambov: Gramota. 2012. № 1 (56). s. 140.</w:t>
      </w:r>
    </w:p>
    <w:p w:rsidR="00E944C1" w:rsidRPr="00ED12A3" w:rsidRDefault="00E944C1" w:rsidP="00ED12A3">
      <w:pPr>
        <w:pStyle w:val="ListParagraph"/>
        <w:widowControl w:val="0"/>
        <w:spacing w:after="0" w:line="240" w:lineRule="auto"/>
        <w:ind w:left="284" w:hanging="284"/>
        <w:rPr>
          <w:color w:val="000000"/>
          <w:sz w:val="24"/>
          <w:szCs w:val="24"/>
          <w:lang w:val="en-US"/>
        </w:rPr>
      </w:pPr>
      <w:r w:rsidRPr="00ED12A3">
        <w:rPr>
          <w:color w:val="000000"/>
          <w:sz w:val="24"/>
          <w:szCs w:val="24"/>
          <w:lang w:val="en-US"/>
        </w:rPr>
        <w:t>6.</w:t>
      </w:r>
      <w:r w:rsidRPr="00ED12A3">
        <w:rPr>
          <w:color w:val="000000"/>
          <w:sz w:val="24"/>
          <w:szCs w:val="24"/>
          <w:lang w:val="en-US"/>
        </w:rPr>
        <w:tab/>
        <w:t>Krjuchkova O.Ju. Funkcionirovanie kommercheskih bankov: rol' innovacij // Vestnik Tambovskogo universiteta. T. 81. № 1. 2010. S. 102.</w:t>
      </w:r>
    </w:p>
    <w:sectPr w:rsidR="00E944C1" w:rsidRPr="00ED12A3" w:rsidSect="00CF06E6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4C1" w:rsidRDefault="00E944C1" w:rsidP="00C929B6">
      <w:pPr>
        <w:spacing w:after="0" w:line="240" w:lineRule="auto"/>
      </w:pPr>
      <w:r>
        <w:separator/>
      </w:r>
    </w:p>
  </w:endnote>
  <w:endnote w:type="continuationSeparator" w:id="1">
    <w:p w:rsidR="00E944C1" w:rsidRDefault="00E944C1" w:rsidP="00C92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C1" w:rsidRPr="00EC5E25" w:rsidRDefault="00E944C1">
    <w:pPr>
      <w:pStyle w:val="Footer"/>
      <w:rPr>
        <w:sz w:val="24"/>
        <w:szCs w:val="24"/>
        <w:lang w:val="en-US"/>
      </w:rPr>
    </w:pPr>
    <w:r w:rsidRPr="00EC5E25">
      <w:rPr>
        <w:sz w:val="24"/>
        <w:szCs w:val="24"/>
      </w:rPr>
      <w:t>http://ej.kubagro.ru/2013/07/pdf/</w:t>
    </w:r>
    <w:r w:rsidRPr="00EC5E25">
      <w:rPr>
        <w:sz w:val="24"/>
        <w:szCs w:val="24"/>
        <w:lang w:val="en-US"/>
      </w:rPr>
      <w:t>120</w:t>
    </w:r>
    <w:r w:rsidRPr="00EC5E25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4C1" w:rsidRDefault="00E944C1" w:rsidP="00C929B6">
      <w:pPr>
        <w:spacing w:after="0" w:line="240" w:lineRule="auto"/>
      </w:pPr>
      <w:r>
        <w:separator/>
      </w:r>
    </w:p>
  </w:footnote>
  <w:footnote w:type="continuationSeparator" w:id="1">
    <w:p w:rsidR="00E944C1" w:rsidRDefault="00E944C1" w:rsidP="00C929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C1" w:rsidRDefault="00E944C1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44C1" w:rsidRDefault="00E944C1" w:rsidP="00EC5E2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C1" w:rsidRDefault="00E944C1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E944C1" w:rsidRPr="00EC5E25" w:rsidRDefault="00E944C1" w:rsidP="00EC5E25">
    <w:pPr>
      <w:pStyle w:val="Header"/>
      <w:ind w:right="360"/>
      <w:rPr>
        <w:sz w:val="24"/>
        <w:szCs w:val="24"/>
        <w:lang w:val="en-US"/>
      </w:rPr>
    </w:pPr>
    <w:r w:rsidRPr="00EC5E25">
      <w:rPr>
        <w:color w:val="000000"/>
        <w:sz w:val="24"/>
        <w:szCs w:val="24"/>
      </w:rPr>
      <w:t>Научный журнал КубГАУ, №</w:t>
    </w:r>
    <w:r w:rsidRPr="00EC5E25">
      <w:rPr>
        <w:color w:val="000000"/>
        <w:sz w:val="24"/>
        <w:szCs w:val="24"/>
        <w:lang w:val="en-US"/>
      </w:rPr>
      <w:t>91</w:t>
    </w:r>
    <w:r w:rsidRPr="00EC5E25">
      <w:rPr>
        <w:color w:val="000000"/>
        <w:sz w:val="24"/>
        <w:szCs w:val="24"/>
      </w:rPr>
      <w:t>(0</w:t>
    </w:r>
    <w:r w:rsidRPr="00EC5E25">
      <w:rPr>
        <w:color w:val="000000"/>
        <w:sz w:val="24"/>
        <w:szCs w:val="24"/>
        <w:lang w:val="en-US"/>
      </w:rPr>
      <w:t>7</w:t>
    </w:r>
    <w:r w:rsidRPr="00EC5E25">
      <w:rPr>
        <w:color w:val="000000"/>
        <w:sz w:val="24"/>
        <w:szCs w:val="24"/>
      </w:rPr>
      <w:t>), 2013 года</w:t>
    </w:r>
  </w:p>
  <w:p w:rsidR="00E944C1" w:rsidRDefault="00E944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4AF6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99CF4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A280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54A2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730A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DC6E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1087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E204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CC04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3A4FA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4014900C"/>
    <w:lvl w:ilvl="0">
      <w:numFmt w:val="bullet"/>
      <w:lvlText w:val="*"/>
      <w:lvlJc w:val="left"/>
    </w:lvl>
  </w:abstractNum>
  <w:abstractNum w:abstractNumId="11">
    <w:nsid w:val="11C320D9"/>
    <w:multiLevelType w:val="hybridMultilevel"/>
    <w:tmpl w:val="1978806A"/>
    <w:lvl w:ilvl="0" w:tplc="1548E266">
      <w:start w:val="1"/>
      <w:numFmt w:val="bullet"/>
      <w:lvlText w:val="−"/>
      <w:lvlJc w:val="left"/>
      <w:pPr>
        <w:ind w:left="78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2">
    <w:nsid w:val="13804190"/>
    <w:multiLevelType w:val="hybridMultilevel"/>
    <w:tmpl w:val="0C102396"/>
    <w:lvl w:ilvl="0" w:tplc="BEC875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5F2C5C"/>
    <w:multiLevelType w:val="hybridMultilevel"/>
    <w:tmpl w:val="746E37A4"/>
    <w:lvl w:ilvl="0" w:tplc="DE6A13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4">
    <w:abstractNumId w:val="11"/>
  </w:num>
  <w:num w:numId="5">
    <w:abstractNumId w:val="1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20A"/>
    <w:rsid w:val="00087279"/>
    <w:rsid w:val="000918CB"/>
    <w:rsid w:val="00095B53"/>
    <w:rsid w:val="000C02A2"/>
    <w:rsid w:val="000D2685"/>
    <w:rsid w:val="000E3ECC"/>
    <w:rsid w:val="00160EF5"/>
    <w:rsid w:val="00161423"/>
    <w:rsid w:val="0017105E"/>
    <w:rsid w:val="00197D68"/>
    <w:rsid w:val="001A7630"/>
    <w:rsid w:val="001B5C34"/>
    <w:rsid w:val="001E2FA3"/>
    <w:rsid w:val="001F163E"/>
    <w:rsid w:val="002167D8"/>
    <w:rsid w:val="00232B62"/>
    <w:rsid w:val="00251A91"/>
    <w:rsid w:val="00255952"/>
    <w:rsid w:val="002919D7"/>
    <w:rsid w:val="002C1AF4"/>
    <w:rsid w:val="002C5F36"/>
    <w:rsid w:val="00311588"/>
    <w:rsid w:val="0032455C"/>
    <w:rsid w:val="00333214"/>
    <w:rsid w:val="00364C98"/>
    <w:rsid w:val="00386FAA"/>
    <w:rsid w:val="003D3898"/>
    <w:rsid w:val="003F72E1"/>
    <w:rsid w:val="00400777"/>
    <w:rsid w:val="004340C2"/>
    <w:rsid w:val="00441304"/>
    <w:rsid w:val="00441768"/>
    <w:rsid w:val="004623CD"/>
    <w:rsid w:val="00467AB2"/>
    <w:rsid w:val="0049011D"/>
    <w:rsid w:val="004C6000"/>
    <w:rsid w:val="004D18B1"/>
    <w:rsid w:val="004E19A4"/>
    <w:rsid w:val="004F6E31"/>
    <w:rsid w:val="005001B2"/>
    <w:rsid w:val="00533264"/>
    <w:rsid w:val="00544493"/>
    <w:rsid w:val="00545E5D"/>
    <w:rsid w:val="0058168B"/>
    <w:rsid w:val="00596EA8"/>
    <w:rsid w:val="005B0525"/>
    <w:rsid w:val="00652C71"/>
    <w:rsid w:val="00670AB6"/>
    <w:rsid w:val="006B262F"/>
    <w:rsid w:val="006D5B4E"/>
    <w:rsid w:val="006E23E1"/>
    <w:rsid w:val="006F45A6"/>
    <w:rsid w:val="00757378"/>
    <w:rsid w:val="00765AEA"/>
    <w:rsid w:val="007F740C"/>
    <w:rsid w:val="00807E56"/>
    <w:rsid w:val="00842607"/>
    <w:rsid w:val="00844B07"/>
    <w:rsid w:val="0090420A"/>
    <w:rsid w:val="00941F30"/>
    <w:rsid w:val="00944D60"/>
    <w:rsid w:val="00A056C5"/>
    <w:rsid w:val="00A16635"/>
    <w:rsid w:val="00A1720A"/>
    <w:rsid w:val="00A70497"/>
    <w:rsid w:val="00AC4802"/>
    <w:rsid w:val="00AC55BF"/>
    <w:rsid w:val="00AD7A61"/>
    <w:rsid w:val="00B324E3"/>
    <w:rsid w:val="00B33D2D"/>
    <w:rsid w:val="00B45E70"/>
    <w:rsid w:val="00B468CF"/>
    <w:rsid w:val="00BE2892"/>
    <w:rsid w:val="00C26834"/>
    <w:rsid w:val="00C3092A"/>
    <w:rsid w:val="00C321A5"/>
    <w:rsid w:val="00C52994"/>
    <w:rsid w:val="00C61F39"/>
    <w:rsid w:val="00C84E96"/>
    <w:rsid w:val="00C929B6"/>
    <w:rsid w:val="00CE4FDE"/>
    <w:rsid w:val="00CF06E6"/>
    <w:rsid w:val="00D01872"/>
    <w:rsid w:val="00D02E8C"/>
    <w:rsid w:val="00D26C64"/>
    <w:rsid w:val="00D81B51"/>
    <w:rsid w:val="00DD2860"/>
    <w:rsid w:val="00DF4621"/>
    <w:rsid w:val="00E06BEB"/>
    <w:rsid w:val="00E944C1"/>
    <w:rsid w:val="00EB67A3"/>
    <w:rsid w:val="00EC5E25"/>
    <w:rsid w:val="00ED12A3"/>
    <w:rsid w:val="00EF31B8"/>
    <w:rsid w:val="00F106D2"/>
    <w:rsid w:val="00F17F3B"/>
    <w:rsid w:val="00F360D1"/>
    <w:rsid w:val="00FA65A2"/>
    <w:rsid w:val="00FB2D51"/>
    <w:rsid w:val="00FD7624"/>
    <w:rsid w:val="00FF6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621"/>
    <w:pPr>
      <w:spacing w:after="200" w:line="276" w:lineRule="auto"/>
    </w:pPr>
    <w:rPr>
      <w:sz w:val="28"/>
      <w:szCs w:val="28"/>
      <w:lang w:eastAsia="en-US"/>
    </w:rPr>
  </w:style>
  <w:style w:type="paragraph" w:styleId="Heading4">
    <w:name w:val="heading 4"/>
    <w:basedOn w:val="Normal"/>
    <w:link w:val="Heading4Char"/>
    <w:uiPriority w:val="99"/>
    <w:qFormat/>
    <w:rsid w:val="001A763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1A7630"/>
    <w:rPr>
      <w:rFonts w:eastAsia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C92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929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92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929B6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E19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E19A4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E19A4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F17F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A763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5B052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5B0525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EC5E2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ience-education.ru/108-86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111</TotalTime>
  <Pages>12</Pages>
  <Words>3114</Words>
  <Characters>17750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17</cp:revision>
  <dcterms:created xsi:type="dcterms:W3CDTF">2013-09-14T10:07:00Z</dcterms:created>
  <dcterms:modified xsi:type="dcterms:W3CDTF">2013-09-26T12:37:00Z</dcterms:modified>
</cp:coreProperties>
</file>