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69"/>
        <w:tblW w:w="0" w:type="auto"/>
        <w:tblLook w:val="00A0"/>
      </w:tblPr>
      <w:tblGrid>
        <w:gridCol w:w="4643"/>
        <w:gridCol w:w="4643"/>
      </w:tblGrid>
      <w:tr w:rsidR="003A29B7" w:rsidRPr="001138E9" w:rsidTr="006A146F">
        <w:trPr>
          <w:trHeight w:val="4946"/>
        </w:trPr>
        <w:tc>
          <w:tcPr>
            <w:tcW w:w="4643" w:type="dxa"/>
          </w:tcPr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>УДК 336.774.3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38E9">
              <w:rPr>
                <w:rFonts w:ascii="Times New Roman" w:hAnsi="Times New Roman"/>
                <w:b/>
                <w:sz w:val="20"/>
                <w:szCs w:val="20"/>
              </w:rPr>
              <w:t xml:space="preserve">МЕТОДЫ И ИНСТРУМЕНТЫ ОБЕСПЕЧЕНИЕ ФИНАНСОВОЙ БЕЗОПАСНОСТИ КОММЕРЧЕСКИХ БАНКОВ 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>Вороков Анзор Ладинович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 xml:space="preserve">аспирант, </w:t>
            </w:r>
            <w:hyperlink r:id="rId7" w:history="1"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anzor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_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sport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@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mail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.</w:t>
              </w:r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>Гайдук Наталья Викторовна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 xml:space="preserve">к.э.н., доцент, </w:t>
            </w: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gayduknv</w:t>
            </w:r>
            <w:r w:rsidRPr="001138E9">
              <w:rPr>
                <w:rFonts w:ascii="Times New Roman" w:hAnsi="Times New Roman"/>
                <w:sz w:val="20"/>
                <w:szCs w:val="20"/>
              </w:rPr>
              <w:t>@mail.ru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138E9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29B7" w:rsidRPr="003541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 xml:space="preserve">В статье приводится исследования финансовой устойчивости банков, анализируется различные  варианты совершенствования финансового </w:t>
            </w:r>
            <w:r>
              <w:rPr>
                <w:rFonts w:ascii="Times New Roman" w:hAnsi="Times New Roman"/>
                <w:sz w:val="20"/>
                <w:szCs w:val="20"/>
              </w:rPr>
              <w:t>менеджмента коммерческих банков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29B7" w:rsidRPr="003541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8E9">
              <w:rPr>
                <w:rFonts w:ascii="Times New Roman" w:hAnsi="Times New Roman"/>
                <w:sz w:val="20"/>
                <w:szCs w:val="20"/>
              </w:rPr>
              <w:t>Ключевые слова: ФИНАНСОВАЯ УСТОЙЧИВОСТЬ, ФИНАНСОВЫЙ МЕНЕДЖМЕНТ, ФИНАНСОВАЯ БЕЗОПАСНОСТЬ БАНКА</w:t>
            </w:r>
          </w:p>
        </w:tc>
        <w:tc>
          <w:tcPr>
            <w:tcW w:w="4643" w:type="dxa"/>
          </w:tcPr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UDC 336.774.3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METHODS AND INSTRUMENTS PROVIDING THE FINANCIAL SECURITY OF COMMERCIAL BANKS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Vorokov Anzor Ladinovich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hyperlink r:id="rId8" w:history="1">
              <w:r w:rsidRPr="001138E9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anzor_sport@mail.ru</w:t>
              </w:r>
            </w:hyperlink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Gayduk Natalia Victorovna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Cand.Econ.Sci., associate professor,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ayduknv@mail.ru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Krasnodar, Russia 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The article provides a survey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 financial stability of banks; it has also </w:t>
            </w: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analyzed the various options to improve the financial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management of commercial banks</w:t>
            </w: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A29B7" w:rsidRPr="001138E9" w:rsidRDefault="003A29B7" w:rsidP="006A14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1138E9">
              <w:rPr>
                <w:rFonts w:ascii="Times New Roman" w:hAnsi="Times New Roman"/>
                <w:sz w:val="20"/>
                <w:szCs w:val="20"/>
                <w:lang w:val="en-US"/>
              </w:rPr>
              <w:t>words: FINANCIAL STRENGTH, FINANCIAL MANAGEMENT,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FINANCIAL SECURITY OF BANK</w:t>
            </w:r>
          </w:p>
        </w:tc>
      </w:tr>
    </w:tbl>
    <w:p w:rsidR="003A29B7" w:rsidRPr="004E6029" w:rsidRDefault="003A29B7" w:rsidP="001A539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В современной экономической литературе вопросы методов и инструментария обеспечения финансовой безопасности являются недостаточно изученной. То есть, в настоящее время нет единого перечня внешних и внутренних методов и инструментов финансовой безопасности коммерческих банков. Имеющиеся работы лишь рассматривают отдельные вопросы финансовой безопасности.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Проводятся исследования финансовой устойчивости банков, анализируются различные варианты совершенствования финансового менеджмента, имеется большое количество работ, касающиеся вопросов ликвидности и банковских рисков. Но все эти направления исследования являются отдельными аспектами обеспечения финансовой безопасности кредитных учреждений. В то же время не хватает исследований, которые позволяют сформировать целостный комплекс инструментов и методов обеспечения финансовой безопасности банка.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Поскольку управление нормально функционирующим банком и банком, испытывающим финансовые трудности отличается между собой, то, прежде всего, необходимо уделить свое внимание </w:t>
      </w:r>
      <w:r>
        <w:rPr>
          <w:rFonts w:ascii="Times New Roman" w:hAnsi="Times New Roman"/>
          <w:sz w:val="28"/>
          <w:szCs w:val="28"/>
        </w:rPr>
        <w:t>разграничению</w:t>
      </w:r>
      <w:r w:rsidRPr="001D7010">
        <w:rPr>
          <w:rFonts w:ascii="Times New Roman" w:hAnsi="Times New Roman"/>
          <w:sz w:val="28"/>
          <w:szCs w:val="28"/>
        </w:rPr>
        <w:t xml:space="preserve"> методов обычного и антикризисного управления. Впрочем, это не означает изменение перечня доступных инструментов, но подобное разделение позволит использовать существующие наработки в области финансового менеджмента, а также финансовой устойчивости коммерческих банков.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Обзор существующих публикаций показывает, что все используемые методы и инструменты обеспечения финансовой безопасности коммерческих банков делятся на внешние и внутренние. Классификация методов и инструментов обеспечения финансовой безопасности банка базируется на двух предпосылках. Так как коммерческий банк, как и любой другой хозяйствующий субъект, имеет свою экономическую самостоятельность, то он может сам предпринимать определенные шаги, для достижения финансовой безопасности. Это с одной стороны. А с другой стороны, его деятельность подлежит вмешательству со стороны государства, у которого в наличии имеются свои инструменты влияния на состояние коммерческих банков.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Рассматривая внутренние методы и инструменты обеспечения финансовой безопасности, имеющиеся в распоряжении коммерческих банков, воспользуемся наработками финансового менеджмента.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Финансовый менеджмент банка имеет свои особенности, обусловленные самой природой банковской деятельности. Банки отличаются от предприятий полем их деятельности. Так, предприятия занимаются производством товаров, торговлей и оказанием услуг, а банки являются кредитно-финансовыми учреждениями и основное поле их деятельности – это работа на финансовых рынках. То есть финансовые операции составляют основную деятельность банков. Учитывая эти моменты можно сделать следующее заключение. Управление финансами банка представляет собой управление его операциями и является составной частью взаимосвязанного процесса, в котором выделяют управление ликвидностью и платежеспособностью, управление банковскими рисками, управление доходностью, а также эффективностью выполнения отдельных видов банковских операций.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Являясь составной частью экономического управления, финансовый менеджмент представляет собой совокупность организационно-структурной подсистемы (объекта и субъекта управления; управляемой и управляющей подсистемы), функциональной подсистемы (инструменты управления и подсистемы обеспечения). [</w:t>
      </w:r>
      <w:r>
        <w:rPr>
          <w:rFonts w:ascii="Times New Roman" w:hAnsi="Times New Roman"/>
          <w:sz w:val="28"/>
          <w:szCs w:val="28"/>
        </w:rPr>
        <w:t>13</w:t>
      </w:r>
      <w:r w:rsidRPr="001D7010">
        <w:rPr>
          <w:rFonts w:ascii="Times New Roman" w:hAnsi="Times New Roman"/>
          <w:sz w:val="28"/>
          <w:szCs w:val="28"/>
        </w:rPr>
        <w:t xml:space="preserve">]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Объектами управления выступают непосредственно банк со всеми аспектами его финансовой деятельности, включая: капитал, привлеченные и заемные ресурсы, активы, финансовый инструментарий, ликвидность и платежеспособность, банковские продукты и операции, финансовые результаты и налоги.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Субъектами управления можно определить ответственное лицо или группу лиц, имеющих право принимать решения, которые несут ответственность за эффективность процесса управления банковским учреждением.</w:t>
      </w: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Отдельно выделяют блок обеспечения процесса управления финансами. В его состав входят следующие подсистемы (См. рис. 7.). Внутреннее нормативное обеспечение процесса управления финансами, в которое входят инструкции, методические указания, нормы и нормативы сами разрабатываются банком  и регулируют его финансовую деятельность. </w:t>
      </w: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46.7pt;margin-top:19.8pt;width:0;height:168pt;z-index:251641344" o:connectortype="straight"/>
        </w:pict>
      </w:r>
      <w:r>
        <w:rPr>
          <w:noProof/>
          <w:lang w:eastAsia="ru-RU"/>
        </w:rPr>
        <w:pict>
          <v:shape id="_x0000_s1027" type="#_x0000_t32" style="position:absolute;left:0;text-align:left;margin-left:352.95pt;margin-top:19.8pt;width:93.75pt;height:0;z-index:251640320" o:connectortype="straight"/>
        </w:pict>
      </w:r>
      <w:r>
        <w:rPr>
          <w:noProof/>
          <w:lang w:eastAsia="ru-RU"/>
        </w:rPr>
        <w:pict>
          <v:shape id="_x0000_s1028" type="#_x0000_t32" style="position:absolute;left:0;text-align:left;margin-left:90.45pt;margin-top:19.8pt;width:0;height:30.75pt;z-index:2516372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90.45pt;margin-top:19.8pt;width:18pt;height:0;flip:x;z-index:251636224" o:connectortype="straight"/>
        </w:pict>
      </w:r>
      <w:r>
        <w:rPr>
          <w:noProof/>
          <w:lang w:eastAsia="ru-RU"/>
        </w:rPr>
        <w:pict>
          <v:rect id="_x0000_s1030" style="position:absolute;left:0;text-align:left;margin-left:108.45pt;margin-top:9.3pt;width:244.5pt;height:24pt;z-index:251629056">
            <v:textbox>
              <w:txbxContent>
                <w:p w:rsidR="003A29B7" w:rsidRPr="00067564" w:rsidRDefault="003A29B7" w:rsidP="001D701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675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Процесс управления финансами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31" style="position:absolute;left:0;text-align:left;margin-left:28.2pt;margin-top:2.25pt;width:171pt;height:24pt;z-index:251630080">
            <v:textbox>
              <w:txbxContent>
                <w:p w:rsidR="003A29B7" w:rsidRPr="00067564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Нормативное обеспечение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284.7pt;margin-top:2.25pt;width:145.5pt;height:71.25pt;z-index:251631104">
            <v:textbox>
              <w:txbxContent>
                <w:p w:rsidR="003A29B7" w:rsidRPr="00067564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Информационное обеспечение (экономическая, коммерческая, финансовая и другая отчетность)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3" type="#_x0000_t32" style="position:absolute;left:0;text-align:left;margin-left:430.2pt;margin-top:10.35pt;width:16.5pt;height:0;flip:x;z-index:2516423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left:0;text-align:left;margin-left:90.45pt;margin-top:2.1pt;width:114.75pt;height:28.5pt;z-index:2516392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left:0;text-align:left;margin-left:67.2pt;margin-top:2.1pt;width:23.25pt;height:28.5pt;flip:x;z-index:251638272" o:connectortype="straight">
            <v:stroke endarrow="block"/>
          </v:shape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139.2pt;margin-top:6.45pt;width:126pt;height:72.75pt;z-index:251635200">
            <v:textbox>
              <w:txbxContent>
                <w:p w:rsidR="003A29B7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Внутренние </w:t>
                  </w:r>
                </w:p>
                <w:p w:rsidR="003A29B7" w:rsidRPr="00067564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(инструкции, методические указания, нормы и нормативы)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left:0;text-align:left;margin-left:28.2pt;margin-top:6.45pt;width:99pt;height:72.75pt;z-index:251634176">
            <v:textbox>
              <w:txbxContent>
                <w:p w:rsidR="003A29B7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Внешние </w:t>
                  </w:r>
                </w:p>
                <w:p w:rsidR="003A29B7" w:rsidRPr="00067564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(законы, постановления, приказы и др.) 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38" style="position:absolute;left:0;text-align:left;margin-left:284.7pt;margin-top:10.05pt;width:145.5pt;height:37.5pt;z-index:251633152">
            <v:textbox>
              <w:txbxContent>
                <w:p w:rsidR="003A29B7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Технологическое </w:t>
                  </w:r>
                </w:p>
                <w:p w:rsidR="003A29B7" w:rsidRPr="008A3CD7" w:rsidRDefault="003A29B7" w:rsidP="001D7010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обеспечение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9" type="#_x0000_t32" style="position:absolute;left:0;text-align:left;margin-left:430.2pt;margin-top:1.65pt;width:16.5pt;height:0;flip:x;z-index:251643392" o:connectortype="straight">
            <v:stroke endarrow="block"/>
          </v:shape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40" type="#_x0000_t32" style="position:absolute;left:0;text-align:left;margin-left:430.2pt;margin-top:18.75pt;width:16.5pt;height:0;flip:x;z-index:25164441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1" style="position:absolute;left:0;text-align:left;margin-left:284.7pt;margin-top:6.75pt;width:145.5pt;height:24pt;z-index:251632128">
            <v:textbox>
              <w:txbxContent>
                <w:p w:rsidR="003A29B7" w:rsidRPr="008A3CD7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Кадровое обеспечение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D7010">
        <w:rPr>
          <w:rFonts w:ascii="Times New Roman" w:hAnsi="Times New Roman"/>
          <w:b/>
          <w:sz w:val="28"/>
          <w:szCs w:val="28"/>
        </w:rPr>
        <w:t>Рис. 7. Процесс управления финансами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По мнению большинства авторов,</w:t>
      </w:r>
      <w:r>
        <w:rPr>
          <w:rFonts w:ascii="Times New Roman" w:hAnsi="Times New Roman"/>
          <w:sz w:val="28"/>
          <w:szCs w:val="28"/>
        </w:rPr>
        <w:t>[4,3,11]</w:t>
      </w:r>
      <w:r w:rsidRPr="001D7010">
        <w:rPr>
          <w:rFonts w:ascii="Times New Roman" w:hAnsi="Times New Roman"/>
          <w:sz w:val="28"/>
          <w:szCs w:val="28"/>
        </w:rPr>
        <w:t xml:space="preserve"> инструментами управления банком являются функции финансового менеджмента. Согласно процессного подхода выделяется четыре взаимосвязанных функции: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1) финансовое планирование;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2) финансовый анализ;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3) финансовое регулирование;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4) финансовый контроль.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Функциональную модель, финансового менеджмента банка представлена в виде следующей схемы (См. рис. 8.).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Представленный рисунок является стандартной и приводится в большинстве учебников по финансовому менеджменту. Но некоторые авторы при рассмотрении видов контроля выделяют предварительный, текущий и последующий. Такое деление довольно является логичным и базируется на общепринятом перечне форм финансового контроля. Однако, данные виды контроля используются, как правило, на уровне государственных финансов. Поэтому при рассмотрении деятельности коммерческих банков правильнее использовать понятия стратегического, текущего и оперативного контроля.</w: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42" type="#_x0000_t32" style="position:absolute;left:0;text-align:left;margin-left:244.95pt;margin-top:183.95pt;width:13.5pt;height:0;z-index:2516792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left:0;text-align:left;margin-left:244.95pt;margin-top:142.7pt;width:13.5pt;height:0;z-index:2516782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left:0;text-align:left;margin-left:244.95pt;margin-top:102.2pt;width:13.5pt;height:0;z-index:2516771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5" type="#_x0000_t32" style="position:absolute;left:0;text-align:left;margin-left:244.95pt;margin-top:75.95pt;width:0;height:108pt;z-index:251676160" o:connectortype="straight"/>
        </w:pict>
      </w:r>
      <w:r>
        <w:rPr>
          <w:noProof/>
          <w:lang w:eastAsia="ru-RU"/>
        </w:rPr>
        <w:pict>
          <v:rect id="_x0000_s1046" style="position:absolute;left:0;text-align:left;margin-left:258.45pt;margin-top:168.95pt;width:84.75pt;height:28.5pt;z-index:251673088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Управление ликвидностью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left:0;text-align:left;margin-left:258.45pt;margin-top:128.45pt;width:84.75pt;height:28.5pt;z-index:251674112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Управление рисками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8" style="position:absolute;left:0;text-align:left;margin-left:258.45pt;margin-top:87.2pt;width:84.75pt;height:28.5pt;z-index:251675136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056F">
                    <w:rPr>
                      <w:rFonts w:ascii="Times New Roman" w:hAnsi="Times New Roman"/>
                      <w:sz w:val="18"/>
                      <w:szCs w:val="18"/>
                    </w:rPr>
                    <w:t>Управление прибыльностью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9" type="#_x0000_t32" style="position:absolute;left:0;text-align:left;margin-left:127.2pt;margin-top:183.95pt;width:12pt;height:0;z-index:2516720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left:0;text-align:left;margin-left:127.2pt;margin-top:156.95pt;width:12pt;height:0;z-index:2516710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left:0;text-align:left;margin-left:127.2pt;margin-top:127.7pt;width:12pt;height:0;z-index:2516700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left:0;text-align:left;margin-left:127.2pt;margin-top:98.45pt;width:12pt;height:0;z-index:25166899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53" style="position:absolute;left:0;text-align:left;margin-left:139.2pt;margin-top:177.2pt;width:87.75pt;height:20.25pt;z-index:251663872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Перспективный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4" style="position:absolute;left:0;text-align:left;margin-left:139.2pt;margin-top:148.7pt;width:87.75pt;height:20.25pt;z-index:251664896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Итоговый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5" style="position:absolute;left:0;text-align:left;margin-left:139.2pt;margin-top:116.45pt;width:87.75pt;height:20.25pt;z-index:251665920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Оперативный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6" type="#_x0000_t32" style="position:absolute;left:0;text-align:left;margin-left:127.2pt;margin-top:75.95pt;width:0;height:108pt;z-index:251667968" o:connectortype="straight"/>
        </w:pict>
      </w:r>
      <w:r>
        <w:rPr>
          <w:noProof/>
          <w:lang w:eastAsia="ru-RU"/>
        </w:rPr>
        <w:pict>
          <v:rect id="_x0000_s1057" style="position:absolute;left:0;text-align:left;margin-left:139.2pt;margin-top:87.2pt;width:87.75pt;height:20.25pt;z-index:251666944">
            <v:textbox>
              <w:txbxContent>
                <w:p w:rsidR="003A29B7" w:rsidRPr="003921A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Предварительный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8" type="#_x0000_t32" style="position:absolute;left:0;text-align:left;margin-left:10.2pt;margin-top:183.95pt;width:26.25pt;height:0;z-index:251662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9" type="#_x0000_t32" style="position:absolute;left:0;text-align:left;margin-left:10.2pt;margin-top:146.45pt;width:26.25pt;height:0;z-index:251661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left:0;text-align:left;margin-left:10.2pt;margin-top:102.2pt;width:26.25pt;height:0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1" type="#_x0000_t32" style="position:absolute;left:0;text-align:left;margin-left:10.2pt;margin-top:75.95pt;width:0;height:108pt;z-index:251656704" o:connectortype="straight"/>
        </w:pict>
      </w:r>
      <w:r>
        <w:rPr>
          <w:noProof/>
          <w:lang w:eastAsia="ru-RU"/>
        </w:rPr>
        <w:pict>
          <v:rect id="_x0000_s1062" style="position:absolute;left:0;text-align:left;margin-left:36.45pt;margin-top:168.95pt;width:1in;height:28.5pt;z-index:251659776">
            <v:textbox>
              <w:txbxContent>
                <w:p w:rsidR="003A29B7" w:rsidRDefault="003A29B7" w:rsidP="001D7010">
                  <w:pPr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Прогнозные </w:t>
                  </w:r>
                </w:p>
                <w:p w:rsidR="003A29B7" w:rsidRPr="003921AF" w:rsidRDefault="003A29B7" w:rsidP="001D7010">
                  <w:pPr>
                    <w:spacing w:after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>показатели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3" style="position:absolute;left:0;text-align:left;margin-left:36.45pt;margin-top:136.7pt;width:1in;height:20.25pt;z-index:251658752">
            <v:textbox>
              <w:txbxContent>
                <w:p w:rsidR="003A29B7" w:rsidRPr="003921A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 xml:space="preserve">Бюджет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4" style="position:absolute;left:0;text-align:left;margin-left:36.45pt;margin-top:82.7pt;width:1in;height:45pt;z-index:251657728">
            <v:textbox>
              <w:txbxContent>
                <w:p w:rsidR="003A29B7" w:rsidRDefault="003A29B7" w:rsidP="001D70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 xml:space="preserve">Финансовая </w:t>
                  </w:r>
                </w:p>
                <w:p w:rsidR="003A29B7" w:rsidRDefault="003A29B7" w:rsidP="001D70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модель и </w:t>
                  </w:r>
                </w:p>
                <w:p w:rsidR="003A29B7" w:rsidRPr="003921AF" w:rsidRDefault="003A29B7" w:rsidP="001D7010">
                  <w:pPr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3921AF">
                    <w:rPr>
                      <w:rFonts w:ascii="Times New Roman" w:hAnsi="Times New Roman"/>
                      <w:sz w:val="18"/>
                      <w:szCs w:val="18"/>
                    </w:rPr>
                    <w:t>план операций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5" type="#_x0000_t32" style="position:absolute;left:0;text-align:left;margin-left:412.95pt;margin-top:33.2pt;width:0;height:14.25pt;z-index:2516556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6" type="#_x0000_t32" style="position:absolute;left:0;text-align:left;margin-left:289.95pt;margin-top:33.2pt;width:0;height:14.25pt;z-index:2516546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7" type="#_x0000_t32" style="position:absolute;left:0;text-align:left;margin-left:174.45pt;margin-top:33.2pt;width:.75pt;height:14.25pt;z-index:251653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8" type="#_x0000_t32" style="position:absolute;left:0;text-align:left;margin-left:55.95pt;margin-top:33.2pt;width:0;height:14.25pt;z-index:251652608" o:connectortype="straight">
            <v:stroke endarrow="block"/>
          </v:shape>
        </w:pict>
      </w:r>
      <w:r>
        <w:rPr>
          <w:noProof/>
          <w:lang w:eastAsia="ru-RU"/>
        </w:rPr>
        <w:pict>
          <v:rect id="_x0000_s1069" style="position:absolute;left:0;text-align:left;margin-left:67.2pt;margin-top:.2pt;width:330pt;height:24.75pt;z-index:251645440">
            <v:textbox style="mso-next-textbox:#_x0000_s1069">
              <w:txbxContent>
                <w:p w:rsidR="003A29B7" w:rsidRPr="007F1CBE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ИНСТРУМЕНТЫ ФИНАНСОВОГО МЕНЕДЖМЕНТА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0" type="#_x0000_t32" style="position:absolute;left:0;text-align:left;margin-left:55.95pt;margin-top:33.2pt;width:357pt;height:0;z-index:251651584" o:connectortype="straight"/>
        </w:pict>
      </w:r>
      <w:r>
        <w:rPr>
          <w:noProof/>
          <w:lang w:eastAsia="ru-RU"/>
        </w:rPr>
        <w:pict>
          <v:shape id="_x0000_s1071" type="#_x0000_t32" style="position:absolute;left:0;text-align:left;margin-left:251.7pt;margin-top:24.95pt;width:0;height:8.25pt;z-index:251650560" o:connectortype="straight"/>
        </w:pict>
      </w:r>
      <w:r>
        <w:rPr>
          <w:noProof/>
          <w:lang w:eastAsia="ru-RU"/>
        </w:rPr>
        <w:pict>
          <v:rect id="_x0000_s1072" style="position:absolute;left:0;text-align:left;margin-left:122.7pt;margin-top:47.45pt;width:104.25pt;height:28.5pt;z-index:251646464">
            <v:textbox>
              <w:txbxContent>
                <w:p w:rsidR="003A29B7" w:rsidRPr="007F1CBE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Анализ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3" style="position:absolute;left:0;text-align:left;margin-left:238.95pt;margin-top:47.45pt;width:104.25pt;height:28.5pt;z-index:251647488">
            <v:textbox>
              <w:txbxContent>
                <w:p w:rsidR="003A29B7" w:rsidRPr="007F1CBE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Регулирование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4" style="position:absolute;left:0;text-align:left;margin-left:359.7pt;margin-top:47.45pt;width:102pt;height:28.5pt;z-index:251649536">
            <v:textbox>
              <w:txbxContent>
                <w:p w:rsidR="003A29B7" w:rsidRPr="007F1CBE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5" style="position:absolute;left:0;text-align:left;margin-left:2.7pt;margin-top:47.45pt;width:105.75pt;height:28.5pt;z-index:251648512">
            <v:textbox>
              <w:txbxContent>
                <w:p w:rsidR="003A29B7" w:rsidRPr="007F1CBE" w:rsidRDefault="003A29B7" w:rsidP="001D701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Планирование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76" style="position:absolute;left:0;text-align:left;margin-left:386.7pt;margin-top:19.25pt;width:75pt;height:20.25pt;z-index:251682304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Стратегический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left:0;text-align:left;margin-left:363.45pt;margin-top:3.5pt;width:0;height:101.25pt;z-index:251683328" o:connectortype="straight"/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8" type="#_x0000_t32" style="position:absolute;left:0;text-align:left;margin-left:363.45pt;margin-top:5.6pt;width:23.25pt;height:0;z-index:251684352" o:connectortype="straight">
            <v:stroke endarrow="block"/>
          </v:shape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9" type="#_x0000_t32" style="position:absolute;left:0;text-align:left;margin-left:363.45pt;margin-top:15.95pt;width:23.25pt;height:0;z-index:2516853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0" style="position:absolute;left:0;text-align:left;margin-left:386.7pt;margin-top:7.7pt;width:75pt;height:20.25pt;z-index:251681280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Текущий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81" style="position:absolute;left:0;text-align:left;margin-left:386.7pt;margin-top:18.8pt;width:75pt;height:20.25pt;z-index:251680256">
            <v:textbox>
              <w:txbxContent>
                <w:p w:rsidR="003A29B7" w:rsidRPr="00F7056F" w:rsidRDefault="003A29B7" w:rsidP="001D701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Оперативный</w:t>
                  </w:r>
                </w:p>
              </w:txbxContent>
            </v:textbox>
          </v:rect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82" type="#_x0000_t32" style="position:absolute;left:0;text-align:left;margin-left:363.45pt;margin-top:8.15pt;width:23.25pt;height:0;z-index:251686400" o:connectortype="straight">
            <v:stroke endarrow="block"/>
          </v:shape>
        </w:pict>
      </w:r>
    </w:p>
    <w:p w:rsidR="003A29B7" w:rsidRPr="001D7010" w:rsidRDefault="003A29B7" w:rsidP="001D70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D7010">
        <w:rPr>
          <w:rFonts w:ascii="Times New Roman" w:hAnsi="Times New Roman"/>
          <w:b/>
          <w:sz w:val="28"/>
          <w:szCs w:val="28"/>
        </w:rPr>
        <w:t>Рис. 8. Инструменты финансового менеджмента в банке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Рассматривая финансовую безопасность как экономическую категорию необходимо отметить, что она включает в себя понятие финансовой устойчивости, то есть финансовая устойчивость коммерческого банка является важным условием обеспечения его финансовой безопасности.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Методы обеспечения финансовой устойчивости можно разделить на внутренние и внешние. В свою очередь, внутренние методы обеспечения финансовой безопасности могут быть разделены на регулирующие (управление активами и пассивами банка; оптимизация ресурсов; диверсификация деятельности и т.д.) и стабилизирующие (формирование страховых резервов; повышение прибыльности; эффективность менеджмента; снижение уровня риска и т.д.). Данный вариант деления имеет свои недостатки, так как игнорирует инструменты финансового менеджмента.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Еще выделяют внешние инструменты по обеспечению финансовой безопасности коммерческих банков, к которым можно отнести банковский контроль, банковский надзор и банковское регулирование.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Рассматривая классификацию внешних инструментов, влияющих на банки и банковскую систему Клюско Л.А. предлагает иной подход, которая, как и в случае с внутренними инструментами делит их на две группы: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1. Регулирующие (денежно-кредитные, правовые и экономические);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2. Стабилизирующие (регистрация, лицензирование, реорганизация).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 данной классификации методы перекликаются один с другим, часто дублируя функции друг друга. Например, правовые регулирующие методы, включают в себя регистрацию и лицензирование из группы стабилизирующих факторов. Поэтому, на наш взгляд, в качестве базовой классификации более предпочтительно использовать общепринятую методологию, согласно которой основными внешними инструментами влияния на банки и банковскую систему являются банковское регулирование, надзор и контроль.</w:t>
      </w:r>
      <w:r>
        <w:rPr>
          <w:rFonts w:ascii="Times New Roman" w:hAnsi="Times New Roman"/>
          <w:sz w:val="28"/>
          <w:szCs w:val="28"/>
        </w:rPr>
        <w:t>[7]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Следует отметить, что в данном подходе к классификации среди ученых экономистов нет полного согласия, поскольку некоторые исследователи фактически ставят знак равенства между этими тремя группами, объединяя их под одним понятием – банковское регулирование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По нашему мнению, такой подход неверен, так как банковское регулирование, банковский контроль и банковский надзор – это разные виды деятельности, направленные на выполнение разных заданий, которые имеют одну цель – обеспечение финансовой безопасности в отдельно взятом банке или банковской системы страны в целом.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Внешние инструменты обеспечения финансовой безопасности банков направлены на: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создание законодательных и других условий, которые позволяют реализовать банкам свои экономические интересы и создают условия для недопущения превышения некоего критического уровня рискованности их деятельности;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влияние на операции коммерческих банков путем денежно-кредитного регулирования, которое в свою очередь влияет на объем и структуру денежной массы в обращении, а также на объем ресурсов банков;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обеспечение эффективного банковского надзора согласно базовым принципам Базельского комитета и действующего законодательства РФ путем сочетания начального контроля, безвыездного надзора, выездного контроля и системного анализа деятельности банка (ссылка).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Далее проведем детальный анализ каждого из предложенных нами групп внешних инструментов обеспечения финансовой безопасности коммерческих банков.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Одним из основных элементов, влияющих на финансовую безопасность банков, является банковское регулирование.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Н.Ю. Ерпилева</w:t>
      </w:r>
      <w:r>
        <w:rPr>
          <w:rFonts w:ascii="Times New Roman" w:hAnsi="Times New Roman"/>
          <w:sz w:val="28"/>
          <w:szCs w:val="28"/>
        </w:rPr>
        <w:t xml:space="preserve"> [8]</w:t>
      </w:r>
      <w:r w:rsidRPr="001D7010">
        <w:rPr>
          <w:rFonts w:ascii="Times New Roman" w:hAnsi="Times New Roman"/>
          <w:sz w:val="28"/>
          <w:szCs w:val="28"/>
        </w:rPr>
        <w:t xml:space="preserve"> рассматривает банковское регулирование как «систему специфических правил поведения нормативного характера, сформулированных государственными органами, другими властными структурами, а также негосударственными саморегулирующими организациями, целью которых являются ограничения банковской активности и, главным образом, банковских операций».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По нашему мнению, не совсем корректным является ограничение банковского регулирования функциями пассивного влияния в виде системы правил, поскольку очевидно, что данная система лишь базис для активных действий государства и его органов по недопущению кризисных явлений в банковской системе.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Н. Литвин считает, что под банковским регулирование нужно понимать совокупность разнообразных методов, средств и инструментов, с помощью которых государство влияет на деятельность банков для реализации целей денежно-кредитной политики и осуществляет надзор за соблюдением б</w:t>
      </w:r>
      <w:r>
        <w:rPr>
          <w:rFonts w:ascii="Times New Roman" w:hAnsi="Times New Roman"/>
          <w:sz w:val="28"/>
          <w:szCs w:val="28"/>
        </w:rPr>
        <w:t>анками установленных требований.[9]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Определение, данное Н. Литвиным, по сравнению с определением Н.Ю. Ерпилевой, более четко описывает инструментарий. Однако странно отсутствие акцента на том, что одной из главных целей банковского регулирования является стабильность банковской системы.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Б. П. Адамик под банковским регулированием понимает систему мероприятий, с помощью которых центральный банк обеспечивает стабильное, безопасное функционирование банков, предотвращает дестабилизирующие процессы в банковском секторе</w:t>
      </w:r>
      <w:r>
        <w:rPr>
          <w:rFonts w:ascii="Times New Roman" w:hAnsi="Times New Roman"/>
          <w:sz w:val="28"/>
          <w:szCs w:val="28"/>
        </w:rPr>
        <w:t>.[10]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 соответствии с ФЗ «О Центральном банке Российской Федерации (Банке России)» банковское регулирование является одной из функций Центрального Банка РФ. Рассматриваемую функцию другие нормативно-правовые акты не относят к другим органам государственной власти. Из этого следует, что банковское регулирование является прерогативой Банка России.</w:t>
      </w:r>
    </w:p>
    <w:p w:rsidR="003A29B7" w:rsidRPr="001D7010" w:rsidRDefault="003A29B7" w:rsidP="001D701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eastAsia="en-US"/>
        </w:rPr>
      </w:pPr>
      <w:r w:rsidRPr="001D7010">
        <w:rPr>
          <w:sz w:val="28"/>
          <w:szCs w:val="28"/>
          <w:lang w:eastAsia="en-US"/>
        </w:rPr>
        <w:t xml:space="preserve">Федеральный закон «О Центральном банке Российской Федерации (Банке России)» в главе </w:t>
      </w:r>
      <w:r w:rsidRPr="000A415C">
        <w:rPr>
          <w:sz w:val="28"/>
          <w:szCs w:val="28"/>
          <w:lang w:eastAsia="en-US"/>
        </w:rPr>
        <w:t>X</w:t>
      </w:r>
      <w:r w:rsidRPr="001D7010">
        <w:rPr>
          <w:sz w:val="28"/>
          <w:szCs w:val="28"/>
          <w:lang w:eastAsia="en-US"/>
        </w:rPr>
        <w:t xml:space="preserve"> определяет главные цели банковского регулирования и надзора: поддержание стабильности банковской системы Российской Федерации и защита интересов вкладчиков и кредиторов.</w:t>
      </w:r>
      <w:r>
        <w:rPr>
          <w:sz w:val="28"/>
          <w:szCs w:val="28"/>
          <w:lang w:eastAsia="en-US"/>
        </w:rPr>
        <w:t>[2]</w:t>
      </w:r>
    </w:p>
    <w:p w:rsidR="003A29B7" w:rsidRPr="001D7010" w:rsidRDefault="003A29B7" w:rsidP="001D701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eastAsia="en-US"/>
        </w:rPr>
      </w:pPr>
      <w:r w:rsidRPr="001D7010">
        <w:rPr>
          <w:sz w:val="28"/>
          <w:szCs w:val="28"/>
          <w:lang w:eastAsia="en-US"/>
        </w:rPr>
        <w:t>В структуру Банка России входит особый орган - Комитет банковского надзора для осуществления банковского регулирования и надзора. Комитет действует на постоянной основе и объединяет подразделения Банка России, которые обеспечивают выполнение регулирующих и надзорных функций.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 можно сделать </w:t>
      </w:r>
      <w:r w:rsidRPr="00C17E17"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Pr="001D7010">
        <w:rPr>
          <w:rFonts w:ascii="Times New Roman" w:hAnsi="Times New Roman"/>
          <w:sz w:val="28"/>
          <w:szCs w:val="28"/>
        </w:rPr>
        <w:t xml:space="preserve"> банковское регулирование является комплексом мероприятия, используя которых государство через центральный банк обеспечивает стабильное и безопасное функционирование, предупреждает дестабилизационные процессы в банковском секторе, создавая необходимые условия к формированию достаточного уровня финансовой безопасности отдельно взятого банка и банковской системы страны в целом.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К основным задачам банковского регулирования относят: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поддержание стабильности и доверия к банковской системе путем обеспечения платежеспособности банковских структур, предупреждение системного риска;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защита вкладчиков и других клиентов банковской системы от чрезмерного риска ущерба и других видов вреда, который возникает вследствие банкротства, мошенничества, злоупотреблений и других видов должностных правонарушений со стороны поставщиков финансовых услуг;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обеспечение эффективного, надежного и результативного функционирования финансовых рынков.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По мнению Бернд Р. методы банковского регулирования реализуются через систему мероприятий, которые условно разделяют на превентивные и протекционные. Превентивные методы применяют для предупреждения возможных отрицательных следствий от той или ной экономической ситуации, а протекционные – для защиты от уже существующих рисков.</w:t>
      </w:r>
      <w:r>
        <w:rPr>
          <w:rFonts w:ascii="Times New Roman" w:hAnsi="Times New Roman"/>
          <w:sz w:val="28"/>
          <w:szCs w:val="28"/>
        </w:rPr>
        <w:t>[5]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 частности к превентивным мероприятиям можно отнести требования относительно и размера и структуры собственного капитала, требования относительно ликвидности, диверсификация банковских рисков и ограничение выполняемых операций.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</w:rPr>
        <w:t xml:space="preserve">Например, в Инструкции Центрального банка РФ об обязательных нормативах банков от 3 декабря 2012 г. № 139-И </w:t>
      </w:r>
      <w:r w:rsidRPr="001D7010">
        <w:rPr>
          <w:rFonts w:ascii="Times New Roman" w:hAnsi="Times New Roman"/>
          <w:sz w:val="28"/>
          <w:szCs w:val="28"/>
          <w:lang w:eastAsia="ru-RU"/>
        </w:rPr>
        <w:t>установлено числовые значения и методику расчета следующих обязательных нормативов банков:</w:t>
      </w:r>
      <w:r>
        <w:rPr>
          <w:rFonts w:ascii="Times New Roman" w:hAnsi="Times New Roman"/>
          <w:sz w:val="28"/>
          <w:szCs w:val="28"/>
          <w:lang w:eastAsia="ru-RU"/>
        </w:rPr>
        <w:t>[1]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достаточности собственных средств (капитала);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ликвидности;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максимального размера риска на одного заемщика или группу связанных заемщиков;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максимального размера крупных кредитных рисков;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максимального размера кредитов, банковских гарантий и поручительств, предоставленных банком своим участникам (акционерам);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совокупной величины риска по инсайдерам банка;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использования собственных средств (капитала) банков для приобретения акций (долей) других юридических лиц.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 xml:space="preserve">К протекционным мероприятиям относятся: 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создание системы гарантирования вкладов;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формирование банками резервов на покрытие кредитных и других рисков;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рефинансирование центральным банком коммерческих банков;</w:t>
      </w:r>
    </w:p>
    <w:p w:rsidR="003A29B7" w:rsidRPr="001D7010" w:rsidRDefault="003A29B7" w:rsidP="001D7010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010">
        <w:rPr>
          <w:rFonts w:ascii="Times New Roman" w:hAnsi="Times New Roman"/>
          <w:sz w:val="28"/>
          <w:szCs w:val="28"/>
          <w:lang w:eastAsia="ru-RU"/>
        </w:rPr>
        <w:t>- помощь других государственных органов.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Большое значение для обеспечения эффективности банковского регулирования имеет правовое обеспечение. Элементами правового обеспечения банковской системы РФ являются: законы РФ, указы Президента РФ, постановления Государственной Думы и Кабинета Министров, приказы министерства финансов, постановления Банка России и договоры между субъектами кредитно-денежных отношений.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 современных условиях банковское регулирование сводится, прежде всего, к надзору за операциями банков в интересах стабильности всей экономики. Стратегической целью банковского надзора является своевременное реагирование на нарушения и негативные тенденции в деятельности банков для нормализации, упрочнения их финансового положения и поддержания стабильности и надежности как каждого из них, так и банковской системы в целом.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Осуществление банковского надзора является одним из важнейших методов обеспечения необходимого уровня финансовой безопасности банков.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 соответствии с Федеральным законом РФ «О Центральном банке Российской Федерации (Банке России)», банковский надзор – это система контроля и активных действий Банка России, направленных на обеспечение соблюдения банками и другими финансово-кредитными учреждениями в процессе их деятельности законодательства РФ и установленных нормативов с целью обеспечения стабильности банковской системы и защиты интересов вкладчиков.</w:t>
      </w:r>
      <w:r>
        <w:rPr>
          <w:rFonts w:ascii="Times New Roman" w:hAnsi="Times New Roman"/>
          <w:sz w:val="28"/>
          <w:szCs w:val="28"/>
        </w:rPr>
        <w:t>[2]</w:t>
      </w:r>
      <w:r w:rsidRPr="001D7010">
        <w:rPr>
          <w:rFonts w:ascii="Times New Roman" w:hAnsi="Times New Roman"/>
          <w:sz w:val="28"/>
          <w:szCs w:val="28"/>
        </w:rPr>
        <w:t xml:space="preserve">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Перед системой банковского надзора стоят некоторые задачи, главными из которых являются: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гарантирование «здоровья» банковскому сектору, повышение эффективности банковского дела и способствование справедливому распределению кредита в экономике для содействия экономическому росту страны;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защита мелких вкладчиков, которые размещают свои средства в банках от плохого управления и мошенничества;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защита клиентов от системного риска, который заключается в том, что банкротство одного банка может привести к банкротству нескольких банков и утрате доверия ко всей банковской системе;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повышение конкуренции в банковском деле: банковские законы и положения должны быть направлены на поощрения конкуренции и предупреждение монополии и действий, которые препятствуют конкуренции.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К системе надзорной деятельности в РФ относят несколько основных направлений, в частности: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государственный надзор, который осуществляется Банком России;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внутренний банковский контроль (внутренний аудит), что проводится соответствующей службой банковского учреждения;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внешний аудит – проводится независимыми негосударственными аудиторскими компаниями.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Базовые принципы эффективного банковского надзора сформулировал Базельский комитет по банковскому регулированию в 1997 г.: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основной целью надзора является уменьшение риска потерь для вкладчиков и других кредиторов, а также поддержание доверия к финансово-банковской системе;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органам надзора необходимо оказывать содействие организации рыночной дисциплины за счет установления эффективного корпоративного руководства, а также оказывать содействие увеличению прозрачности рынка для облегчения контроля;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для эффективного выполнения своих обязанностей сотрудники надзорных органов должны иметь операционную независимость, средства и полномочия для получения информации, как на месте, так и дистанционно, а также полномочия для применения принятых решений;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органы надзора должны полностью понимать природу банковских операций и контролировать риски, с которыми сталкиваются банки;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органы надзора должны быть уверены в том, что ресурсы банков достаточные для того, чтобы брать на себя тот или иной риск;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необходимое тесное сотрудничество с органами надзора других стран, особенно при международных банковских операциях</w:t>
      </w:r>
      <w:r>
        <w:rPr>
          <w:rFonts w:ascii="Times New Roman" w:hAnsi="Times New Roman"/>
          <w:sz w:val="28"/>
          <w:szCs w:val="28"/>
        </w:rPr>
        <w:t>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 xml:space="preserve">Согласно базовой квалификации, последней группой внешних инструментов обеспечения финансовой безопасности, является банковский контроль.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Большинство экономических словарей определяют внешний банковский контроль как контроль со стороны центрального банка за деятельностью коммерческих банков</w:t>
      </w:r>
      <w:r>
        <w:rPr>
          <w:rFonts w:ascii="Times New Roman" w:hAnsi="Times New Roman"/>
          <w:sz w:val="28"/>
          <w:szCs w:val="28"/>
        </w:rPr>
        <w:t>.[12]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Сущность понятия банковский контроль Вдовин В.Н. трактует как систему экономических отношений, направленных на обеспечение надежности, безопасности, эффективности и законности банков и выполняемых ими операций, а также на повышение эффективности общественного производства</w:t>
      </w:r>
      <w:r>
        <w:rPr>
          <w:rFonts w:ascii="Times New Roman" w:hAnsi="Times New Roman"/>
          <w:sz w:val="28"/>
          <w:szCs w:val="28"/>
        </w:rPr>
        <w:t>.[6]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Присущие банковскому сектору особенности, а также его роли в безопасности страны обуславливают специфику контроля над банками и банковской деятельностью со стороны государства: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банковской системе присущ высокий уровень системного риска, распространяющийся не только на саму банковскую систему, но и на всю экономику страны;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денежные потоки, проходящие через банковские каналы, подвергаются тщательному отслеживанию со стороны органов финансового контроля и правоохранительных органов;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банковский сектор по целому ряду причин является одним из наиболее криминализированных экономических сегментов;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- банковская система опосредует прохождение платежей практически всех экономических субъектов.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1D7010">
        <w:rPr>
          <w:rFonts w:ascii="Times New Roman" w:hAnsi="Times New Roman"/>
          <w:sz w:val="28"/>
          <w:szCs w:val="28"/>
        </w:rPr>
        <w:t xml:space="preserve">от эффективности организации внешнего контроля за банками, зависит финансовая безопасность не только банков и банковской системы, но и национальная безопасность. </w:t>
      </w:r>
    </w:p>
    <w:p w:rsidR="003A29B7" w:rsidRPr="001D7010" w:rsidRDefault="003A29B7" w:rsidP="001D7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Все это обуславливает разнообразие форм государственного контроля за банковской деятельностью. В зависимости от времени существования банковский контроль делят на предварительный и последующий. предварительный контроль предшествует выполнению определенных денежно-расчетных операций. Последующий контроль состоит в изучении результатов осуществления банковских операций</w:t>
      </w:r>
      <w:r>
        <w:rPr>
          <w:rFonts w:ascii="Times New Roman" w:hAnsi="Times New Roman"/>
          <w:sz w:val="28"/>
          <w:szCs w:val="28"/>
        </w:rPr>
        <w:t>.[5]</w:t>
      </w:r>
    </w:p>
    <w:p w:rsidR="003A29B7" w:rsidRDefault="003A29B7" w:rsidP="00232F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010">
        <w:rPr>
          <w:rFonts w:ascii="Times New Roman" w:hAnsi="Times New Roman"/>
          <w:sz w:val="28"/>
          <w:szCs w:val="28"/>
        </w:rPr>
        <w:t>Таким образом, мы рассмотрели внешние и внутренние методы и инструменты обеспечения финансовой безопасности банков и банковской системы в целом. Можно отметить, что имеется достаточно большой инструментарий, который позволяет обеспечить финансовую безопасность банков. В то же время, проведенное, нами исследование показало, что имеющиеся научные работы в данной области разрознены и рассматривают лишь отдельные аспекты данной проблемы.</w:t>
      </w:r>
    </w:p>
    <w:p w:rsidR="003A29B7" w:rsidRDefault="003A29B7" w:rsidP="001A539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A29B7" w:rsidRPr="00EB549D" w:rsidRDefault="003A29B7" w:rsidP="00C727B6">
      <w:pPr>
        <w:pStyle w:val="2"/>
        <w:shd w:val="clear" w:color="auto" w:fill="auto"/>
        <w:spacing w:line="360" w:lineRule="auto"/>
        <w:ind w:right="-2" w:firstLine="700"/>
        <w:jc w:val="center"/>
        <w:rPr>
          <w:rStyle w:val="0pt"/>
          <w:b/>
          <w:color w:val="auto"/>
          <w:sz w:val="24"/>
          <w:szCs w:val="24"/>
          <w:lang w:eastAsia="en-US"/>
        </w:rPr>
      </w:pPr>
      <w:r w:rsidRPr="00EB549D">
        <w:rPr>
          <w:rStyle w:val="0pt"/>
          <w:b/>
          <w:color w:val="auto"/>
          <w:sz w:val="24"/>
          <w:szCs w:val="24"/>
          <w:lang w:eastAsia="en-US"/>
        </w:rPr>
        <w:t xml:space="preserve">Литература </w:t>
      </w:r>
    </w:p>
    <w:p w:rsidR="003A29B7" w:rsidRPr="00C17E17" w:rsidRDefault="003A29B7" w:rsidP="001A5390">
      <w:pPr>
        <w:pStyle w:val="2"/>
        <w:shd w:val="clear" w:color="auto" w:fill="auto"/>
        <w:spacing w:line="360" w:lineRule="auto"/>
        <w:ind w:right="-2" w:firstLine="700"/>
        <w:jc w:val="center"/>
        <w:rPr>
          <w:rStyle w:val="0pt"/>
          <w:color w:val="auto"/>
          <w:sz w:val="24"/>
          <w:szCs w:val="24"/>
          <w:lang w:eastAsia="en-US"/>
        </w:rPr>
      </w:pPr>
      <w:r w:rsidRPr="00C17E17">
        <w:rPr>
          <w:rStyle w:val="0pt"/>
          <w:color w:val="auto"/>
          <w:sz w:val="24"/>
          <w:szCs w:val="24"/>
          <w:lang w:eastAsia="en-US"/>
        </w:rPr>
        <w:t xml:space="preserve">Официальные и нормативные акты </w:t>
      </w:r>
    </w:p>
    <w:p w:rsidR="003A29B7" w:rsidRPr="00C17E17" w:rsidRDefault="003A29B7" w:rsidP="00C17E17">
      <w:pPr>
        <w:pStyle w:val="2"/>
        <w:shd w:val="clear" w:color="auto" w:fill="auto"/>
        <w:spacing w:line="240" w:lineRule="auto"/>
        <w:ind w:right="-2" w:firstLine="709"/>
        <w:jc w:val="left"/>
        <w:rPr>
          <w:rStyle w:val="0pt"/>
          <w:color w:val="auto"/>
          <w:sz w:val="24"/>
          <w:szCs w:val="24"/>
          <w:lang w:eastAsia="en-US"/>
        </w:rPr>
      </w:pPr>
      <w:r w:rsidRPr="00C17E17">
        <w:rPr>
          <w:sz w:val="24"/>
          <w:szCs w:val="24"/>
        </w:rPr>
        <w:t>1. Инструкции Центрального банка РФ об обязательных нормативах банков от 3 декабря 2012 г. № 139-И.</w:t>
      </w:r>
    </w:p>
    <w:p w:rsidR="003A29B7" w:rsidRPr="00C17E17" w:rsidRDefault="003A29B7" w:rsidP="00C17E1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2. О Центральном банке Российской Федерации (Банке России): Федеральный закон от 10 июля 2002 г. № 86-ФЗ (ред. От 07.05.2013 г.).</w:t>
      </w:r>
    </w:p>
    <w:p w:rsidR="003A29B7" w:rsidRPr="00C17E17" w:rsidRDefault="003A29B7" w:rsidP="004D1788">
      <w:pPr>
        <w:pStyle w:val="2"/>
        <w:shd w:val="clear" w:color="auto" w:fill="auto"/>
        <w:spacing w:line="240" w:lineRule="auto"/>
        <w:ind w:right="-2" w:firstLine="0"/>
        <w:jc w:val="left"/>
        <w:rPr>
          <w:rStyle w:val="0pt"/>
          <w:color w:val="auto"/>
          <w:sz w:val="28"/>
          <w:szCs w:val="28"/>
          <w:lang w:eastAsia="en-US"/>
        </w:rPr>
      </w:pPr>
    </w:p>
    <w:p w:rsidR="003A29B7" w:rsidRPr="00EB549D" w:rsidRDefault="003A29B7" w:rsidP="004D1788">
      <w:pPr>
        <w:pStyle w:val="2"/>
        <w:shd w:val="clear" w:color="auto" w:fill="auto"/>
        <w:spacing w:line="360" w:lineRule="auto"/>
        <w:ind w:right="-2" w:firstLine="700"/>
        <w:jc w:val="center"/>
        <w:rPr>
          <w:rStyle w:val="0pt"/>
          <w:b/>
          <w:color w:val="auto"/>
          <w:sz w:val="24"/>
          <w:szCs w:val="24"/>
          <w:lang w:eastAsia="en-US"/>
        </w:rPr>
      </w:pPr>
      <w:r w:rsidRPr="00EB549D">
        <w:rPr>
          <w:rStyle w:val="0pt"/>
          <w:b/>
          <w:color w:val="auto"/>
          <w:sz w:val="24"/>
          <w:szCs w:val="24"/>
          <w:lang w:eastAsia="en-US"/>
        </w:rPr>
        <w:t>Список литературы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3. Бурцев В.В. Финансовая безопасность в современных условиях // Консультант директора. - № 20 (152). – С. 5 – 11.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4. Бор М.З., Пятенко В.В. Менеджмент банков: организация, стратегия, планирование. – М.: ИКЦ «ДИС», 1997. – 284 с.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5 . Бренд Рудольф. Банковская система и контроль за банковской деятельностью в условиях рыночной экономики. – Мюнхен, 1994. – 426 с.</w:t>
      </w:r>
    </w:p>
    <w:p w:rsidR="003A29B7" w:rsidRPr="00C17E17" w:rsidRDefault="003A29B7" w:rsidP="00A56D63">
      <w:pPr>
        <w:pStyle w:val="2"/>
        <w:shd w:val="clear" w:color="auto" w:fill="auto"/>
        <w:tabs>
          <w:tab w:val="left" w:pos="1080"/>
        </w:tabs>
        <w:spacing w:line="240" w:lineRule="auto"/>
        <w:ind w:right="-2" w:firstLine="720"/>
        <w:rPr>
          <w:rStyle w:val="0pt"/>
          <w:color w:val="auto"/>
          <w:sz w:val="24"/>
          <w:szCs w:val="24"/>
          <w:lang w:eastAsia="en-US"/>
        </w:rPr>
      </w:pPr>
      <w:r w:rsidRPr="00C17E17">
        <w:rPr>
          <w:sz w:val="24"/>
          <w:szCs w:val="24"/>
        </w:rPr>
        <w:t>6. Вдовин В.Н. К вопросу об экономической сущности банковского контроля и уровнях ее реализации в экономической системе // Вестник ТИС-БИ. – 2000. - №3. – с. 22-26.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7. Глушкова Н.Б. Банковское дело: Учебное пособие. – 2009. – 438 с.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8. Ерпилева Н.Ю. Международное банковское право: учеб. пособие. – М.: Форум – ИНФРА. – 1999. – 264 с.</w:t>
      </w:r>
    </w:p>
    <w:p w:rsidR="003A29B7" w:rsidRPr="00C17E17" w:rsidRDefault="003A29B7" w:rsidP="00A56D63">
      <w:pPr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</w:pPr>
      <w:r w:rsidRPr="00C17E17">
        <w:t>9. Литвин Н. Правовые аспекты регулирования валютных операций коммерческих банков Украины / Н. Литвин //Вестник Национального банка Украины. – 1999. - № 11. – С. 18 – 21.</w:t>
      </w:r>
    </w:p>
    <w:p w:rsidR="003A29B7" w:rsidRPr="00C17E17" w:rsidRDefault="003A29B7" w:rsidP="00A56D63">
      <w:pPr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</w:pPr>
      <w:r w:rsidRPr="00C17E17">
        <w:t>10. Лаврушин О. И. Место рисков в банковской деятельности и их классификация // Банковское дело: учебник / под ред. О.И. Лаврушина. М.: КНОРУС, 2005. М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11. Новиков Г.В. Финансовая безопасность в системе национальной безопасности страны: Автореф. дис. канд. экон. наук. – М., 2001. – С. 10.</w:t>
      </w:r>
    </w:p>
    <w:p w:rsidR="003A29B7" w:rsidRPr="00C17E17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7E17">
        <w:rPr>
          <w:rFonts w:ascii="Times New Roman" w:hAnsi="Times New Roman"/>
          <w:sz w:val="24"/>
          <w:szCs w:val="24"/>
        </w:rPr>
        <w:t>12. Райзберг Б.А., Лозовский Л.Ш., Стародубцева Е.Б. Современный экономический словарь. – 3-е изд., перераб. и доп. – М.: ИНФРА-М. – 2004. – С. 343.</w:t>
      </w:r>
    </w:p>
    <w:p w:rsidR="003A29B7" w:rsidRPr="001138E9" w:rsidRDefault="003A29B7" w:rsidP="00A56D6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C17E17">
        <w:rPr>
          <w:rFonts w:ascii="Times New Roman" w:hAnsi="Times New Roman"/>
          <w:sz w:val="24"/>
          <w:szCs w:val="24"/>
        </w:rPr>
        <w:t xml:space="preserve">13. Суржинский М. Понятие и сущность банковского регулирования и банковского надзора в Украине /М. Суржинский / Юридический журнал. </w:t>
      </w:r>
      <w:r w:rsidRPr="001138E9">
        <w:rPr>
          <w:rFonts w:ascii="Times New Roman" w:hAnsi="Times New Roman"/>
          <w:sz w:val="24"/>
          <w:szCs w:val="24"/>
          <w:lang w:val="en-US"/>
        </w:rPr>
        <w:t xml:space="preserve">№ 8. 2004, </w:t>
      </w:r>
      <w:r w:rsidRPr="00C17E17">
        <w:rPr>
          <w:rFonts w:ascii="Times New Roman" w:hAnsi="Times New Roman"/>
          <w:sz w:val="24"/>
          <w:szCs w:val="24"/>
        </w:rPr>
        <w:t>С</w:t>
      </w:r>
      <w:r w:rsidRPr="001138E9">
        <w:rPr>
          <w:rFonts w:ascii="Times New Roman" w:hAnsi="Times New Roman"/>
          <w:sz w:val="24"/>
          <w:szCs w:val="24"/>
          <w:lang w:val="en-US"/>
        </w:rPr>
        <w:t>. 14-18.</w:t>
      </w:r>
    </w:p>
    <w:p w:rsidR="003A29B7" w:rsidRPr="001138E9" w:rsidRDefault="003A29B7" w:rsidP="00772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A29B7" w:rsidRPr="00EB549D" w:rsidRDefault="003A29B7" w:rsidP="00A56D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3. Burcev V.V. Finansovaja bezopasnost' v sovremennyh uslovijah // Konsul'tant direktora. - № 20 (152). – S. 5 – 11.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4. Bor M.Z., Pjatenko V.V. Menedzhment bankov: organizacija, strategija, planirovanie. – M.: IKC «DIS», 1997. – 284 s.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5 . Brend Rudol'f. Bankovskaja sistema i kontrol' za bankovskoj dejatel'nost'ju v uslovijah rynochnoj jekonomiki. – Mjunhen, 1994. – 426 s.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6. Vdovin V.N. K voprosu ob jekonomicheskoj sushhnosti bankovskogo kontrolja i urovnjah ee realizacii v jekonomicheskoj sisteme // Vestnik TIS-BI. – 2000. - №3. – s. 22-26.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7. Glushkova N.B. Bankovskoe delo: Uchebnoe posobie. – 2009. – 438 s.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8. Erpileva N.Ju. Mezhdunarodnoe bankovskoe pravo: ucheb. posobie. – M.: Forum – INFRA. – 1999. – 264 s.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9. Litvin N. Pravovye aspekty regulirovanija valjutnyh operacij kommercheskih bankov Ukrainy / N. Litvin //Vestnik Nacional'nogo banka Ukrainy. – 1999. - № 11. – S. 18 – 21.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10. Lavrushin O. I. Mesto riskov v bankovskoj dejatel'nosti i ih klassifikacija // Bankovskoe delo: uchebnik / pod red. O.I. Lavrushina. M.: KNORUS, 2005. M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11. Novikov G.V. Finansovaja bezopasnost' v sisteme nacional'noj bezopasnosti strany: Avtoref. dis. kand. jekon. nauk. – M., 2001. – S. 10.</w:t>
      </w:r>
    </w:p>
    <w:p w:rsidR="003A29B7" w:rsidRPr="001138E9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>12. Rajzberg B.A., Lozovskij L.Sh., Starodubceva E.B. Sovremennyj jekonomicheskij slovar'. – 3-e izd., pererab. i dop. – M.: INFRA-M. – 2004. – S. 343.</w:t>
      </w:r>
    </w:p>
    <w:p w:rsidR="003A29B7" w:rsidRPr="00A56D63" w:rsidRDefault="003A29B7" w:rsidP="00A56D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138E9">
        <w:rPr>
          <w:rFonts w:ascii="Times New Roman" w:hAnsi="Times New Roman"/>
          <w:sz w:val="24"/>
          <w:szCs w:val="24"/>
          <w:lang w:val="en-US"/>
        </w:rPr>
        <w:t xml:space="preserve">13. Surzhinskij M. Ponjatie i sushhnost' bankovskogo regulirovanija i bankovskogo nadzora v Ukraine /M. Surzhinskij / Juridicheskij zhurnal. </w:t>
      </w:r>
      <w:r w:rsidRPr="00A56D63">
        <w:rPr>
          <w:rFonts w:ascii="Times New Roman" w:hAnsi="Times New Roman"/>
          <w:sz w:val="24"/>
          <w:szCs w:val="24"/>
        </w:rPr>
        <w:t>№ 8. 2004, S. 14-18.</w:t>
      </w:r>
    </w:p>
    <w:sectPr w:rsidR="003A29B7" w:rsidRPr="00A56D63" w:rsidSect="001D7010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9B7" w:rsidRDefault="003A29B7">
      <w:r>
        <w:separator/>
      </w:r>
    </w:p>
  </w:endnote>
  <w:endnote w:type="continuationSeparator" w:id="1">
    <w:p w:rsidR="003A29B7" w:rsidRDefault="003A2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B7" w:rsidRPr="003541E9" w:rsidRDefault="003A29B7" w:rsidP="003541E9">
    <w:pPr>
      <w:pStyle w:val="Footer"/>
      <w:rPr>
        <w:rFonts w:ascii="Times New Roman" w:hAnsi="Times New Roman"/>
        <w:sz w:val="24"/>
        <w:szCs w:val="24"/>
      </w:rPr>
    </w:pPr>
    <w:r w:rsidRPr="003541E9">
      <w:rPr>
        <w:rFonts w:ascii="Times New Roman" w:hAnsi="Times New Roman"/>
        <w:sz w:val="24"/>
        <w:szCs w:val="24"/>
      </w:rPr>
      <w:t>http://ej.kubagro.ru/201</w:t>
    </w:r>
    <w:r w:rsidRPr="003541E9">
      <w:rPr>
        <w:rFonts w:ascii="Times New Roman" w:hAnsi="Times New Roman"/>
        <w:sz w:val="24"/>
        <w:szCs w:val="24"/>
        <w:lang w:val="en-US"/>
      </w:rPr>
      <w:t>3</w:t>
    </w:r>
    <w:r w:rsidRPr="003541E9">
      <w:rPr>
        <w:rFonts w:ascii="Times New Roman" w:hAnsi="Times New Roman"/>
        <w:sz w:val="24"/>
        <w:szCs w:val="24"/>
      </w:rPr>
      <w:t>/</w:t>
    </w:r>
    <w:r w:rsidRPr="003541E9">
      <w:rPr>
        <w:rFonts w:ascii="Times New Roman" w:hAnsi="Times New Roman"/>
        <w:sz w:val="24"/>
        <w:szCs w:val="24"/>
        <w:lang w:val="en-US"/>
      </w:rPr>
      <w:t>06</w:t>
    </w:r>
    <w:r w:rsidRPr="003541E9">
      <w:rPr>
        <w:rFonts w:ascii="Times New Roman" w:hAnsi="Times New Roman"/>
        <w:sz w:val="24"/>
        <w:szCs w:val="24"/>
      </w:rPr>
      <w:t>/pdf/</w:t>
    </w:r>
    <w:r w:rsidRPr="003541E9">
      <w:rPr>
        <w:rFonts w:ascii="Times New Roman" w:hAnsi="Times New Roman"/>
        <w:sz w:val="24"/>
        <w:szCs w:val="24"/>
        <w:lang w:val="en-US"/>
      </w:rPr>
      <w:t>3</w:t>
    </w:r>
    <w:r>
      <w:rPr>
        <w:rFonts w:ascii="Times New Roman" w:hAnsi="Times New Roman"/>
        <w:sz w:val="24"/>
        <w:szCs w:val="24"/>
        <w:lang w:val="en-US"/>
      </w:rPr>
      <w:t>8</w:t>
    </w:r>
    <w:r w:rsidRPr="003541E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9B7" w:rsidRDefault="003A29B7">
      <w:r>
        <w:separator/>
      </w:r>
    </w:p>
  </w:footnote>
  <w:footnote w:type="continuationSeparator" w:id="1">
    <w:p w:rsidR="003A29B7" w:rsidRDefault="003A2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B7" w:rsidRDefault="003A29B7" w:rsidP="000B3E1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29B7" w:rsidRDefault="003A29B7" w:rsidP="001138E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B7" w:rsidRPr="001138E9" w:rsidRDefault="003A29B7" w:rsidP="000B3E1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138E9">
      <w:rPr>
        <w:rStyle w:val="PageNumber"/>
        <w:rFonts w:ascii="Times New Roman" w:hAnsi="Times New Roman"/>
        <w:sz w:val="28"/>
        <w:szCs w:val="28"/>
      </w:rPr>
      <w:fldChar w:fldCharType="begin"/>
    </w:r>
    <w:r w:rsidRPr="001138E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138E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1138E9">
      <w:rPr>
        <w:rStyle w:val="PageNumber"/>
        <w:rFonts w:ascii="Times New Roman" w:hAnsi="Times New Roman"/>
        <w:sz w:val="28"/>
        <w:szCs w:val="28"/>
      </w:rPr>
      <w:fldChar w:fldCharType="end"/>
    </w:r>
  </w:p>
  <w:p w:rsidR="003A29B7" w:rsidRDefault="003A29B7" w:rsidP="001138E9">
    <w:pPr>
      <w:pStyle w:val="Header"/>
      <w:ind w:right="360"/>
    </w:pPr>
    <w:r w:rsidRPr="007C7ADA">
      <w:rPr>
        <w:rFonts w:ascii="Times New Roman" w:hAnsi="Times New Roman"/>
        <w:sz w:val="24"/>
        <w:szCs w:val="24"/>
      </w:rPr>
      <w:t>Научный журнал КубГАУ, №</w:t>
    </w:r>
    <w:r w:rsidRPr="007C7ADA">
      <w:rPr>
        <w:rFonts w:ascii="Times New Roman" w:hAnsi="Times New Roman"/>
        <w:sz w:val="24"/>
        <w:szCs w:val="24"/>
        <w:lang w:val="en-US"/>
      </w:rPr>
      <w:t>90</w:t>
    </w:r>
    <w:r w:rsidRPr="007C7ADA">
      <w:rPr>
        <w:rFonts w:ascii="Times New Roman" w:hAnsi="Times New Roman"/>
        <w:sz w:val="24"/>
        <w:szCs w:val="24"/>
      </w:rPr>
      <w:t>(</w:t>
    </w:r>
    <w:r w:rsidRPr="007C7ADA">
      <w:rPr>
        <w:rFonts w:ascii="Times New Roman" w:hAnsi="Times New Roman"/>
        <w:sz w:val="24"/>
        <w:szCs w:val="24"/>
        <w:lang w:val="en-US"/>
      </w:rPr>
      <w:t>06</w:t>
    </w:r>
    <w:r w:rsidRPr="007C7ADA">
      <w:rPr>
        <w:rFonts w:ascii="Times New Roman" w:hAnsi="Times New Roman"/>
        <w:sz w:val="24"/>
        <w:szCs w:val="24"/>
      </w:rPr>
      <w:t>), 201</w:t>
    </w:r>
    <w:r w:rsidRPr="007C7ADA">
      <w:rPr>
        <w:rFonts w:ascii="Times New Roman" w:hAnsi="Times New Roman"/>
        <w:sz w:val="24"/>
        <w:szCs w:val="24"/>
        <w:lang w:val="en-US"/>
      </w:rPr>
      <w:t>3</w:t>
    </w:r>
    <w:r w:rsidRPr="007C7AD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6C8"/>
    <w:multiLevelType w:val="hybridMultilevel"/>
    <w:tmpl w:val="64CA3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781374"/>
    <w:multiLevelType w:val="hybridMultilevel"/>
    <w:tmpl w:val="DCC656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F7028D6"/>
    <w:multiLevelType w:val="hybridMultilevel"/>
    <w:tmpl w:val="C12AF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2DB5398"/>
    <w:multiLevelType w:val="hybridMultilevel"/>
    <w:tmpl w:val="FA424EE4"/>
    <w:lvl w:ilvl="0" w:tplc="449228D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010"/>
    <w:rsid w:val="00067564"/>
    <w:rsid w:val="0008098B"/>
    <w:rsid w:val="000A415C"/>
    <w:rsid w:val="000B3E15"/>
    <w:rsid w:val="000C10CC"/>
    <w:rsid w:val="001138E9"/>
    <w:rsid w:val="001A5390"/>
    <w:rsid w:val="001D7010"/>
    <w:rsid w:val="00232F0C"/>
    <w:rsid w:val="002C6649"/>
    <w:rsid w:val="002D69E1"/>
    <w:rsid w:val="003541E9"/>
    <w:rsid w:val="003766CB"/>
    <w:rsid w:val="0038508C"/>
    <w:rsid w:val="003921AF"/>
    <w:rsid w:val="003A29B7"/>
    <w:rsid w:val="003D707C"/>
    <w:rsid w:val="00433A16"/>
    <w:rsid w:val="00435080"/>
    <w:rsid w:val="00435E56"/>
    <w:rsid w:val="00492F58"/>
    <w:rsid w:val="004D1788"/>
    <w:rsid w:val="004E6029"/>
    <w:rsid w:val="00502654"/>
    <w:rsid w:val="00534FF9"/>
    <w:rsid w:val="00684355"/>
    <w:rsid w:val="006A146F"/>
    <w:rsid w:val="00770D2B"/>
    <w:rsid w:val="00772A7A"/>
    <w:rsid w:val="007C7ADA"/>
    <w:rsid w:val="007F1CBE"/>
    <w:rsid w:val="0080675E"/>
    <w:rsid w:val="00837903"/>
    <w:rsid w:val="00847593"/>
    <w:rsid w:val="00886151"/>
    <w:rsid w:val="008A3CD7"/>
    <w:rsid w:val="008A5719"/>
    <w:rsid w:val="008B07AA"/>
    <w:rsid w:val="00993430"/>
    <w:rsid w:val="009D321B"/>
    <w:rsid w:val="00A56D63"/>
    <w:rsid w:val="00AB6F2B"/>
    <w:rsid w:val="00BF1B02"/>
    <w:rsid w:val="00C172FF"/>
    <w:rsid w:val="00C17E17"/>
    <w:rsid w:val="00C505E5"/>
    <w:rsid w:val="00C56606"/>
    <w:rsid w:val="00C727B6"/>
    <w:rsid w:val="00CE3055"/>
    <w:rsid w:val="00D111BF"/>
    <w:rsid w:val="00DA00E9"/>
    <w:rsid w:val="00E3684C"/>
    <w:rsid w:val="00E93558"/>
    <w:rsid w:val="00EB418D"/>
    <w:rsid w:val="00EB549D"/>
    <w:rsid w:val="00F01E3F"/>
    <w:rsid w:val="00F05C3D"/>
    <w:rsid w:val="00F2062B"/>
    <w:rsid w:val="00F7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1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D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0675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34FF9"/>
    <w:rPr>
      <w:rFonts w:cs="Times New Roman"/>
      <w:color w:val="0000FF"/>
      <w:u w:val="singl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1A5390"/>
    <w:rPr>
      <w:rFonts w:ascii="Times New Roman" w:hAnsi="Times New Roman" w:cs="Times New Roman"/>
      <w:spacing w:val="-5"/>
      <w:sz w:val="29"/>
      <w:szCs w:val="29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1A5390"/>
    <w:pPr>
      <w:widowControl w:val="0"/>
      <w:shd w:val="clear" w:color="auto" w:fill="FFFFFF"/>
      <w:spacing w:after="0" w:line="545" w:lineRule="exact"/>
      <w:ind w:firstLine="820"/>
      <w:jc w:val="both"/>
    </w:pPr>
    <w:rPr>
      <w:rFonts w:ascii="Times New Roman" w:eastAsia="Times New Roman" w:hAnsi="Times New Roman"/>
      <w:spacing w:val="-5"/>
      <w:sz w:val="29"/>
      <w:szCs w:val="29"/>
    </w:rPr>
  </w:style>
  <w:style w:type="character" w:customStyle="1" w:styleId="0pt">
    <w:name w:val="Основной текст + Интервал 0 pt"/>
    <w:basedOn w:val="a"/>
    <w:uiPriority w:val="99"/>
    <w:rsid w:val="001A5390"/>
    <w:rPr>
      <w:color w:val="000000"/>
      <w:spacing w:val="-3"/>
      <w:w w:val="100"/>
      <w:position w:val="0"/>
      <w:u w:val="none"/>
      <w:lang w:val="ru-RU"/>
    </w:rPr>
  </w:style>
  <w:style w:type="paragraph" w:styleId="Header">
    <w:name w:val="header"/>
    <w:basedOn w:val="Normal"/>
    <w:link w:val="HeaderChar"/>
    <w:uiPriority w:val="99"/>
    <w:rsid w:val="001138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A0B"/>
    <w:rPr>
      <w:lang w:eastAsia="en-US"/>
    </w:rPr>
  </w:style>
  <w:style w:type="paragraph" w:styleId="Footer">
    <w:name w:val="footer"/>
    <w:basedOn w:val="Normal"/>
    <w:link w:val="FooterChar"/>
    <w:uiPriority w:val="99"/>
    <w:rsid w:val="001138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1A0B"/>
    <w:rPr>
      <w:lang w:eastAsia="en-US"/>
    </w:rPr>
  </w:style>
  <w:style w:type="character" w:styleId="PageNumber">
    <w:name w:val="page number"/>
    <w:basedOn w:val="DefaultParagraphFont"/>
    <w:uiPriority w:val="99"/>
    <w:rsid w:val="001138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zor_sport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nzor_sport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15</Pages>
  <Words>3530</Words>
  <Characters>20123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Анзор</dc:creator>
  <cp:keywords/>
  <dc:description/>
  <cp:lastModifiedBy>admin</cp:lastModifiedBy>
  <cp:revision>26</cp:revision>
  <dcterms:created xsi:type="dcterms:W3CDTF">2013-05-23T07:44:00Z</dcterms:created>
  <dcterms:modified xsi:type="dcterms:W3CDTF">2013-06-25T09:17:00Z</dcterms:modified>
</cp:coreProperties>
</file>