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330B59" w:rsidRPr="006B0A19" w:rsidTr="006B0A19">
        <w:tc>
          <w:tcPr>
            <w:tcW w:w="4643" w:type="dxa"/>
          </w:tcPr>
          <w:p w:rsidR="00330B59" w:rsidRPr="006B0A19" w:rsidRDefault="00330B59" w:rsidP="006B0A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0A19">
              <w:rPr>
                <w:rFonts w:ascii="Times New Roman" w:hAnsi="Times New Roman"/>
                <w:sz w:val="20"/>
                <w:szCs w:val="20"/>
              </w:rPr>
              <w:t>УДК 332.025.13</w:t>
            </w:r>
          </w:p>
        </w:tc>
        <w:tc>
          <w:tcPr>
            <w:tcW w:w="4643" w:type="dxa"/>
          </w:tcPr>
          <w:p w:rsidR="00330B59" w:rsidRPr="006B0A19" w:rsidRDefault="00330B59" w:rsidP="006B0A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0A19">
              <w:rPr>
                <w:rFonts w:ascii="Times New Roman" w:hAnsi="Times New Roman"/>
                <w:sz w:val="20"/>
                <w:szCs w:val="20"/>
              </w:rPr>
              <w:t>UD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6B0A19">
              <w:rPr>
                <w:rFonts w:ascii="Times New Roman" w:hAnsi="Times New Roman"/>
                <w:sz w:val="20"/>
                <w:szCs w:val="20"/>
              </w:rPr>
              <w:t xml:space="preserve"> 332.025.13</w:t>
            </w:r>
          </w:p>
        </w:tc>
      </w:tr>
      <w:tr w:rsidR="00330B59" w:rsidRPr="006B0A19" w:rsidTr="006B0A19">
        <w:tc>
          <w:tcPr>
            <w:tcW w:w="4643" w:type="dxa"/>
          </w:tcPr>
          <w:p w:rsidR="00330B59" w:rsidRPr="006B0A19" w:rsidRDefault="00330B59" w:rsidP="006B0A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330B59" w:rsidRPr="006B0A19" w:rsidRDefault="00330B59" w:rsidP="006B0A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0B59" w:rsidRPr="00427A8C" w:rsidTr="006B0A19">
        <w:tc>
          <w:tcPr>
            <w:tcW w:w="4643" w:type="dxa"/>
          </w:tcPr>
          <w:p w:rsidR="00330B59" w:rsidRPr="006B0A19" w:rsidRDefault="00330B59" w:rsidP="006B0A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B0A19">
              <w:rPr>
                <w:rFonts w:ascii="Times New Roman" w:hAnsi="Times New Roman"/>
                <w:b/>
                <w:sz w:val="20"/>
                <w:szCs w:val="20"/>
              </w:rPr>
              <w:t xml:space="preserve">К ПРОБЛЕМЕ ЭФФЕКТИВНОСТИ УПРАВЛЕНИЯ МУНИЦИПАЛЬНОЙ СОБСТВЕННОСТЬЮ </w:t>
            </w:r>
          </w:p>
        </w:tc>
        <w:tc>
          <w:tcPr>
            <w:tcW w:w="4643" w:type="dxa"/>
          </w:tcPr>
          <w:p w:rsidR="00330B59" w:rsidRPr="006B0A19" w:rsidRDefault="00330B59" w:rsidP="006B0A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TO</w:t>
            </w:r>
            <w:r w:rsidRPr="006B0A1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THE PROBLEM OF EFFICIENT MANAGEMENT OF MUNICIPAL PROPERTY</w:t>
            </w:r>
          </w:p>
        </w:tc>
      </w:tr>
      <w:tr w:rsidR="00330B59" w:rsidRPr="00427A8C" w:rsidTr="006B0A19">
        <w:tc>
          <w:tcPr>
            <w:tcW w:w="4643" w:type="dxa"/>
          </w:tcPr>
          <w:p w:rsidR="00330B59" w:rsidRPr="006B0A19" w:rsidRDefault="00330B59" w:rsidP="006B0A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30B59" w:rsidRPr="006B0A19" w:rsidRDefault="00330B59" w:rsidP="006B0A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30B59" w:rsidRPr="006B0A19" w:rsidTr="006B0A19">
        <w:tc>
          <w:tcPr>
            <w:tcW w:w="4643" w:type="dxa"/>
          </w:tcPr>
          <w:p w:rsidR="00330B59" w:rsidRPr="006B0A19" w:rsidRDefault="00330B59" w:rsidP="006B0A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0A19">
              <w:rPr>
                <w:rFonts w:ascii="Times New Roman" w:hAnsi="Times New Roman"/>
                <w:sz w:val="20"/>
                <w:szCs w:val="20"/>
              </w:rPr>
              <w:t>Ялялиева Татьяна Валерьевна</w:t>
            </w:r>
          </w:p>
        </w:tc>
        <w:tc>
          <w:tcPr>
            <w:tcW w:w="4643" w:type="dxa"/>
          </w:tcPr>
          <w:p w:rsidR="00330B59" w:rsidRPr="006B0A19" w:rsidRDefault="00330B59" w:rsidP="006B0A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0A19">
              <w:rPr>
                <w:rFonts w:ascii="Times New Roman" w:hAnsi="Times New Roman"/>
                <w:sz w:val="20"/>
                <w:szCs w:val="20"/>
                <w:lang w:val="en-US"/>
              </w:rPr>
              <w:t>Yalyalieva Tatiana Valerievna</w:t>
            </w:r>
          </w:p>
        </w:tc>
      </w:tr>
      <w:tr w:rsidR="00330B59" w:rsidRPr="00427A8C" w:rsidTr="006B0A19">
        <w:tc>
          <w:tcPr>
            <w:tcW w:w="4643" w:type="dxa"/>
          </w:tcPr>
          <w:p w:rsidR="00330B59" w:rsidRPr="006B0A19" w:rsidRDefault="00330B59" w:rsidP="006B0A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0A19">
              <w:rPr>
                <w:rFonts w:ascii="Times New Roman" w:hAnsi="Times New Roman"/>
                <w:sz w:val="20"/>
                <w:szCs w:val="20"/>
              </w:rPr>
              <w:t>к.э.н., доцент</w:t>
            </w:r>
          </w:p>
        </w:tc>
        <w:tc>
          <w:tcPr>
            <w:tcW w:w="4643" w:type="dxa"/>
          </w:tcPr>
          <w:p w:rsidR="00330B59" w:rsidRPr="006B0A19" w:rsidRDefault="00330B59" w:rsidP="006B0A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0A19">
              <w:rPr>
                <w:rFonts w:ascii="Times New Roman" w:hAnsi="Times New Roman"/>
                <w:sz w:val="20"/>
                <w:szCs w:val="20"/>
                <w:lang w:val="en-US"/>
              </w:rPr>
              <w:t>Cand.Econ.Sci., associate professor</w:t>
            </w:r>
          </w:p>
        </w:tc>
      </w:tr>
      <w:tr w:rsidR="00330B59" w:rsidRPr="00427A8C" w:rsidTr="006B0A19">
        <w:tc>
          <w:tcPr>
            <w:tcW w:w="4643" w:type="dxa"/>
          </w:tcPr>
          <w:p w:rsidR="00330B59" w:rsidRPr="006B0A19" w:rsidRDefault="00330B59" w:rsidP="006B0A1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6B0A19">
              <w:rPr>
                <w:rFonts w:ascii="Times New Roman" w:hAnsi="Times New Roman"/>
                <w:i/>
                <w:sz w:val="20"/>
                <w:szCs w:val="20"/>
              </w:rPr>
              <w:t>Поволжский государственный технологический университет</w:t>
            </w:r>
            <w:r w:rsidRPr="00427A8C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6B0A19">
              <w:rPr>
                <w:rFonts w:ascii="Times New Roman" w:hAnsi="Times New Roman"/>
                <w:i/>
                <w:sz w:val="20"/>
                <w:szCs w:val="20"/>
              </w:rPr>
              <w:t xml:space="preserve"> Йошкар-Ола, Россия</w:t>
            </w:r>
          </w:p>
        </w:tc>
        <w:tc>
          <w:tcPr>
            <w:tcW w:w="4643" w:type="dxa"/>
          </w:tcPr>
          <w:p w:rsidR="00330B59" w:rsidRPr="006B0A19" w:rsidRDefault="00330B59" w:rsidP="006B0A1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B0A1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Volga State University of Technology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r w:rsidRPr="006B0A1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Yoshkar</w:t>
            </w:r>
            <w:r w:rsidRPr="00427A8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-</w:t>
            </w:r>
            <w:r w:rsidRPr="006B0A1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Ola, </w:t>
            </w:r>
            <w:smartTag w:uri="urn:schemas-microsoft-com:office:smarttags" w:element="metricconverter">
              <w:smartTagPr>
                <w:attr w:name="ProductID" w:val="30 In"/>
              </w:smartTagPr>
              <w:r w:rsidRPr="006B0A19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Russia</w:t>
              </w:r>
            </w:smartTag>
          </w:p>
        </w:tc>
      </w:tr>
      <w:tr w:rsidR="00330B59" w:rsidRPr="00427A8C" w:rsidTr="006B0A19">
        <w:tc>
          <w:tcPr>
            <w:tcW w:w="4643" w:type="dxa"/>
          </w:tcPr>
          <w:p w:rsidR="00330B59" w:rsidRPr="00427A8C" w:rsidRDefault="00330B59" w:rsidP="006B0A1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30B59" w:rsidRPr="006B0A19" w:rsidRDefault="00330B59" w:rsidP="006B0A1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330B59" w:rsidRPr="00427A8C" w:rsidTr="006B0A19">
        <w:tc>
          <w:tcPr>
            <w:tcW w:w="4643" w:type="dxa"/>
          </w:tcPr>
          <w:p w:rsidR="00330B59" w:rsidRPr="00427A8C" w:rsidRDefault="00330B59" w:rsidP="006B0A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0A19">
              <w:rPr>
                <w:rFonts w:ascii="Times New Roman" w:hAnsi="Times New Roman"/>
                <w:sz w:val="20"/>
                <w:szCs w:val="20"/>
              </w:rPr>
              <w:t>Проблемы неэффективного управления, как показывает опыт развитых стран, можно кардинально решить путем делегирования полномочий  по управлению водоснабжением и водоотведением частному сектору. Учитывая преимущества концессии как формы государственно-частного партнерства, можно предположить, что внедрение концессионного соглашения приведет к решению больши</w:t>
            </w:r>
            <w:r>
              <w:rPr>
                <w:rFonts w:ascii="Times New Roman" w:hAnsi="Times New Roman"/>
                <w:sz w:val="20"/>
                <w:szCs w:val="20"/>
              </w:rPr>
              <w:t>нство вышеперечисленных проблем</w:t>
            </w:r>
          </w:p>
        </w:tc>
        <w:tc>
          <w:tcPr>
            <w:tcW w:w="4643" w:type="dxa"/>
          </w:tcPr>
          <w:p w:rsidR="00330B59" w:rsidRPr="006B0A19" w:rsidRDefault="00330B59" w:rsidP="006B0A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0A19">
              <w:rPr>
                <w:rFonts w:ascii="Times New Roman" w:hAnsi="Times New Roman"/>
                <w:sz w:val="20"/>
                <w:szCs w:val="20"/>
                <w:lang w:val="en-US"/>
              </w:rPr>
              <w:t>The experiences of highly-developed countries show that the problem of inefficient management can be completely solved by delegating the powers in respect of water supply an</w:t>
            </w:r>
            <w:bookmarkStart w:id="0" w:name="_GoBack"/>
            <w:bookmarkEnd w:id="0"/>
            <w:r w:rsidRPr="006B0A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 waste water management to the private sector. Considering advantages of a concession as a form of public-private partnership, it can be supposed that implementation of a concession agreement will lead to resolution of most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 the problems mentioned above</w:t>
            </w:r>
          </w:p>
        </w:tc>
      </w:tr>
      <w:tr w:rsidR="00330B59" w:rsidRPr="00427A8C" w:rsidTr="006B0A19">
        <w:tc>
          <w:tcPr>
            <w:tcW w:w="4643" w:type="dxa"/>
          </w:tcPr>
          <w:p w:rsidR="00330B59" w:rsidRPr="006B0A19" w:rsidRDefault="00330B59" w:rsidP="006B0A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30B59" w:rsidRPr="006B0A19" w:rsidRDefault="00330B59" w:rsidP="006B0A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30B59" w:rsidRPr="00427A8C" w:rsidTr="006B0A19">
        <w:tc>
          <w:tcPr>
            <w:tcW w:w="4643" w:type="dxa"/>
          </w:tcPr>
          <w:p w:rsidR="00330B59" w:rsidRPr="006B0A19" w:rsidRDefault="00330B59" w:rsidP="006B0A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0A19">
              <w:rPr>
                <w:rFonts w:ascii="Times New Roman" w:hAnsi="Times New Roman"/>
                <w:sz w:val="20"/>
                <w:szCs w:val="20"/>
              </w:rPr>
              <w:t>Ключевые слова: ЭФФЕКТИВНОСТЬ, УПРАВЛЕНИЕ, МУНИЦИПАЛЬНАЯ СОБСТВЕННОСТЬ, КОНТРОЛЬ, КАЧЕСТВО, ВОДОСНАБЖЕНИЕ</w:t>
            </w:r>
          </w:p>
        </w:tc>
        <w:tc>
          <w:tcPr>
            <w:tcW w:w="4643" w:type="dxa"/>
          </w:tcPr>
          <w:p w:rsidR="00330B59" w:rsidRPr="006B0A19" w:rsidRDefault="00330B59" w:rsidP="006B0A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Key</w:t>
            </w:r>
            <w:r w:rsidRPr="006B0A19">
              <w:rPr>
                <w:rFonts w:ascii="Times New Roman" w:hAnsi="Times New Roman"/>
                <w:sz w:val="20"/>
                <w:szCs w:val="20"/>
                <w:lang w:val="en-US"/>
              </w:rPr>
              <w:t>words: EFFICIENCY, MANAGEMENT, MUNICIPAL PROPERTY, CONTROL, QUALITY, WATER SUPPLY</w:t>
            </w:r>
          </w:p>
        </w:tc>
      </w:tr>
    </w:tbl>
    <w:p w:rsidR="00330B59" w:rsidRPr="00C35D32" w:rsidRDefault="00330B59" w:rsidP="00E03FD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30B59" w:rsidRDefault="00330B59" w:rsidP="00E03FD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Эффективность управленческих решений в государственном и муниципальном секторе в существенной степени зави</w:t>
      </w:r>
      <w:r>
        <w:rPr>
          <w:rFonts w:ascii="Times New Roman" w:hAnsi="Times New Roman"/>
          <w:sz w:val="28"/>
          <w:szCs w:val="28"/>
        </w:rPr>
        <w:softHyphen/>
        <w:t>сит от их качества. Качественные управленческие решения должны иметь со</w:t>
      </w:r>
      <w:r>
        <w:rPr>
          <w:rFonts w:ascii="Times New Roman" w:hAnsi="Times New Roman"/>
          <w:sz w:val="28"/>
          <w:szCs w:val="28"/>
        </w:rPr>
        <w:softHyphen/>
        <w:t>вокупность свойств, которые обеспечивали бы их способность выполнять свое на</w:t>
      </w:r>
      <w:r>
        <w:rPr>
          <w:rFonts w:ascii="Times New Roman" w:hAnsi="Times New Roman"/>
          <w:sz w:val="28"/>
          <w:szCs w:val="28"/>
        </w:rPr>
        <w:softHyphen/>
        <w:t xml:space="preserve">значение в процессе управления. </w:t>
      </w:r>
    </w:p>
    <w:p w:rsidR="00330B59" w:rsidRDefault="00330B59" w:rsidP="00E03FD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того чтобы оценить эффективность деятельности органов местного самоуправления можно воспользоваться таким показателем как доля  неналоговых поступлений в местный бюджет от управления муниципальной собственностью. Таким образом, если сравнить 5 последних лет, то в</w:t>
      </w:r>
      <w:r w:rsidRPr="006465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процентном соотношении, прослеживается уменьшение неналоговых поступлений в бюджет. Данное явление можно оценить как неэффективное управление объ</w:t>
      </w:r>
      <w:r>
        <w:rPr>
          <w:rFonts w:ascii="Times New Roman" w:hAnsi="Times New Roman"/>
          <w:sz w:val="28"/>
          <w:szCs w:val="28"/>
        </w:rPr>
        <w:softHyphen/>
        <w:t xml:space="preserve">ектами муниципальной собственности муниципального образования. Далее приведем </w:t>
      </w:r>
      <w:r w:rsidRPr="0064653C">
        <w:rPr>
          <w:rFonts w:ascii="Times New Roman" w:hAnsi="Times New Roman"/>
          <w:sz w:val="28"/>
          <w:szCs w:val="28"/>
        </w:rPr>
        <w:t>ряд проблем управления</w:t>
      </w:r>
      <w:r>
        <w:rPr>
          <w:rFonts w:ascii="Times New Roman" w:hAnsi="Times New Roman"/>
          <w:sz w:val="28"/>
          <w:szCs w:val="28"/>
        </w:rPr>
        <w:t xml:space="preserve"> муниципальным имуществом присущие практически всем муниципальным образованиям в РФ, в частности Сернурскому району Республики Марий Эл.</w:t>
      </w:r>
      <w:r w:rsidRPr="00C07B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34BD7">
        <w:rPr>
          <w:rFonts w:ascii="Times New Roman" w:hAnsi="Times New Roman"/>
          <w:color w:val="000000"/>
          <w:sz w:val="28"/>
          <w:szCs w:val="28"/>
        </w:rPr>
        <w:t>Муниципальное унитарное предприятие «Сернурводоканал» осуществляет эксплуатацию водопроводно-канализационного хозяйства, оказание услуг по подаче воды, приемке и очи</w:t>
      </w:r>
      <w:r>
        <w:rPr>
          <w:rFonts w:ascii="Times New Roman" w:hAnsi="Times New Roman"/>
          <w:color w:val="000000"/>
          <w:sz w:val="28"/>
          <w:szCs w:val="28"/>
        </w:rPr>
        <w:softHyphen/>
      </w:r>
      <w:r w:rsidRPr="00C34BD7">
        <w:rPr>
          <w:rFonts w:ascii="Times New Roman" w:hAnsi="Times New Roman"/>
          <w:color w:val="000000"/>
          <w:sz w:val="28"/>
          <w:szCs w:val="28"/>
        </w:rPr>
        <w:t>стке сточных вод по населению, промышленным предприятиям и объектам социальной сферы.</w:t>
      </w:r>
    </w:p>
    <w:p w:rsidR="00330B59" w:rsidRPr="0064653C" w:rsidRDefault="00330B59" w:rsidP="0064653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653C">
        <w:rPr>
          <w:rFonts w:ascii="Times New Roman" w:hAnsi="Times New Roman"/>
          <w:sz w:val="28"/>
          <w:szCs w:val="28"/>
        </w:rPr>
        <w:t>Оценивая эффективность управления муниципальным имуществом не</w:t>
      </w:r>
      <w:r w:rsidRPr="0064653C">
        <w:rPr>
          <w:rFonts w:ascii="Times New Roman" w:hAnsi="Times New Roman"/>
          <w:sz w:val="28"/>
          <w:szCs w:val="28"/>
        </w:rPr>
        <w:softHyphen/>
        <w:t>об</w:t>
      </w:r>
      <w:r w:rsidRPr="0064653C">
        <w:rPr>
          <w:rFonts w:ascii="Times New Roman" w:hAnsi="Times New Roman"/>
          <w:sz w:val="28"/>
          <w:szCs w:val="28"/>
        </w:rPr>
        <w:softHyphen/>
        <w:t>ходимо также рассмотреть основные экономические показатели муници</w:t>
      </w:r>
      <w:r w:rsidRPr="0064653C">
        <w:rPr>
          <w:rFonts w:ascii="Times New Roman" w:hAnsi="Times New Roman"/>
          <w:sz w:val="28"/>
          <w:szCs w:val="28"/>
        </w:rPr>
        <w:softHyphen/>
        <w:t>паль</w:t>
      </w:r>
      <w:r w:rsidRPr="0064653C">
        <w:rPr>
          <w:rFonts w:ascii="Times New Roman" w:hAnsi="Times New Roman"/>
          <w:sz w:val="28"/>
          <w:szCs w:val="28"/>
        </w:rPr>
        <w:softHyphen/>
        <w:t>ных предприятий Сернурского района. К 2012 году предприятие убыточно, но его деятельность необ</w:t>
      </w:r>
      <w:r w:rsidRPr="0064653C">
        <w:rPr>
          <w:rFonts w:ascii="Times New Roman" w:hAnsi="Times New Roman"/>
          <w:sz w:val="28"/>
          <w:szCs w:val="28"/>
        </w:rPr>
        <w:softHyphen/>
        <w:t xml:space="preserve">ходима для нормального функционирования муниципального образования. На балансе предприятия находится 28 скважин, из них 20 действующих, 8 резервных, размещенных на 16 водозаборах по территории всего района. Предприятие имеет </w:t>
      </w:r>
      <w:smartTag w:uri="urn:schemas-microsoft-com:office:smarttags" w:element="metricconverter">
        <w:smartTagPr>
          <w:attr w:name="ProductID" w:val="30 In"/>
        </w:smartTagPr>
        <w:r w:rsidRPr="0064653C">
          <w:rPr>
            <w:rFonts w:ascii="Times New Roman" w:hAnsi="Times New Roman"/>
            <w:sz w:val="28"/>
            <w:szCs w:val="28"/>
          </w:rPr>
          <w:t>52,7 км</w:t>
        </w:r>
      </w:smartTag>
      <w:r w:rsidRPr="0064653C">
        <w:rPr>
          <w:rFonts w:ascii="Times New Roman" w:hAnsi="Times New Roman"/>
          <w:sz w:val="28"/>
          <w:szCs w:val="28"/>
        </w:rPr>
        <w:t>. водопроводных сетей, из них нуж</w:t>
      </w:r>
      <w:r w:rsidRPr="0064653C">
        <w:rPr>
          <w:rFonts w:ascii="Times New Roman" w:hAnsi="Times New Roman"/>
          <w:sz w:val="28"/>
          <w:szCs w:val="28"/>
        </w:rPr>
        <w:softHyphen/>
        <w:t xml:space="preserve">дается в замене </w:t>
      </w:r>
      <w:smartTag w:uri="urn:schemas-microsoft-com:office:smarttags" w:element="metricconverter">
        <w:smartTagPr>
          <w:attr w:name="ProductID" w:val="30 In"/>
        </w:smartTagPr>
        <w:r w:rsidRPr="0064653C">
          <w:rPr>
            <w:rFonts w:ascii="Times New Roman" w:hAnsi="Times New Roman"/>
            <w:sz w:val="28"/>
            <w:szCs w:val="28"/>
          </w:rPr>
          <w:t>29,6 км</w:t>
        </w:r>
      </w:smartTag>
      <w:r w:rsidRPr="0064653C">
        <w:rPr>
          <w:rFonts w:ascii="Times New Roman" w:hAnsi="Times New Roman"/>
          <w:sz w:val="28"/>
          <w:szCs w:val="28"/>
        </w:rPr>
        <w:t>., износ составляет 56 %. Также на балансе предпри</w:t>
      </w:r>
      <w:r w:rsidRPr="0064653C">
        <w:rPr>
          <w:rFonts w:ascii="Times New Roman" w:hAnsi="Times New Roman"/>
          <w:sz w:val="28"/>
          <w:szCs w:val="28"/>
        </w:rPr>
        <w:softHyphen/>
        <w:t>ятия имеется 6 биологических очистных сооружений, с проектной мощно</w:t>
      </w:r>
      <w:r w:rsidRPr="0064653C">
        <w:rPr>
          <w:rFonts w:ascii="Times New Roman" w:hAnsi="Times New Roman"/>
          <w:sz w:val="28"/>
          <w:szCs w:val="28"/>
        </w:rPr>
        <w:softHyphen/>
        <w:t xml:space="preserve">стью 3,9 тыс.м3 в сутки; 2 канализационных насосных станций, </w:t>
      </w:r>
      <w:smartTag w:uri="urn:schemas-microsoft-com:office:smarttags" w:element="metricconverter">
        <w:smartTagPr>
          <w:attr w:name="ProductID" w:val="30 In"/>
        </w:smartTagPr>
        <w:r w:rsidRPr="0064653C">
          <w:rPr>
            <w:rFonts w:ascii="Times New Roman" w:hAnsi="Times New Roman"/>
            <w:sz w:val="28"/>
            <w:szCs w:val="28"/>
          </w:rPr>
          <w:t>3,9 км</w:t>
        </w:r>
      </w:smartTag>
      <w:r w:rsidRPr="0064653C">
        <w:rPr>
          <w:rFonts w:ascii="Times New Roman" w:hAnsi="Times New Roman"/>
          <w:sz w:val="28"/>
          <w:szCs w:val="28"/>
        </w:rPr>
        <w:t xml:space="preserve"> глав</w:t>
      </w:r>
      <w:r w:rsidRPr="0064653C">
        <w:rPr>
          <w:rFonts w:ascii="Times New Roman" w:hAnsi="Times New Roman"/>
          <w:sz w:val="28"/>
          <w:szCs w:val="28"/>
        </w:rPr>
        <w:softHyphen/>
        <w:t xml:space="preserve">ных коллекторов и </w:t>
      </w:r>
      <w:smartTag w:uri="urn:schemas-microsoft-com:office:smarttags" w:element="metricconverter">
        <w:smartTagPr>
          <w:attr w:name="ProductID" w:val="30 In"/>
        </w:smartTagPr>
        <w:r w:rsidRPr="0064653C">
          <w:rPr>
            <w:rFonts w:ascii="Times New Roman" w:hAnsi="Times New Roman"/>
            <w:sz w:val="28"/>
            <w:szCs w:val="28"/>
          </w:rPr>
          <w:t>34,6 км</w:t>
        </w:r>
      </w:smartTag>
      <w:r w:rsidRPr="0064653C">
        <w:rPr>
          <w:rFonts w:ascii="Times New Roman" w:hAnsi="Times New Roman"/>
          <w:sz w:val="28"/>
          <w:szCs w:val="28"/>
        </w:rPr>
        <w:t xml:space="preserve">. уличной канализационной сети, из которых </w:t>
      </w:r>
      <w:smartTag w:uri="urn:schemas-microsoft-com:office:smarttags" w:element="metricconverter">
        <w:smartTagPr>
          <w:attr w:name="ProductID" w:val="30 In"/>
        </w:smartTagPr>
        <w:r w:rsidRPr="0064653C">
          <w:rPr>
            <w:rFonts w:ascii="Times New Roman" w:hAnsi="Times New Roman"/>
            <w:sz w:val="28"/>
            <w:szCs w:val="28"/>
          </w:rPr>
          <w:t>3 км</w:t>
        </w:r>
      </w:smartTag>
      <w:r w:rsidRPr="0064653C">
        <w:rPr>
          <w:rFonts w:ascii="Times New Roman" w:hAnsi="Times New Roman"/>
          <w:sz w:val="28"/>
          <w:szCs w:val="28"/>
        </w:rPr>
        <w:t xml:space="preserve"> нуждаются в замене. Предприятие стабильно снабжает население, предпри</w:t>
      </w:r>
      <w:r w:rsidRPr="0064653C">
        <w:rPr>
          <w:rFonts w:ascii="Times New Roman" w:hAnsi="Times New Roman"/>
          <w:sz w:val="28"/>
          <w:szCs w:val="28"/>
        </w:rPr>
        <w:softHyphen/>
        <w:t>ятия и организации  водой.  Всего за 2012 год реализовано 448 тыс.м3 воды, принято 457 тыс.м3  сточных вод. Основной проблемой предприятия остается морально и физически устаревшая спецтехника, водопроводные сети и ост</w:t>
      </w:r>
      <w:r w:rsidRPr="0064653C">
        <w:rPr>
          <w:rFonts w:ascii="Times New Roman" w:hAnsi="Times New Roman"/>
          <w:sz w:val="28"/>
          <w:szCs w:val="28"/>
        </w:rPr>
        <w:softHyphen/>
        <w:t xml:space="preserve">рейшая необходимость реконструкции очистных сооружений в п. Сернур. </w:t>
      </w:r>
    </w:p>
    <w:p w:rsidR="00330B59" w:rsidRDefault="00330B59" w:rsidP="004A348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653C">
        <w:rPr>
          <w:rFonts w:ascii="Times New Roman" w:hAnsi="Times New Roman"/>
          <w:sz w:val="28"/>
          <w:szCs w:val="28"/>
        </w:rPr>
        <w:t>Муниципальное унитарное предприятие «Сернурводоканал» основано на праве хозяйственного ведения в 2002 году. Основные виды деятельности: эксплуатация водопроводно-канализационного хозяйства, оказание услуг по подаче питьевой воды, приемке и очистке сточных вод от объектов социально- бытовой сферы и жилого фонда, промышленных предприятий.</w:t>
      </w:r>
      <w:r>
        <w:rPr>
          <w:rFonts w:ascii="Times New Roman" w:hAnsi="Times New Roman"/>
          <w:sz w:val="28"/>
          <w:szCs w:val="28"/>
        </w:rPr>
        <w:t xml:space="preserve"> Рассмотрим концессионный механизм для управления объектами муниципальной инфраструктуры, а именно на примере МУП «Сернурводоканал». Преимущество концессии для государства, общества и бизнеса представлены на рис. 1.</w:t>
      </w:r>
    </w:p>
    <w:p w:rsidR="00330B59" w:rsidRPr="0064653C" w:rsidRDefault="00330B59" w:rsidP="0064653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30B59" w:rsidRDefault="00330B59" w:rsidP="0064653C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23738">
        <w:rPr>
          <w:rFonts w:ascii="Times New Roman" w:hAnsi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8pt;height:445.8pt">
            <v:imagedata r:id="rId7" o:title=""/>
          </v:shape>
        </w:pict>
      </w:r>
    </w:p>
    <w:p w:rsidR="00330B59" w:rsidRPr="00E72C64" w:rsidRDefault="00330B59" w:rsidP="0064653C">
      <w:pPr>
        <w:tabs>
          <w:tab w:val="left" w:pos="1740"/>
        </w:tabs>
        <w:jc w:val="center"/>
        <w:rPr>
          <w:rFonts w:ascii="Times New Roman" w:hAnsi="Times New Roman"/>
          <w:sz w:val="28"/>
          <w:szCs w:val="28"/>
        </w:rPr>
      </w:pPr>
      <w:r w:rsidRPr="00E72C64">
        <w:rPr>
          <w:rFonts w:ascii="Times New Roman" w:hAnsi="Times New Roman"/>
          <w:sz w:val="28"/>
          <w:szCs w:val="28"/>
        </w:rPr>
        <w:t>Рис. 1.</w:t>
      </w:r>
      <w:r>
        <w:rPr>
          <w:rFonts w:ascii="Times New Roman" w:hAnsi="Times New Roman"/>
          <w:sz w:val="28"/>
          <w:szCs w:val="28"/>
        </w:rPr>
        <w:t xml:space="preserve"> Основные преимущества концессии как формы государственно-частного партнерства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проблемы качества воды, качества обслуживания населения, нехватки средств для проведения мероприятий по модернизации сетевого хозяйства и основных мощностей предприятий водоснабжения и водоотведения, вопросы экологической угрозы от неудовлетворительной фильтрации стоков не теряют своей актуальности. Традиционно, ввиду социальной значимости и естественно-монопольного характера сектора водоснабжения и водоотведения, предприятия являются государственными или муниципальными. Неэффективность муниципального управления предприятиями данного сектора ярче всего проявляются как раз в существующих методах управления. Неэффективность управления можно объяснить рядом следующих причин: 1. потребители – это практически весь муниципальный район (то есть обслуживаются жилые дома, объекты социально-бытовой сферы, промышленные предприятия); 2. высокий уровень социальной ответственности. 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другой стороны решение проблем накладывает на частного оператора высокие инвестиционные обязательства. К тому же сектор водоснабжения и водоотведения обладает специфическими и технологическими характеристиками. Инвестиции в данную отрасль в большинстве случаев имеют долгосрочный характер. Заключение концессии является одним из оптимальных путей, так как концессионное соглашение представляет собой долгосрочный контракт.</w:t>
      </w:r>
    </w:p>
    <w:p w:rsidR="00330B59" w:rsidRPr="00724C75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отметить еще тот факт, что сектор водоснабжения является наиболее социально чувствительным. Частная компания, работающая в этом секторе, должна быть готова к тому, что придется балансировать на тонкой грани между интересами администрации муниципального района, повышенными требованиями потребителей, а также стремлением к получению максимально возможной прибыли и социальным характером предоставления услуг.</w:t>
      </w:r>
    </w:p>
    <w:p w:rsidR="00330B59" w:rsidRPr="004A3483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Внедрение механизма концессионного соглашения в отрасли водоснабжения и водоотведения направлено на </w:t>
      </w:r>
      <w:r w:rsidRPr="004A3483">
        <w:rPr>
          <w:rFonts w:ascii="Times New Roman" w:hAnsi="Times New Roman"/>
          <w:sz w:val="28"/>
          <w:szCs w:val="28"/>
        </w:rPr>
        <w:t>достижение следующих целей: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охрана здоровья населения и улучшения качества жизни населения путем повышения уровня и качества водоснабжения и водоотведения на территории муниципального образования;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повышение эффективности деятельности организации, которая осуществляет водоснабжение и водоотведение;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снижение негативного воздействия на водные объекты путем повышения качества очистки сточных вод.</w:t>
      </w:r>
    </w:p>
    <w:p w:rsidR="00330B59" w:rsidRPr="004A3483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Реализация концессионного соглашения позволит решить </w:t>
      </w:r>
      <w:r w:rsidRPr="004A3483">
        <w:rPr>
          <w:rFonts w:ascii="Times New Roman" w:hAnsi="Times New Roman"/>
          <w:sz w:val="28"/>
          <w:szCs w:val="28"/>
        </w:rPr>
        <w:t>следующие задачи: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обеспечение бесперебойного и качественного водоснабжения и водоотведения;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реконструкция очистных сооружений, замена водопроводных и канализационных сетей, морально и физически устаревшей спецтехники;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внедрение энергосберегающих технологий и экономное потребление воды;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применение более эффективной формы управления системами водоснабжения и водоотведения, привлечение инвестиций, развитие кадрового потенциала организации.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заключения концессионного соглашения включает в себя: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порядок подготовки проведения конкурса на право заключения концессионного соглашения;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разработка конкурсной документации;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определение критериев конкурса для оценки конкурсных предложений и установление параметров для каждого критерия конкурса;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проведение конкурса;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выявления победителя конкурса;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заключение концессионного соглашения с победителем.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условиями конкурса могут быть установлены следующие критерии, на основе которых осуществляется оценка конкурсных предложений участников конкурса: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временные рамки реконструкции (модернизации) объекта концессионного соглашения;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сроки выхода на установленные и заявленные технико-экономические показатели;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качественные характеристики проектных решений для обеспечения реконструкции (модернизации) объекта.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Концессионное соглашение по результатам конкурса заключается в порядке, предусмотренном в статье 36 Федерального закона РФ от 21.07.2005 г. №115-ФЗ «О концессионных соглашениях» после предоставления обеспечения концессионером исполнения обязательств по концессионному соглашению в соответствии с условиями конкурса концессионного соглашения </w:t>
      </w:r>
      <w:r w:rsidRPr="00C4760C">
        <w:rPr>
          <w:rFonts w:ascii="Times New Roman" w:hAnsi="Times New Roman"/>
          <w:sz w:val="28"/>
          <w:szCs w:val="28"/>
        </w:rPr>
        <w:t>[1]</w:t>
      </w:r>
      <w:r>
        <w:rPr>
          <w:rFonts w:ascii="Times New Roman" w:hAnsi="Times New Roman"/>
          <w:sz w:val="28"/>
          <w:szCs w:val="28"/>
        </w:rPr>
        <w:t>.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обоснования эффективности внедрения механизма концессионного  соглашения в систему муниципального имущества необходимо выполнить оценку экономического эффекта сторон долгосрочного договора: муниципалитета и частного оператора.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 «Методическими рекомендациями по оценке эффективности инвестиционных проектов» эффективность от реализации инвестиционного проекта оценивается в два этапа. Первый этап характеризуется тем, что определяется эффект, который будет получен суммарно при реализации инвестиционного проекта, который включает коммерческий и общественный эффект. На последующем этапе оценивается эффект участников проекта: концессионера и концедента</w:t>
      </w:r>
      <w:r w:rsidRPr="00C4760C">
        <w:rPr>
          <w:rFonts w:ascii="Times New Roman" w:hAnsi="Times New Roman"/>
          <w:sz w:val="28"/>
          <w:szCs w:val="28"/>
        </w:rPr>
        <w:t xml:space="preserve"> [2]</w:t>
      </w:r>
      <w:r>
        <w:rPr>
          <w:rFonts w:ascii="Times New Roman" w:hAnsi="Times New Roman"/>
          <w:sz w:val="28"/>
          <w:szCs w:val="28"/>
        </w:rPr>
        <w:t>.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Инвестиционный проект реконструкции объектов водоснабжения и водоотведения, осуществляемый на основе механизма концессии, в целом не рассчитывается для  получения коммерческого эффекта по проекту - в обратном случае частный инвестор может осуществить его самостоятельно. В данном случае проект направлен  на получение социально-экономического эффекта со снижением бюджетных расходов при  привлечении частных инвестиций </w:t>
      </w:r>
      <w:r w:rsidRPr="0064653C">
        <w:rPr>
          <w:rFonts w:ascii="Times New Roman" w:hAnsi="Times New Roman"/>
          <w:sz w:val="28"/>
          <w:szCs w:val="28"/>
        </w:rPr>
        <w:t>[3]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 социально-экономический должен учитывать последствия реализации проекта для общества в целом и для бюджета муниципального образования в том числе. Экономический эффект для концессионера и концедента стоит определять только в том случае, если значение общественного эффекта оценивается как положительное и решение о реализации проекта на основе концессионного соглашения принято. Эффект частного оператора в общем виде является следствием оплаты потребителями услуг, оказываемых в сфере водоснабжения и водоотведения.  Разница расчета эффективности представлена в таблице 1.</w:t>
      </w:r>
    </w:p>
    <w:p w:rsidR="00330B59" w:rsidRDefault="00330B59" w:rsidP="003E5F51">
      <w:pPr>
        <w:spacing w:after="0" w:line="36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p w:rsidR="00330B59" w:rsidRDefault="00330B59" w:rsidP="003E5F51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эффективности для концессионера и концендента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24"/>
        <w:gridCol w:w="5162"/>
      </w:tblGrid>
      <w:tr w:rsidR="00330B59" w:rsidRPr="0097370C" w:rsidTr="0097370C">
        <w:tc>
          <w:tcPr>
            <w:tcW w:w="4361" w:type="dxa"/>
          </w:tcPr>
          <w:p w:rsidR="00330B59" w:rsidRPr="0097370C" w:rsidRDefault="00330B59" w:rsidP="0097370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70C">
              <w:rPr>
                <w:rFonts w:ascii="Times New Roman" w:hAnsi="Times New Roman"/>
                <w:bCs/>
                <w:sz w:val="24"/>
                <w:szCs w:val="24"/>
              </w:rPr>
              <w:t xml:space="preserve">Бюджетный эффект при финансировании проекта за счет денежных средств </w:t>
            </w:r>
          </w:p>
          <w:p w:rsidR="00330B59" w:rsidRPr="0097370C" w:rsidRDefault="00330B59" w:rsidP="0097370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5" w:type="dxa"/>
          </w:tcPr>
          <w:p w:rsidR="00330B59" w:rsidRPr="0097370C" w:rsidRDefault="00330B59" w:rsidP="0097370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70C">
              <w:rPr>
                <w:rFonts w:ascii="Times New Roman" w:hAnsi="Times New Roman"/>
                <w:bCs/>
                <w:sz w:val="24"/>
                <w:szCs w:val="24"/>
              </w:rPr>
              <w:t xml:space="preserve">Бюджетный эффект при заключении концессионного соглашения </w:t>
            </w:r>
          </w:p>
          <w:p w:rsidR="00330B59" w:rsidRPr="0097370C" w:rsidRDefault="00330B59" w:rsidP="0097370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B59" w:rsidRPr="0097370C" w:rsidTr="0097370C">
        <w:tc>
          <w:tcPr>
            <w:tcW w:w="4361" w:type="dxa"/>
          </w:tcPr>
          <w:p w:rsidR="00330B59" w:rsidRPr="0097370C" w:rsidRDefault="00330B59" w:rsidP="0097370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pict>
                <v:shape id="_x0000_i1026" type="#_x0000_t75" style="width:483pt;height:66.6pt">
                  <v:imagedata r:id="rId8" o:title="" chromakey="white"/>
                </v:shape>
              </w:pict>
            </w:r>
          </w:p>
        </w:tc>
        <w:tc>
          <w:tcPr>
            <w:tcW w:w="4925" w:type="dxa"/>
          </w:tcPr>
          <w:p w:rsidR="00330B59" w:rsidRPr="0097370C" w:rsidRDefault="00330B59" w:rsidP="0097370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pict>
                <v:shape id="_x0000_i1027" type="#_x0000_t75" style="width:611.4pt;height:66.6pt">
                  <v:imagedata r:id="rId9" o:title="" chromakey="white"/>
                </v:shape>
              </w:pict>
            </w:r>
          </w:p>
        </w:tc>
      </w:tr>
      <w:tr w:rsidR="00330B59" w:rsidRPr="0097370C" w:rsidTr="0097370C">
        <w:tc>
          <w:tcPr>
            <w:tcW w:w="9286" w:type="dxa"/>
            <w:gridSpan w:val="2"/>
          </w:tcPr>
          <w:p w:rsidR="00330B59" w:rsidRPr="0097370C" w:rsidRDefault="00330B59" w:rsidP="009737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70C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97370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7370C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028" type="#_x0000_t75" style="width:47.4pt;height:66.6pt">
                  <v:imagedata r:id="rId10" o:title="" chromakey="white"/>
                </v:shape>
              </w:pict>
            </w:r>
            <w:r w:rsidRPr="0097370C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97370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029" type="#_x0000_t75" style="width:47.4pt;height:66.6pt">
                  <v:imagedata r:id="rId10" o:title="" chromakey="white"/>
                </v:shape>
              </w:pict>
            </w:r>
            <w:r w:rsidRPr="0097370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7370C">
              <w:rPr>
                <w:rFonts w:ascii="Times New Roman" w:hAnsi="Times New Roman"/>
                <w:sz w:val="24"/>
                <w:szCs w:val="24"/>
              </w:rPr>
              <w:t xml:space="preserve"> – увеличение поступлений в бюджеты всех уровней в виде налогов и других обязательных платежей в результате реализации инвестиционного проекта, руб.;</w:t>
            </w:r>
            <w:r w:rsidRPr="0097370C">
              <w:rPr>
                <w:rFonts w:ascii="Times New Roman" w:hAnsi="Times New Roman"/>
                <w:sz w:val="24"/>
                <w:szCs w:val="24"/>
              </w:rPr>
              <w:br/>
              <w:t xml:space="preserve">      </w:t>
            </w:r>
            <w:r w:rsidRPr="0097370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7370C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030" type="#_x0000_t75" style="width:21pt;height:11.4pt">
                  <v:imagedata r:id="rId11" o:title="" chromakey="white"/>
                </v:shape>
              </w:pict>
            </w:r>
            <w:r w:rsidRPr="0097370C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97370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031" type="#_x0000_t75" style="width:21pt;height:11.4pt">
                  <v:imagedata r:id="rId11" o:title="" chromakey="white"/>
                </v:shape>
              </w:pict>
            </w:r>
            <w:r w:rsidRPr="0097370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7370C">
              <w:rPr>
                <w:rFonts w:ascii="Times New Roman" w:hAnsi="Times New Roman"/>
                <w:sz w:val="24"/>
                <w:szCs w:val="24"/>
              </w:rPr>
              <w:t xml:space="preserve">   – бюджетные инвестиции, необходимые для реализации инвестиционного проекта, руб.;</w:t>
            </w:r>
            <w:r w:rsidRPr="0097370C">
              <w:rPr>
                <w:rFonts w:ascii="Times New Roman" w:hAnsi="Times New Roman"/>
                <w:sz w:val="24"/>
                <w:szCs w:val="24"/>
              </w:rPr>
              <w:br/>
              <w:t xml:space="preserve">        </w:t>
            </w:r>
            <w:r w:rsidRPr="0097370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7370C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032" type="#_x0000_t75" style="width:21pt;height:12.6pt">
                  <v:imagedata r:id="rId12" o:title="" chromakey="white"/>
                </v:shape>
              </w:pict>
            </w:r>
            <w:r w:rsidRPr="0097370C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97370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033" type="#_x0000_t75" style="width:21pt;height:12.6pt">
                  <v:imagedata r:id="rId12" o:title="" chromakey="white"/>
                </v:shape>
              </w:pict>
            </w:r>
            <w:r w:rsidRPr="0097370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7370C">
              <w:rPr>
                <w:rFonts w:ascii="Times New Roman" w:hAnsi="Times New Roman"/>
                <w:sz w:val="24"/>
                <w:szCs w:val="24"/>
              </w:rPr>
              <w:t xml:space="preserve"> – доходы бюджета, получаемые в результате реализации проекта, помимо налогов и других обязательных платежей, руб.;</w:t>
            </w:r>
            <w:r w:rsidRPr="0097370C">
              <w:rPr>
                <w:rFonts w:ascii="Times New Roman" w:hAnsi="Times New Roman"/>
                <w:sz w:val="24"/>
                <w:szCs w:val="24"/>
              </w:rPr>
              <w:br/>
            </w:r>
            <w:r w:rsidRPr="0097370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  </w:t>
            </w:r>
            <w:r w:rsidRPr="0097370C">
              <w:rPr>
                <w:rFonts w:ascii="Times New Roman" w:hAnsi="Times New Roman"/>
                <w:iCs/>
                <w:sz w:val="24"/>
                <w:szCs w:val="24"/>
              </w:rPr>
              <w:fldChar w:fldCharType="begin"/>
            </w:r>
            <w:r w:rsidRPr="0097370C">
              <w:rPr>
                <w:rFonts w:ascii="Times New Roman" w:hAnsi="Times New Roman"/>
                <w:iCs/>
                <w:sz w:val="24"/>
                <w:szCs w:val="24"/>
              </w:rPr>
              <w:instrText xml:space="preserve"> QUOTE </w:instrText>
            </w:r>
            <w:r>
              <w:pict>
                <v:shape id="_x0000_i1034" type="#_x0000_t75" style="width:33pt;height:11.4pt">
                  <v:imagedata r:id="rId13" o:title="" chromakey="white"/>
                </v:shape>
              </w:pict>
            </w:r>
            <w:r w:rsidRPr="0097370C">
              <w:rPr>
                <w:rFonts w:ascii="Times New Roman" w:hAnsi="Times New Roman"/>
                <w:iCs/>
                <w:sz w:val="24"/>
                <w:szCs w:val="24"/>
              </w:rPr>
              <w:instrText xml:space="preserve"> </w:instrText>
            </w:r>
            <w:r w:rsidRPr="0097370C">
              <w:rPr>
                <w:rFonts w:ascii="Times New Roman" w:hAnsi="Times New Roman"/>
                <w:iCs/>
                <w:sz w:val="24"/>
                <w:szCs w:val="24"/>
              </w:rPr>
              <w:fldChar w:fldCharType="separate"/>
            </w:r>
            <w:r>
              <w:pict>
                <v:shape id="_x0000_i1035" type="#_x0000_t75" style="width:33pt;height:11.4pt">
                  <v:imagedata r:id="rId13" o:title="" chromakey="white"/>
                </v:shape>
              </w:pict>
            </w:r>
            <w:r w:rsidRPr="0097370C">
              <w:rPr>
                <w:rFonts w:ascii="Times New Roman" w:hAnsi="Times New Roman"/>
                <w:iCs/>
                <w:sz w:val="24"/>
                <w:szCs w:val="24"/>
              </w:rPr>
              <w:fldChar w:fldCharType="end"/>
            </w:r>
            <w:r w:rsidRPr="0097370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r w:rsidRPr="0097370C">
              <w:rPr>
                <w:rFonts w:ascii="Times New Roman" w:hAnsi="Times New Roman"/>
                <w:sz w:val="24"/>
                <w:szCs w:val="24"/>
              </w:rPr>
              <w:t>– текущие расходы бюджета на содержание объекта, руб.,</w:t>
            </w:r>
            <w:r w:rsidRPr="0097370C">
              <w:rPr>
                <w:rFonts w:ascii="Times New Roman" w:hAnsi="Times New Roman"/>
                <w:sz w:val="24"/>
                <w:szCs w:val="24"/>
              </w:rPr>
              <w:br/>
              <w:t xml:space="preserve">         </w:t>
            </w:r>
            <w:r w:rsidRPr="0097370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7370C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036" type="#_x0000_t75" style="width:16.8pt;height:12.6pt">
                  <v:imagedata r:id="rId14" o:title="" chromakey="white"/>
                </v:shape>
              </w:pict>
            </w:r>
            <w:r w:rsidRPr="0097370C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97370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037" type="#_x0000_t75" style="width:16.8pt;height:12.6pt">
                  <v:imagedata r:id="rId14" o:title="" chromakey="white"/>
                </v:shape>
              </w:pict>
            </w:r>
            <w:r w:rsidRPr="0097370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7370C">
              <w:rPr>
                <w:rFonts w:ascii="Times New Roman" w:hAnsi="Times New Roman"/>
                <w:sz w:val="24"/>
                <w:szCs w:val="24"/>
              </w:rPr>
              <w:t xml:space="preserve"> – ставка дисконта и  - бюджетные субсидии,  выплачиваемые в соответствии с концессионным соглашением, руб. </w:t>
            </w:r>
            <w:r w:rsidRPr="0097370C">
              <w:rPr>
                <w:rFonts w:ascii="Times New Roman" w:hAnsi="Times New Roman"/>
                <w:sz w:val="24"/>
                <w:szCs w:val="24"/>
                <w:lang w:val="en-US"/>
              </w:rPr>
              <w:t>[4]</w:t>
            </w:r>
          </w:p>
        </w:tc>
      </w:tr>
    </w:tbl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при реализации концессионного соглашения бюджетные средства расходуются меньше, чем при реализации этого проекта только за счет бюджетных средств, то для концедента соответственно приоритетным будет внедрение концессионного механизма. Именно в экономии бюджетных средств выражается эффект для муниципального образования.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C7690B">
        <w:rPr>
          <w:rFonts w:ascii="Times New Roman" w:hAnsi="Times New Roman"/>
          <w:sz w:val="28"/>
          <w:szCs w:val="28"/>
        </w:rPr>
        <w:t>юджетны</w:t>
      </w:r>
      <w:r>
        <w:rPr>
          <w:rFonts w:ascii="Times New Roman" w:hAnsi="Times New Roman"/>
          <w:sz w:val="28"/>
          <w:szCs w:val="28"/>
        </w:rPr>
        <w:t>е</w:t>
      </w:r>
      <w:r w:rsidRPr="00C7690B">
        <w:rPr>
          <w:rFonts w:ascii="Times New Roman" w:hAnsi="Times New Roman"/>
          <w:sz w:val="28"/>
          <w:szCs w:val="28"/>
        </w:rPr>
        <w:t xml:space="preserve"> субсиди</w:t>
      </w:r>
      <w:r>
        <w:rPr>
          <w:rFonts w:ascii="Times New Roman" w:hAnsi="Times New Roman"/>
          <w:sz w:val="28"/>
          <w:szCs w:val="28"/>
        </w:rPr>
        <w:t>и</w:t>
      </w:r>
      <w:r w:rsidRPr="00C769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рациональнее рассчитывать, взяв за основу необходимость обеспечения, с одной стороны, и минимальную внутреннюю норму  доходности частного инвестора, с другой – снижение общей суммы бюджетных расходов на реализацию проекта с использованием концессионного соглашения по сравнению с вариантом его осуществления только за счет средств муниципального бюджета.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Соответственно, определяется бюджетный эффект при внедрении концессионного механизма.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оценке экономического эффекта концедента и концессионера следует обратить внимание и на уровень ставки дисконта для каждой из сторон концессионного соглашения. Дифференциация ставки дисконта для каждого участника является рациональным и само собой разумеющимся явлением. К примеру, для муниципальных образований в качестве ставки дисконта могут быть одобрены такие как темп инфляции в стране, ставка рефинансирования Центрального банка Российской Федерации.</w:t>
      </w:r>
    </w:p>
    <w:p w:rsidR="00330B59" w:rsidRPr="00C7690B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реализации инвестиционного проекта на основе концессионного соглашения экономия бюджетных средств определяется как разность интегральных дисконтированных затрат по рассмотренным вариантам.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Использование предлагаемой методики оценки эффективности позволяет обеспечить сбалансированность интересов государства и бизнеса при реализации инвестиционного проекта развития сектора водоснабжения и водоотведения на основе оптимизации параметров концессионного соглашения. 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Эффективность внедрения концессионного механизма в управление муниципальным имуществом можно объяснить следующими факторами: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i/>
          <w:sz w:val="28"/>
          <w:szCs w:val="28"/>
        </w:rPr>
        <w:t>владение активами;</w:t>
      </w:r>
    </w:p>
    <w:p w:rsidR="00330B59" w:rsidRPr="00BA4D9D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Довольно сложным процессом является переуступка прав на активы, находящиеся в собственности муниципалитета, частной компании. Такая особенность характерна и для сектора водоснабжения и водоотведения. С другой стороны, переуступка предпочтительнее, чем продажа. Но продажа активов не выгодна не только муниципальному образованию, но и частному оператору. Покупка активов как таковая ведет к увеличению расходов частной компании. Объясняется тем, что к инвестиционным затратам добавляются и затраты на покупку активов.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i/>
          <w:sz w:val="28"/>
          <w:szCs w:val="28"/>
        </w:rPr>
        <w:t>качество воды;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того что бы достичь высоких стандартов качества водоснабжения и рационального использования ограниченных ресурсов требуются немалые инвестиции и определенный уровень технологии.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свою очередь, муниципалитеты зачастую не в состоянии придерживаться или поддерживать высокий стандарт качества и оптимально использовать ограниченные ресурсы.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Внедрение концессионного механизма позволит привлечь частных операторов с большим опытом работы, способных извлекать прибыль из эффекта масштаба, благодаря применению новых знаний и технологий. Таким образом, будут соблюдены нормы качества воды и контроль качества воды.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i/>
          <w:sz w:val="28"/>
          <w:szCs w:val="28"/>
        </w:rPr>
        <w:t>работа с недобросовестными клиентами;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этом случае подразумевается оплата клиентами всего объема потребляемой воды, поиск и устранение нелегальных подключений к сети.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регулярного и четкого контроля над задолженностью, сокращение доли неоплаченных счетов – это также является одним из направлений работы с недобросовестными клиентами.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 не следует забывать и о том, что самым важным в работе с потребителями является предоставление качественного обслуживания. Качественное обслуживание подразумевает  доступность и регулярность информации, составление четкого и вразумительного счета, диверсификацию условий оплаты, быструю обработку запросов клиентов.</w:t>
      </w:r>
    </w:p>
    <w:p w:rsidR="00330B59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4. </w:t>
      </w:r>
      <w:r w:rsidRPr="00894233">
        <w:rPr>
          <w:rFonts w:ascii="Times New Roman" w:hAnsi="Times New Roman"/>
          <w:i/>
          <w:sz w:val="28"/>
          <w:szCs w:val="28"/>
        </w:rPr>
        <w:t>управление собственностью</w:t>
      </w:r>
      <w:r>
        <w:rPr>
          <w:rFonts w:ascii="Times New Roman" w:hAnsi="Times New Roman"/>
          <w:i/>
          <w:sz w:val="28"/>
          <w:szCs w:val="28"/>
        </w:rPr>
        <w:t>;</w:t>
      </w:r>
    </w:p>
    <w:p w:rsidR="00330B59" w:rsidRPr="00DD29D7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Сети водоснабжения и водоотведения – это большая часть активов водохозяйственного предприятия. Спецификой такого рода имущества является то, что оно находится в земле и доступ к нему затруднен. Срок службы сетей водоснабжения и водоотведения достаточно продолжительный, но отсутствие ремонтных работ или их некачественное проведение влечет за собой к сбоям в водоснабжении, к утечкам. Привлечение частных операторов, которые имеют опыт и технологии в области диагностики сетей и в устранении утечек, несомненно, приведет к повышению качества обслуживания потребителей.</w:t>
      </w:r>
    </w:p>
    <w:p w:rsidR="00330B59" w:rsidRPr="00894233" w:rsidRDefault="00330B59" w:rsidP="00750F1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5. </w:t>
      </w:r>
      <w:r w:rsidRPr="00894233">
        <w:rPr>
          <w:rFonts w:ascii="Times New Roman" w:hAnsi="Times New Roman"/>
          <w:i/>
          <w:sz w:val="28"/>
          <w:szCs w:val="28"/>
        </w:rPr>
        <w:t>обучение и мотивация персонала</w:t>
      </w:r>
      <w:r>
        <w:rPr>
          <w:rFonts w:ascii="Times New Roman" w:hAnsi="Times New Roman"/>
          <w:i/>
          <w:sz w:val="28"/>
          <w:szCs w:val="28"/>
        </w:rPr>
        <w:t>;</w:t>
      </w:r>
    </w:p>
    <w:p w:rsidR="00330B59" w:rsidRDefault="00330B59" w:rsidP="00750F1F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Одна из проблем, с которой сталкивается муниципальное унитарное предприятие – отсутствие мотивации у персонала. Частная компания не способна полностью  заменить весь персонал, поэтому они заинтересованы в повышении производительности персонала действующего предприятия. Таким образом, руководство частной компании будет вынуждено мотивировать персонал к качественной и профессиональной работе. Следует отметить, что число приезжих специалистов, как правило, минимально, они лишь для того, чтобы обеспечить работу в переходный период. </w:t>
      </w:r>
    </w:p>
    <w:p w:rsidR="00330B59" w:rsidRDefault="00330B59" w:rsidP="00750F1F">
      <w:pPr>
        <w:autoSpaceDE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Style w:val="hproduct"/>
        </w:rPr>
        <w:t>  </w:t>
      </w:r>
      <w:r>
        <w:rPr>
          <w:rFonts w:ascii="Times New Roman" w:hAnsi="Times New Roman"/>
          <w:sz w:val="28"/>
          <w:szCs w:val="28"/>
        </w:rPr>
        <w:t>Таким образом, выделим основные этапы внедрения концессионного механизма в систему управления муниципальным имуществом на примере МУП «Сернурводоканал»:</w:t>
      </w:r>
    </w:p>
    <w:p w:rsidR="00330B59" w:rsidRDefault="00330B59" w:rsidP="00750F1F">
      <w:pPr>
        <w:autoSpaceDE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30B59" w:rsidRDefault="00330B59" w:rsidP="00750F1F">
      <w:pPr>
        <w:autoSpaceDE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анализ водохозяйственного предприятия;</w:t>
      </w:r>
    </w:p>
    <w:p w:rsidR="00330B59" w:rsidRDefault="00330B59" w:rsidP="00750F1F">
      <w:pPr>
        <w:autoSpaceDE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анализ нормативно-правовой базы;</w:t>
      </w:r>
    </w:p>
    <w:p w:rsidR="00330B59" w:rsidRDefault="00330B59" w:rsidP="00750F1F">
      <w:pPr>
        <w:autoSpaceDE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определение объема (целей, рамок) проекта;</w:t>
      </w:r>
    </w:p>
    <w:p w:rsidR="00330B59" w:rsidRDefault="00330B59" w:rsidP="00750F1F">
      <w:pPr>
        <w:autoSpaceDE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разработка всеобъемлющего концессионного соглашения;</w:t>
      </w:r>
    </w:p>
    <w:p w:rsidR="00330B59" w:rsidRDefault="00330B59" w:rsidP="00750F1F">
      <w:pPr>
        <w:autoSpaceDE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заключение концессионного соглашения.</w:t>
      </w:r>
    </w:p>
    <w:p w:rsidR="00330B59" w:rsidRDefault="00330B59" w:rsidP="00750F1F">
      <w:pPr>
        <w:autoSpaceDE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Причиной возникновения такого явления как структурная диверсификация экономики становится необходимостью для повышения эффективности экономики не только на данный момент, но и в будущем </w:t>
      </w:r>
      <w:r w:rsidRPr="00E62CFE">
        <w:rPr>
          <w:rFonts w:ascii="Times New Roman" w:hAnsi="Times New Roman"/>
          <w:sz w:val="28"/>
          <w:szCs w:val="28"/>
        </w:rPr>
        <w:t>[5]</w:t>
      </w:r>
      <w:r>
        <w:rPr>
          <w:rFonts w:ascii="Times New Roman" w:hAnsi="Times New Roman"/>
          <w:sz w:val="28"/>
          <w:szCs w:val="28"/>
        </w:rPr>
        <w:t>. Внедрение концессионного механизма в систему управления объектами коммунальной инфраструктуры повлечет за собой следующие позитивные изменения в жизнедеятельности муниципалитетов:</w:t>
      </w:r>
    </w:p>
    <w:p w:rsidR="00330B59" w:rsidRDefault="00330B59" w:rsidP="00750F1F">
      <w:pPr>
        <w:autoSpaceDE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эффективности взаимодействия органов местного самоуправления и частного сектора;</w:t>
      </w:r>
    </w:p>
    <w:p w:rsidR="00330B59" w:rsidRDefault="00330B59" w:rsidP="00750F1F">
      <w:pPr>
        <w:autoSpaceDE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рациональное использование муниципального имущества;</w:t>
      </w:r>
    </w:p>
    <w:p w:rsidR="00330B59" w:rsidRDefault="00330B59" w:rsidP="00750F1F">
      <w:pPr>
        <w:autoSpaceDE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положительное решение проблем водоотведения и водоснабжения;</w:t>
      </w:r>
    </w:p>
    <w:p w:rsidR="00330B59" w:rsidRDefault="00330B59" w:rsidP="00750F1F">
      <w:pPr>
        <w:autoSpaceDE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удовлетворенность населения деятельностью органов местного самоуправления.</w:t>
      </w:r>
    </w:p>
    <w:p w:rsidR="00330B59" w:rsidRDefault="00330B59" w:rsidP="00750F1F">
      <w:pPr>
        <w:autoSpaceDE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Главное условие сохранения эффективности управления муниципальным имуществом – сумма дисконтированных бюджетных инвестиций муниципального образования по проекту и бюджетных субсидий за год не может превышать дисконтированную сумму инвестиций в случае его реализации только за счет бюджетных средств муниципального образования, при обратном предположении данное внедрение теряет экономическую эффективность.</w:t>
      </w:r>
    </w:p>
    <w:p w:rsidR="00330B59" w:rsidRDefault="00330B59" w:rsidP="003C43F5">
      <w:pPr>
        <w:autoSpaceDE w:val="0"/>
        <w:spacing w:after="0" w:line="36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30B59" w:rsidRPr="00314C1E" w:rsidRDefault="00330B59" w:rsidP="009E140A">
      <w:pPr>
        <w:autoSpaceDE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14C1E">
        <w:rPr>
          <w:rFonts w:ascii="Times New Roman" w:hAnsi="Times New Roman"/>
          <w:b/>
          <w:sz w:val="24"/>
          <w:szCs w:val="24"/>
        </w:rPr>
        <w:t>Литература</w:t>
      </w:r>
    </w:p>
    <w:p w:rsidR="00330B59" w:rsidRPr="0091363B" w:rsidRDefault="00330B59" w:rsidP="009E140A">
      <w:pPr>
        <w:pStyle w:val="ListParagraph"/>
        <w:numPr>
          <w:ilvl w:val="0"/>
          <w:numId w:val="19"/>
        </w:numPr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363B">
        <w:rPr>
          <w:rFonts w:ascii="Times New Roman" w:hAnsi="Times New Roman"/>
          <w:sz w:val="24"/>
          <w:szCs w:val="24"/>
        </w:rPr>
        <w:t>Федеральный закон Российской Федерации от 21.07.2005г №115-ФЗ «О концессионных соглашениях»</w:t>
      </w:r>
    </w:p>
    <w:p w:rsidR="00330B59" w:rsidRPr="0091363B" w:rsidRDefault="00330B59" w:rsidP="009E140A">
      <w:pPr>
        <w:pStyle w:val="ListParagraph"/>
        <w:numPr>
          <w:ilvl w:val="0"/>
          <w:numId w:val="19"/>
        </w:numPr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363B">
        <w:rPr>
          <w:rFonts w:ascii="Times New Roman" w:hAnsi="Times New Roman"/>
          <w:sz w:val="24"/>
          <w:szCs w:val="24"/>
        </w:rPr>
        <w:t>Методические рекомендации по оценке эффективности инвестиционных проектов: официальное изд. / М-во экон. РФ ; М-во фин. РФ ; ГК по стр-ву, архит. и жил. политике. - 2-я ред. - М. : Экономика, 2000. – 241 с</w:t>
      </w:r>
    </w:p>
    <w:p w:rsidR="00330B59" w:rsidRPr="0091363B" w:rsidRDefault="00330B59" w:rsidP="009E140A">
      <w:pPr>
        <w:pStyle w:val="ListParagraph"/>
        <w:numPr>
          <w:ilvl w:val="0"/>
          <w:numId w:val="19"/>
        </w:numPr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363B">
        <w:rPr>
          <w:rFonts w:ascii="Times New Roman" w:hAnsi="Times New Roman"/>
          <w:sz w:val="24"/>
          <w:szCs w:val="24"/>
        </w:rPr>
        <w:t>О внесении изменений в Федеральный закон «О концессионных соглашениях» и отдельные законодательные акты Российской Федерации: Федеральный закон РФ от 30 июня 2008 г. № 108-ФЗ.</w:t>
      </w:r>
    </w:p>
    <w:p w:rsidR="00330B59" w:rsidRPr="0091363B" w:rsidRDefault="00330B59" w:rsidP="009E140A">
      <w:pPr>
        <w:pStyle w:val="ListParagraph"/>
        <w:numPr>
          <w:ilvl w:val="0"/>
          <w:numId w:val="19"/>
        </w:numPr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363B">
        <w:rPr>
          <w:rFonts w:ascii="Times New Roman" w:hAnsi="Times New Roman"/>
          <w:sz w:val="24"/>
          <w:szCs w:val="24"/>
        </w:rPr>
        <w:t xml:space="preserve">Цанева Н. Ф. Методы оценки экономического эффекта участников концессионных соглашений при реализации инвестиционных проектов развития инфраструктуры внутренних водных путей // Журнал университета водных коммуникаций. </w:t>
      </w:r>
      <w:r w:rsidRPr="00427A8C">
        <w:rPr>
          <w:rFonts w:ascii="Times New Roman" w:hAnsi="Times New Roman"/>
          <w:sz w:val="24"/>
          <w:szCs w:val="24"/>
        </w:rPr>
        <w:t xml:space="preserve">2010.  </w:t>
      </w:r>
      <w:r w:rsidRPr="0091363B">
        <w:rPr>
          <w:rFonts w:ascii="Times New Roman" w:hAnsi="Times New Roman"/>
          <w:sz w:val="24"/>
          <w:szCs w:val="24"/>
        </w:rPr>
        <w:t xml:space="preserve">№3. </w:t>
      </w:r>
      <w:r w:rsidRPr="00E62CFE">
        <w:rPr>
          <w:rFonts w:ascii="Times New Roman" w:hAnsi="Times New Roman"/>
          <w:sz w:val="24"/>
          <w:szCs w:val="24"/>
          <w:lang w:val="en-US"/>
        </w:rPr>
        <w:t>URL</w:t>
      </w:r>
      <w:r w:rsidRPr="0091363B">
        <w:rPr>
          <w:rFonts w:ascii="Times New Roman" w:hAnsi="Times New Roman"/>
          <w:sz w:val="24"/>
          <w:szCs w:val="24"/>
        </w:rPr>
        <w:t xml:space="preserve">: </w:t>
      </w:r>
      <w:r w:rsidRPr="00E62CFE">
        <w:rPr>
          <w:rFonts w:ascii="Times New Roman" w:hAnsi="Times New Roman"/>
          <w:sz w:val="24"/>
          <w:szCs w:val="24"/>
          <w:lang w:val="en-US"/>
        </w:rPr>
        <w:t>http</w:t>
      </w:r>
      <w:r w:rsidRPr="0091363B">
        <w:rPr>
          <w:rFonts w:ascii="Times New Roman" w:hAnsi="Times New Roman"/>
          <w:sz w:val="24"/>
          <w:szCs w:val="24"/>
        </w:rPr>
        <w:t>://</w:t>
      </w:r>
      <w:r w:rsidRPr="00E62CFE">
        <w:rPr>
          <w:rFonts w:ascii="Times New Roman" w:hAnsi="Times New Roman"/>
          <w:sz w:val="24"/>
          <w:szCs w:val="24"/>
          <w:lang w:val="en-US"/>
        </w:rPr>
        <w:t>cyberleninka</w:t>
      </w:r>
      <w:r w:rsidRPr="0091363B">
        <w:rPr>
          <w:rFonts w:ascii="Times New Roman" w:hAnsi="Times New Roman"/>
          <w:sz w:val="24"/>
          <w:szCs w:val="24"/>
        </w:rPr>
        <w:t>.</w:t>
      </w:r>
      <w:r w:rsidRPr="00E62CFE">
        <w:rPr>
          <w:rFonts w:ascii="Times New Roman" w:hAnsi="Times New Roman"/>
          <w:sz w:val="24"/>
          <w:szCs w:val="24"/>
          <w:lang w:val="en-US"/>
        </w:rPr>
        <w:t>ru</w:t>
      </w:r>
      <w:r w:rsidRPr="0091363B">
        <w:rPr>
          <w:rFonts w:ascii="Times New Roman" w:hAnsi="Times New Roman"/>
          <w:sz w:val="24"/>
          <w:szCs w:val="24"/>
        </w:rPr>
        <w:t>/</w:t>
      </w:r>
      <w:r w:rsidRPr="00E62CFE">
        <w:rPr>
          <w:rFonts w:ascii="Times New Roman" w:hAnsi="Times New Roman"/>
          <w:sz w:val="24"/>
          <w:szCs w:val="24"/>
          <w:lang w:val="en-US"/>
        </w:rPr>
        <w:t>article</w:t>
      </w:r>
      <w:r w:rsidRPr="0091363B">
        <w:rPr>
          <w:rFonts w:ascii="Times New Roman" w:hAnsi="Times New Roman"/>
          <w:sz w:val="24"/>
          <w:szCs w:val="24"/>
        </w:rPr>
        <w:t>/</w:t>
      </w:r>
      <w:r w:rsidRPr="00E62CFE">
        <w:rPr>
          <w:rFonts w:ascii="Times New Roman" w:hAnsi="Times New Roman"/>
          <w:sz w:val="24"/>
          <w:szCs w:val="24"/>
          <w:lang w:val="en-US"/>
        </w:rPr>
        <w:t>n</w:t>
      </w:r>
      <w:r w:rsidRPr="0091363B">
        <w:rPr>
          <w:rFonts w:ascii="Times New Roman" w:hAnsi="Times New Roman"/>
          <w:sz w:val="24"/>
          <w:szCs w:val="24"/>
        </w:rPr>
        <w:t>/</w:t>
      </w:r>
      <w:r w:rsidRPr="00E62CFE">
        <w:rPr>
          <w:rFonts w:ascii="Times New Roman" w:hAnsi="Times New Roman"/>
          <w:sz w:val="24"/>
          <w:szCs w:val="24"/>
          <w:lang w:val="en-US"/>
        </w:rPr>
        <w:t>metody</w:t>
      </w:r>
      <w:r w:rsidRPr="0091363B">
        <w:rPr>
          <w:rFonts w:ascii="Times New Roman" w:hAnsi="Times New Roman"/>
          <w:sz w:val="24"/>
          <w:szCs w:val="24"/>
        </w:rPr>
        <w:t>-</w:t>
      </w:r>
      <w:r w:rsidRPr="00E62CFE">
        <w:rPr>
          <w:rFonts w:ascii="Times New Roman" w:hAnsi="Times New Roman"/>
          <w:sz w:val="24"/>
          <w:szCs w:val="24"/>
          <w:lang w:val="en-US"/>
        </w:rPr>
        <w:t>otsenki</w:t>
      </w:r>
      <w:r w:rsidRPr="0091363B">
        <w:rPr>
          <w:rFonts w:ascii="Times New Roman" w:hAnsi="Times New Roman"/>
          <w:sz w:val="24"/>
          <w:szCs w:val="24"/>
        </w:rPr>
        <w:t>-</w:t>
      </w:r>
      <w:r w:rsidRPr="00E62CFE">
        <w:rPr>
          <w:rFonts w:ascii="Times New Roman" w:hAnsi="Times New Roman"/>
          <w:sz w:val="24"/>
          <w:szCs w:val="24"/>
          <w:lang w:val="en-US"/>
        </w:rPr>
        <w:t>ekonomicheskogo</w:t>
      </w:r>
      <w:r w:rsidRPr="0091363B">
        <w:rPr>
          <w:rFonts w:ascii="Times New Roman" w:hAnsi="Times New Roman"/>
          <w:sz w:val="24"/>
          <w:szCs w:val="24"/>
        </w:rPr>
        <w:t>-</w:t>
      </w:r>
      <w:r w:rsidRPr="00E62CFE">
        <w:rPr>
          <w:rFonts w:ascii="Times New Roman" w:hAnsi="Times New Roman"/>
          <w:sz w:val="24"/>
          <w:szCs w:val="24"/>
          <w:lang w:val="en-US"/>
        </w:rPr>
        <w:t>effekta</w:t>
      </w:r>
      <w:r w:rsidRPr="0091363B">
        <w:rPr>
          <w:rFonts w:ascii="Times New Roman" w:hAnsi="Times New Roman"/>
          <w:sz w:val="24"/>
          <w:szCs w:val="24"/>
        </w:rPr>
        <w:t>-</w:t>
      </w:r>
      <w:r w:rsidRPr="00E62CFE">
        <w:rPr>
          <w:rFonts w:ascii="Times New Roman" w:hAnsi="Times New Roman"/>
          <w:sz w:val="24"/>
          <w:szCs w:val="24"/>
          <w:lang w:val="en-US"/>
        </w:rPr>
        <w:t>uchastnikov</w:t>
      </w:r>
      <w:r w:rsidRPr="0091363B">
        <w:rPr>
          <w:rFonts w:ascii="Times New Roman" w:hAnsi="Times New Roman"/>
          <w:sz w:val="24"/>
          <w:szCs w:val="24"/>
        </w:rPr>
        <w:t>-</w:t>
      </w:r>
      <w:r w:rsidRPr="00E62CFE">
        <w:rPr>
          <w:rFonts w:ascii="Times New Roman" w:hAnsi="Times New Roman"/>
          <w:sz w:val="24"/>
          <w:szCs w:val="24"/>
          <w:lang w:val="en-US"/>
        </w:rPr>
        <w:t>kontsessionnyh</w:t>
      </w:r>
      <w:r w:rsidRPr="0091363B">
        <w:rPr>
          <w:rFonts w:ascii="Times New Roman" w:hAnsi="Times New Roman"/>
          <w:sz w:val="24"/>
          <w:szCs w:val="24"/>
        </w:rPr>
        <w:t>-</w:t>
      </w:r>
      <w:r w:rsidRPr="00E62CFE">
        <w:rPr>
          <w:rFonts w:ascii="Times New Roman" w:hAnsi="Times New Roman"/>
          <w:sz w:val="24"/>
          <w:szCs w:val="24"/>
          <w:lang w:val="en-US"/>
        </w:rPr>
        <w:t>soglasheniy</w:t>
      </w:r>
      <w:r w:rsidRPr="0091363B">
        <w:rPr>
          <w:rFonts w:ascii="Times New Roman" w:hAnsi="Times New Roman"/>
          <w:sz w:val="24"/>
          <w:szCs w:val="24"/>
        </w:rPr>
        <w:t>-</w:t>
      </w:r>
      <w:r w:rsidRPr="00E62CFE">
        <w:rPr>
          <w:rFonts w:ascii="Times New Roman" w:hAnsi="Times New Roman"/>
          <w:sz w:val="24"/>
          <w:szCs w:val="24"/>
          <w:lang w:val="en-US"/>
        </w:rPr>
        <w:t>pri</w:t>
      </w:r>
      <w:r w:rsidRPr="0091363B">
        <w:rPr>
          <w:rFonts w:ascii="Times New Roman" w:hAnsi="Times New Roman"/>
          <w:sz w:val="24"/>
          <w:szCs w:val="24"/>
        </w:rPr>
        <w:t>-</w:t>
      </w:r>
      <w:r w:rsidRPr="00E62CFE">
        <w:rPr>
          <w:rFonts w:ascii="Times New Roman" w:hAnsi="Times New Roman"/>
          <w:sz w:val="24"/>
          <w:szCs w:val="24"/>
          <w:lang w:val="en-US"/>
        </w:rPr>
        <w:t>realizatsii</w:t>
      </w:r>
      <w:r w:rsidRPr="0091363B">
        <w:rPr>
          <w:rFonts w:ascii="Times New Roman" w:hAnsi="Times New Roman"/>
          <w:sz w:val="24"/>
          <w:szCs w:val="24"/>
        </w:rPr>
        <w:t>-</w:t>
      </w:r>
      <w:r w:rsidRPr="00E62CFE">
        <w:rPr>
          <w:rFonts w:ascii="Times New Roman" w:hAnsi="Times New Roman"/>
          <w:sz w:val="24"/>
          <w:szCs w:val="24"/>
          <w:lang w:val="en-US"/>
        </w:rPr>
        <w:t>investitsionnyh</w:t>
      </w:r>
      <w:r w:rsidRPr="0091363B">
        <w:rPr>
          <w:rFonts w:ascii="Times New Roman" w:hAnsi="Times New Roman"/>
          <w:sz w:val="24"/>
          <w:szCs w:val="24"/>
        </w:rPr>
        <w:t>-</w:t>
      </w:r>
      <w:r w:rsidRPr="00E62CFE">
        <w:rPr>
          <w:rFonts w:ascii="Times New Roman" w:hAnsi="Times New Roman"/>
          <w:sz w:val="24"/>
          <w:szCs w:val="24"/>
          <w:lang w:val="en-US"/>
        </w:rPr>
        <w:t>proektov</w:t>
      </w:r>
      <w:r w:rsidRPr="0091363B">
        <w:rPr>
          <w:rFonts w:ascii="Times New Roman" w:hAnsi="Times New Roman"/>
          <w:sz w:val="24"/>
          <w:szCs w:val="24"/>
        </w:rPr>
        <w:t>-</w:t>
      </w:r>
      <w:r w:rsidRPr="00E62CFE">
        <w:rPr>
          <w:rFonts w:ascii="Times New Roman" w:hAnsi="Times New Roman"/>
          <w:sz w:val="24"/>
          <w:szCs w:val="24"/>
          <w:lang w:val="en-US"/>
        </w:rPr>
        <w:t>razvitiya</w:t>
      </w:r>
      <w:r w:rsidRPr="0091363B">
        <w:rPr>
          <w:rFonts w:ascii="Times New Roman" w:hAnsi="Times New Roman"/>
          <w:sz w:val="24"/>
          <w:szCs w:val="24"/>
        </w:rPr>
        <w:t xml:space="preserve"> (дата обращения: 03.05.2013).</w:t>
      </w:r>
    </w:p>
    <w:p w:rsidR="00330B59" w:rsidRPr="00E62CFE" w:rsidRDefault="00330B59" w:rsidP="009E140A">
      <w:pPr>
        <w:pStyle w:val="ListParagraph"/>
        <w:numPr>
          <w:ilvl w:val="0"/>
          <w:numId w:val="19"/>
        </w:numPr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1363B">
        <w:rPr>
          <w:rFonts w:ascii="Times New Roman" w:hAnsi="Times New Roman"/>
          <w:sz w:val="24"/>
          <w:szCs w:val="24"/>
        </w:rPr>
        <w:t xml:space="preserve">Ларионова Н.И., Н.Л.Загайнова. Концептуальные основы структурной диверсификации экономики // Вестник Марийского государственного технического университета. </w:t>
      </w:r>
      <w:r w:rsidRPr="00E62CFE">
        <w:rPr>
          <w:rFonts w:ascii="Times New Roman" w:hAnsi="Times New Roman"/>
          <w:sz w:val="24"/>
          <w:szCs w:val="24"/>
          <w:lang w:val="en-US"/>
        </w:rPr>
        <w:t>Экономика и Управление. – 2009. №2. – С.17-30</w:t>
      </w:r>
    </w:p>
    <w:p w:rsidR="00330B59" w:rsidRDefault="00330B59" w:rsidP="009E140A">
      <w:pPr>
        <w:pStyle w:val="ListParagraph"/>
        <w:spacing w:after="0" w:line="240" w:lineRule="auto"/>
        <w:ind w:left="1069"/>
        <w:jc w:val="center"/>
        <w:rPr>
          <w:b/>
          <w:bCs/>
        </w:rPr>
      </w:pPr>
    </w:p>
    <w:p w:rsidR="00330B59" w:rsidRPr="00314C1E" w:rsidRDefault="00330B59" w:rsidP="009E140A">
      <w:pPr>
        <w:pStyle w:val="ListParagraph"/>
        <w:spacing w:after="0" w:line="240" w:lineRule="auto"/>
        <w:ind w:left="1069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314C1E">
        <w:rPr>
          <w:rFonts w:ascii="Times New Roman" w:hAnsi="Times New Roman"/>
          <w:b/>
          <w:bCs/>
          <w:sz w:val="24"/>
          <w:szCs w:val="24"/>
          <w:lang w:val="en-US"/>
        </w:rPr>
        <w:t>References</w:t>
      </w:r>
    </w:p>
    <w:p w:rsidR="00330B59" w:rsidRPr="00E62CFE" w:rsidRDefault="00330B59" w:rsidP="009E140A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E62CFE">
        <w:rPr>
          <w:rFonts w:ascii="Times New Roman" w:hAnsi="Times New Roman"/>
          <w:sz w:val="24"/>
          <w:szCs w:val="24"/>
          <w:lang w:val="en-US"/>
        </w:rPr>
        <w:t>1.</w:t>
      </w:r>
      <w:r w:rsidRPr="00E62CFE">
        <w:rPr>
          <w:rFonts w:ascii="Times New Roman" w:hAnsi="Times New Roman"/>
          <w:sz w:val="24"/>
          <w:szCs w:val="24"/>
          <w:lang w:val="en-US"/>
        </w:rPr>
        <w:tab/>
        <w:t xml:space="preserve">Federal'nyj zakon Rossijskoj Federacii ot 21.07.2005g №115-FZ </w:t>
      </w:r>
      <w:r>
        <w:rPr>
          <w:rFonts w:ascii="Times New Roman" w:hAnsi="Times New Roman"/>
          <w:sz w:val="24"/>
          <w:szCs w:val="24"/>
          <w:lang w:val="en-US"/>
        </w:rPr>
        <w:t>O koncessionnyh soglashenijah</w:t>
      </w:r>
    </w:p>
    <w:p w:rsidR="00330B59" w:rsidRPr="00E62CFE" w:rsidRDefault="00330B59" w:rsidP="009E140A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E62CFE">
        <w:rPr>
          <w:rFonts w:ascii="Times New Roman" w:hAnsi="Times New Roman"/>
          <w:sz w:val="24"/>
          <w:szCs w:val="24"/>
          <w:lang w:val="en-US"/>
        </w:rPr>
        <w:t>2.</w:t>
      </w:r>
      <w:r w:rsidRPr="00E62CFE">
        <w:rPr>
          <w:rFonts w:ascii="Times New Roman" w:hAnsi="Times New Roman"/>
          <w:sz w:val="24"/>
          <w:szCs w:val="24"/>
          <w:lang w:val="en-US"/>
        </w:rPr>
        <w:tab/>
        <w:t xml:space="preserve">Metodicheskie rekomendacii po ocenke jeffektivnosti investicionnyh proektov: oficial'noe izd. / M-vo jekon. RF ; M-vo fin. RF ; GK po str-vu, arhit. i zhil. politike. - 2-ja red. - M. : Jekonomika, 2000. – 241 s </w:t>
      </w:r>
    </w:p>
    <w:p w:rsidR="00330B59" w:rsidRPr="00E62CFE" w:rsidRDefault="00330B59" w:rsidP="009E140A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E62CFE">
        <w:rPr>
          <w:rFonts w:ascii="Times New Roman" w:hAnsi="Times New Roman"/>
          <w:sz w:val="24"/>
          <w:szCs w:val="24"/>
          <w:lang w:val="en-US"/>
        </w:rPr>
        <w:t>3.</w:t>
      </w:r>
      <w:r w:rsidRPr="00E62CFE">
        <w:rPr>
          <w:rFonts w:ascii="Times New Roman" w:hAnsi="Times New Roman"/>
          <w:sz w:val="24"/>
          <w:szCs w:val="24"/>
          <w:lang w:val="en-US"/>
        </w:rPr>
        <w:tab/>
        <w:t>O vnesenii izmenenij v Federal'nyj zakon «O koncessionnyh soglashenijah» i otdel'nye zakonodatel'nye akty Rossijskoj Federacii: Federal'nyj zakon RF ot 30 ijunja 2008 g. № 108-FZ.</w:t>
      </w:r>
      <w:r w:rsidRPr="00E62CF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</w:p>
    <w:p w:rsidR="00330B59" w:rsidRPr="00E62CFE" w:rsidRDefault="00330B59" w:rsidP="009E140A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E62CFE">
        <w:rPr>
          <w:rFonts w:ascii="Times New Roman" w:hAnsi="Times New Roman"/>
          <w:sz w:val="24"/>
          <w:szCs w:val="24"/>
          <w:lang w:val="en-US"/>
        </w:rPr>
        <w:t>4.</w:t>
      </w:r>
      <w:r w:rsidRPr="00E62CFE">
        <w:rPr>
          <w:rFonts w:ascii="Times New Roman" w:hAnsi="Times New Roman"/>
          <w:sz w:val="24"/>
          <w:szCs w:val="24"/>
          <w:lang w:val="en-US"/>
        </w:rPr>
        <w:tab/>
        <w:t xml:space="preserve">Caneva N. F. Metody ocenki jekonomicheskogo jeffekta uchastnikov koncessionnyh soglashenij pri realizacii investicionnyh proektov razvitija infrastruktury vnutrennih vodnyh putej // Zhurnal universiteta vodnyh kommunikacij. 2010.  №3. URL: </w:t>
      </w:r>
      <w:hyperlink r:id="rId15" w:history="1">
        <w:r w:rsidRPr="00AC0CA6">
          <w:rPr>
            <w:rStyle w:val="Hyperlink"/>
            <w:rFonts w:ascii="Times New Roman" w:hAnsi="Times New Roman"/>
            <w:sz w:val="24"/>
            <w:szCs w:val="24"/>
            <w:lang w:val="en-US"/>
          </w:rPr>
          <w:t>http://cyberleninka.ru/article/n/metody-otsenki-ekonomicheskogo-effekta-uchastnikov-kontsessionnyh-soglasheniy-pri-realizatsii-investitsionnyh-proektov-razvitiya</w:t>
        </w:r>
      </w:hyperlink>
      <w:r w:rsidRPr="003E00A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62CFE">
        <w:rPr>
          <w:rFonts w:ascii="Times New Roman" w:hAnsi="Times New Roman"/>
          <w:sz w:val="24"/>
          <w:szCs w:val="24"/>
          <w:lang w:val="en-US"/>
        </w:rPr>
        <w:t>(data obrashhenija: 03.05.2013).</w:t>
      </w:r>
      <w:r w:rsidRPr="00E62CF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</w:p>
    <w:p w:rsidR="00330B59" w:rsidRPr="00314C1E" w:rsidRDefault="00330B59" w:rsidP="009E140A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91363B">
        <w:rPr>
          <w:rFonts w:ascii="Times New Roman" w:hAnsi="Times New Roman"/>
          <w:sz w:val="24"/>
          <w:szCs w:val="24"/>
          <w:lang w:val="en-US"/>
        </w:rPr>
        <w:t>5.</w:t>
      </w:r>
      <w:r w:rsidRPr="0091363B">
        <w:rPr>
          <w:rFonts w:ascii="Times New Roman" w:hAnsi="Times New Roman"/>
          <w:sz w:val="24"/>
          <w:szCs w:val="24"/>
          <w:lang w:val="en-US"/>
        </w:rPr>
        <w:tab/>
        <w:t xml:space="preserve">Larionova N.I., N.L.Zagajnova. Konceptual'nye osnovy strukturnoj diversifikacii jekonomiki // Vestnik Marijskogo gosudarstvennogo tehnicheskogo universiteta. </w:t>
      </w:r>
      <w:r w:rsidRPr="00314C1E">
        <w:rPr>
          <w:rFonts w:ascii="Times New Roman" w:hAnsi="Times New Roman"/>
          <w:sz w:val="24"/>
          <w:szCs w:val="24"/>
          <w:lang w:val="en-US"/>
        </w:rPr>
        <w:t xml:space="preserve">Jekonomika i Upravlenie. – 2009. №2. – S.17-30 </w:t>
      </w:r>
    </w:p>
    <w:p w:rsidR="00330B59" w:rsidRPr="00314C1E" w:rsidRDefault="00330B59">
      <w:pPr>
        <w:rPr>
          <w:lang w:val="en-US"/>
        </w:rPr>
      </w:pPr>
    </w:p>
    <w:sectPr w:rsidR="00330B59" w:rsidRPr="00314C1E" w:rsidSect="0064653C">
      <w:headerReference w:type="even" r:id="rId16"/>
      <w:headerReference w:type="default" r:id="rId17"/>
      <w:footerReference w:type="default" r:id="rId1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B59" w:rsidRDefault="00330B59" w:rsidP="00750F1F">
      <w:pPr>
        <w:spacing w:after="0" w:line="240" w:lineRule="auto"/>
      </w:pPr>
      <w:r>
        <w:separator/>
      </w:r>
    </w:p>
  </w:endnote>
  <w:endnote w:type="continuationSeparator" w:id="1">
    <w:p w:rsidR="00330B59" w:rsidRDefault="00330B59" w:rsidP="00750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B59" w:rsidRPr="00427A8C" w:rsidRDefault="00330B59">
    <w:pPr>
      <w:pStyle w:val="Footer"/>
      <w:rPr>
        <w:rFonts w:ascii="Times New Roman" w:hAnsi="Times New Roman"/>
      </w:rPr>
    </w:pPr>
    <w:r w:rsidRPr="00427A8C">
      <w:rPr>
        <w:rFonts w:ascii="Times New Roman" w:hAnsi="Times New Roman"/>
        <w:sz w:val="24"/>
        <w:szCs w:val="24"/>
      </w:rPr>
      <w:t>http://ej.kubagro.ru/201</w:t>
    </w:r>
    <w:r w:rsidRPr="00427A8C">
      <w:rPr>
        <w:rFonts w:ascii="Times New Roman" w:hAnsi="Times New Roman"/>
        <w:sz w:val="24"/>
        <w:szCs w:val="24"/>
        <w:lang w:val="en-US"/>
      </w:rPr>
      <w:t>3</w:t>
    </w:r>
    <w:r w:rsidRPr="00427A8C">
      <w:rPr>
        <w:rFonts w:ascii="Times New Roman" w:hAnsi="Times New Roman"/>
        <w:sz w:val="24"/>
        <w:szCs w:val="24"/>
      </w:rPr>
      <w:t>/</w:t>
    </w:r>
    <w:r w:rsidRPr="00427A8C">
      <w:rPr>
        <w:rFonts w:ascii="Times New Roman" w:hAnsi="Times New Roman"/>
        <w:sz w:val="24"/>
        <w:szCs w:val="24"/>
        <w:lang w:val="en-US"/>
      </w:rPr>
      <w:t>06</w:t>
    </w:r>
    <w:r w:rsidRPr="00427A8C">
      <w:rPr>
        <w:rFonts w:ascii="Times New Roman" w:hAnsi="Times New Roman"/>
        <w:sz w:val="24"/>
        <w:szCs w:val="24"/>
      </w:rPr>
      <w:t>/pdf/</w:t>
    </w:r>
    <w:r w:rsidRPr="00427A8C">
      <w:rPr>
        <w:rFonts w:ascii="Times New Roman" w:hAnsi="Times New Roman"/>
        <w:sz w:val="24"/>
        <w:szCs w:val="24"/>
        <w:lang w:val="en-US"/>
      </w:rPr>
      <w:t>3</w:t>
    </w:r>
    <w:r>
      <w:rPr>
        <w:rFonts w:ascii="Times New Roman" w:hAnsi="Times New Roman"/>
        <w:sz w:val="24"/>
        <w:szCs w:val="24"/>
        <w:lang w:val="en-US"/>
      </w:rPr>
      <w:t>4</w:t>
    </w:r>
    <w:r w:rsidRPr="00427A8C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B59" w:rsidRDefault="00330B59" w:rsidP="00750F1F">
      <w:pPr>
        <w:spacing w:after="0" w:line="240" w:lineRule="auto"/>
      </w:pPr>
      <w:r>
        <w:separator/>
      </w:r>
    </w:p>
  </w:footnote>
  <w:footnote w:type="continuationSeparator" w:id="1">
    <w:p w:rsidR="00330B59" w:rsidRDefault="00330B59" w:rsidP="00750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B59" w:rsidRDefault="00330B59" w:rsidP="000B3E1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0B59" w:rsidRDefault="00330B59" w:rsidP="007C7AD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B59" w:rsidRPr="007C7ADA" w:rsidRDefault="00330B59" w:rsidP="000B3E1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7C7ADA">
      <w:rPr>
        <w:rStyle w:val="PageNumber"/>
        <w:rFonts w:ascii="Times New Roman" w:hAnsi="Times New Roman"/>
        <w:sz w:val="28"/>
        <w:szCs w:val="28"/>
      </w:rPr>
      <w:fldChar w:fldCharType="begin"/>
    </w:r>
    <w:r w:rsidRPr="007C7ADA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7C7ADA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7C7ADA">
      <w:rPr>
        <w:rStyle w:val="PageNumber"/>
        <w:rFonts w:ascii="Times New Roman" w:hAnsi="Times New Roman"/>
        <w:sz w:val="28"/>
        <w:szCs w:val="28"/>
      </w:rPr>
      <w:fldChar w:fldCharType="end"/>
    </w:r>
  </w:p>
  <w:p w:rsidR="00330B59" w:rsidRPr="007C7ADA" w:rsidRDefault="00330B59" w:rsidP="007C7ADA">
    <w:pPr>
      <w:pStyle w:val="Header"/>
      <w:ind w:right="360"/>
      <w:rPr>
        <w:rFonts w:ascii="Times New Roman" w:hAnsi="Times New Roman"/>
      </w:rPr>
    </w:pPr>
    <w:r w:rsidRPr="007C7ADA">
      <w:rPr>
        <w:rFonts w:ascii="Times New Roman" w:hAnsi="Times New Roman"/>
        <w:sz w:val="24"/>
        <w:szCs w:val="24"/>
      </w:rPr>
      <w:t>Научный журнал КубГАУ, №</w:t>
    </w:r>
    <w:r w:rsidRPr="007C7ADA">
      <w:rPr>
        <w:rFonts w:ascii="Times New Roman" w:hAnsi="Times New Roman"/>
        <w:sz w:val="24"/>
        <w:szCs w:val="24"/>
        <w:lang w:val="en-US"/>
      </w:rPr>
      <w:t>90</w:t>
    </w:r>
    <w:r w:rsidRPr="007C7ADA">
      <w:rPr>
        <w:rFonts w:ascii="Times New Roman" w:hAnsi="Times New Roman"/>
        <w:sz w:val="24"/>
        <w:szCs w:val="24"/>
      </w:rPr>
      <w:t>(</w:t>
    </w:r>
    <w:r w:rsidRPr="007C7ADA">
      <w:rPr>
        <w:rFonts w:ascii="Times New Roman" w:hAnsi="Times New Roman"/>
        <w:sz w:val="24"/>
        <w:szCs w:val="24"/>
        <w:lang w:val="en-US"/>
      </w:rPr>
      <w:t>06</w:t>
    </w:r>
    <w:r w:rsidRPr="007C7ADA">
      <w:rPr>
        <w:rFonts w:ascii="Times New Roman" w:hAnsi="Times New Roman"/>
        <w:sz w:val="24"/>
        <w:szCs w:val="24"/>
      </w:rPr>
      <w:t>), 201</w:t>
    </w:r>
    <w:r w:rsidRPr="007C7ADA">
      <w:rPr>
        <w:rFonts w:ascii="Times New Roman" w:hAnsi="Times New Roman"/>
        <w:sz w:val="24"/>
        <w:szCs w:val="24"/>
        <w:lang w:val="en-US"/>
      </w:rPr>
      <w:t>3</w:t>
    </w:r>
    <w:r w:rsidRPr="007C7ADA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F"/>
    <w:multiLevelType w:val="singleLevel"/>
    <w:tmpl w:val="49A0FACC"/>
    <w:name w:val="WW8Num32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cs="Times New Roman"/>
        <w:b w:val="0"/>
      </w:rPr>
    </w:lvl>
  </w:abstractNum>
  <w:abstractNum w:abstractNumId="1">
    <w:nsid w:val="04224ED6"/>
    <w:multiLevelType w:val="multilevel"/>
    <w:tmpl w:val="4CCC8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DB7643"/>
    <w:multiLevelType w:val="hybridMultilevel"/>
    <w:tmpl w:val="48380E50"/>
    <w:lvl w:ilvl="0" w:tplc="5C6E3F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0CE5879"/>
    <w:multiLevelType w:val="hybridMultilevel"/>
    <w:tmpl w:val="C90086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8F2FEF"/>
    <w:multiLevelType w:val="hybridMultilevel"/>
    <w:tmpl w:val="312851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F3E36D6"/>
    <w:multiLevelType w:val="singleLevel"/>
    <w:tmpl w:val="840E7A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</w:abstractNum>
  <w:abstractNum w:abstractNumId="6">
    <w:nsid w:val="1F95519E"/>
    <w:multiLevelType w:val="hybridMultilevel"/>
    <w:tmpl w:val="B2B08E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431F1A"/>
    <w:multiLevelType w:val="hybridMultilevel"/>
    <w:tmpl w:val="917A5FF8"/>
    <w:lvl w:ilvl="0" w:tplc="DD9C49E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AB63F0C"/>
    <w:multiLevelType w:val="singleLevel"/>
    <w:tmpl w:val="04190001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</w:abstractNum>
  <w:abstractNum w:abstractNumId="9">
    <w:nsid w:val="32CA2B0F"/>
    <w:multiLevelType w:val="hybridMultilevel"/>
    <w:tmpl w:val="0EA2A4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70B6996"/>
    <w:multiLevelType w:val="hybridMultilevel"/>
    <w:tmpl w:val="C7F6BC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A5467ED"/>
    <w:multiLevelType w:val="hybridMultilevel"/>
    <w:tmpl w:val="5472EA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B1961B2"/>
    <w:multiLevelType w:val="hybridMultilevel"/>
    <w:tmpl w:val="36E69126"/>
    <w:lvl w:ilvl="0" w:tplc="99E0ABD2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5742307"/>
    <w:multiLevelType w:val="hybridMultilevel"/>
    <w:tmpl w:val="0FD6D17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799085B"/>
    <w:multiLevelType w:val="hybridMultilevel"/>
    <w:tmpl w:val="97A4E0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C8D5C6C"/>
    <w:multiLevelType w:val="hybridMultilevel"/>
    <w:tmpl w:val="DF22B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06415D9"/>
    <w:multiLevelType w:val="multilevel"/>
    <w:tmpl w:val="B0D4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0BE253F"/>
    <w:multiLevelType w:val="multilevel"/>
    <w:tmpl w:val="8892E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0"/>
  </w:num>
  <w:num w:numId="9">
    <w:abstractNumId w:val="17"/>
  </w:num>
  <w:num w:numId="10">
    <w:abstractNumId w:val="16"/>
  </w:num>
  <w:num w:numId="11">
    <w:abstractNumId w:val="1"/>
  </w:num>
  <w:num w:numId="12">
    <w:abstractNumId w:val="8"/>
  </w:num>
  <w:num w:numId="13">
    <w:abstractNumId w:val="7"/>
  </w:num>
  <w:num w:numId="14">
    <w:abstractNumId w:val="14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"/>
  </w:num>
  <w:num w:numId="18">
    <w:abstractNumId w:val="5"/>
    <w:lvlOverride w:ilvl="0">
      <w:startOverride w:val="1"/>
    </w:lvlOverride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0F1F"/>
    <w:rsid w:val="000003BE"/>
    <w:rsid w:val="000B3E15"/>
    <w:rsid w:val="000C435C"/>
    <w:rsid w:val="000E368E"/>
    <w:rsid w:val="00102489"/>
    <w:rsid w:val="0012236A"/>
    <w:rsid w:val="00142AB4"/>
    <w:rsid w:val="00151476"/>
    <w:rsid w:val="001F717E"/>
    <w:rsid w:val="002B69C9"/>
    <w:rsid w:val="00314C1E"/>
    <w:rsid w:val="00330B59"/>
    <w:rsid w:val="003C43F5"/>
    <w:rsid w:val="003E00A9"/>
    <w:rsid w:val="003E1AD0"/>
    <w:rsid w:val="003E5F51"/>
    <w:rsid w:val="00404353"/>
    <w:rsid w:val="00427A8C"/>
    <w:rsid w:val="004618D7"/>
    <w:rsid w:val="004950FF"/>
    <w:rsid w:val="004A3483"/>
    <w:rsid w:val="005A2736"/>
    <w:rsid w:val="005C1B67"/>
    <w:rsid w:val="0064653C"/>
    <w:rsid w:val="0066454F"/>
    <w:rsid w:val="00675D00"/>
    <w:rsid w:val="0068714A"/>
    <w:rsid w:val="0069301B"/>
    <w:rsid w:val="006B0A19"/>
    <w:rsid w:val="007215C0"/>
    <w:rsid w:val="00724C75"/>
    <w:rsid w:val="00750F1F"/>
    <w:rsid w:val="007A0494"/>
    <w:rsid w:val="007C7ADA"/>
    <w:rsid w:val="007D2C2C"/>
    <w:rsid w:val="007F26E1"/>
    <w:rsid w:val="00823738"/>
    <w:rsid w:val="0088218E"/>
    <w:rsid w:val="00894233"/>
    <w:rsid w:val="008F3E97"/>
    <w:rsid w:val="0091363B"/>
    <w:rsid w:val="0097370C"/>
    <w:rsid w:val="009C1CD7"/>
    <w:rsid w:val="009D45C9"/>
    <w:rsid w:val="009E140A"/>
    <w:rsid w:val="00A272BD"/>
    <w:rsid w:val="00A4536D"/>
    <w:rsid w:val="00AC0CA6"/>
    <w:rsid w:val="00AF5CBC"/>
    <w:rsid w:val="00B77D4C"/>
    <w:rsid w:val="00B92B66"/>
    <w:rsid w:val="00BA24CD"/>
    <w:rsid w:val="00BA4D9D"/>
    <w:rsid w:val="00BE26F0"/>
    <w:rsid w:val="00C07BD5"/>
    <w:rsid w:val="00C34BD7"/>
    <w:rsid w:val="00C35D32"/>
    <w:rsid w:val="00C41E1F"/>
    <w:rsid w:val="00C4760C"/>
    <w:rsid w:val="00C7690B"/>
    <w:rsid w:val="00DD29D7"/>
    <w:rsid w:val="00DE08C7"/>
    <w:rsid w:val="00E03FD2"/>
    <w:rsid w:val="00E62CFE"/>
    <w:rsid w:val="00E72C64"/>
    <w:rsid w:val="00E77AAE"/>
    <w:rsid w:val="00EB6AF3"/>
    <w:rsid w:val="00EE2EBC"/>
    <w:rsid w:val="00F01E20"/>
    <w:rsid w:val="00FD510C"/>
    <w:rsid w:val="00FF3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50F1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50F1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50F1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50F1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50F1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50F1F"/>
    <w:pPr>
      <w:ind w:left="720"/>
      <w:contextualSpacing/>
    </w:pPr>
  </w:style>
  <w:style w:type="character" w:customStyle="1" w:styleId="hproduct">
    <w:name w:val="hproduct"/>
    <w:basedOn w:val="DefaultParagraphFont"/>
    <w:uiPriority w:val="99"/>
    <w:rsid w:val="00750F1F"/>
    <w:rPr>
      <w:rFonts w:cs="Times New Roman"/>
    </w:rPr>
  </w:style>
  <w:style w:type="table" w:styleId="TableGrid">
    <w:name w:val="Table Grid"/>
    <w:basedOn w:val="TableNormal"/>
    <w:uiPriority w:val="99"/>
    <w:rsid w:val="00750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50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50F1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50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50F1F"/>
    <w:rPr>
      <w:rFonts w:cs="Times New Roman"/>
    </w:rPr>
  </w:style>
  <w:style w:type="paragraph" w:styleId="NormalWeb">
    <w:name w:val="Normal (Web)"/>
    <w:basedOn w:val="Normal"/>
    <w:uiPriority w:val="99"/>
    <w:rsid w:val="00750F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750F1F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750F1F"/>
    <w:rPr>
      <w:rFonts w:ascii="Times New Roman" w:hAnsi="Times New Roman" w:cs="Times New Rom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750F1F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50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0F1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50F1F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750F1F"/>
    <w:rPr>
      <w:rFonts w:cs="Times New Roman"/>
      <w:b/>
      <w:bCs/>
    </w:rPr>
  </w:style>
  <w:style w:type="paragraph" w:styleId="Subtitle">
    <w:name w:val="Subtitle"/>
    <w:basedOn w:val="Normal"/>
    <w:next w:val="Normal"/>
    <w:link w:val="SubtitleChar"/>
    <w:uiPriority w:val="99"/>
    <w:qFormat/>
    <w:rsid w:val="00750F1F"/>
    <w:pPr>
      <w:numPr>
        <w:ilvl w:val="1"/>
      </w:numPr>
      <w:suppressAutoHyphens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50F1F"/>
    <w:rPr>
      <w:rFonts w:ascii="Cambria" w:hAnsi="Cambria" w:cs="Times New Roman"/>
      <w:i/>
      <w:iCs/>
      <w:color w:val="4F81BD"/>
      <w:spacing w:val="15"/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750F1F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50F1F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750F1F"/>
    <w:pPr>
      <w:spacing w:after="0" w:line="240" w:lineRule="auto"/>
      <w:ind w:left="540" w:firstLine="72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50F1F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750F1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50F1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750F1F"/>
    <w:pPr>
      <w:spacing w:after="0" w:line="240" w:lineRule="auto"/>
      <w:ind w:left="540" w:firstLine="126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50F1F"/>
    <w:rPr>
      <w:rFonts w:ascii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750F1F"/>
    <w:pPr>
      <w:spacing w:after="0" w:line="240" w:lineRule="auto"/>
      <w:ind w:left="180" w:firstLine="54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50F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eiaoaenoiaaynnueea">
    <w:name w:val="Aeia?oaenoiaay nnueea"/>
    <w:basedOn w:val="DefaultParagraphFont"/>
    <w:uiPriority w:val="99"/>
    <w:rsid w:val="00750F1F"/>
    <w:rPr>
      <w:rFonts w:cs="Times New Roman"/>
      <w:color w:val="008000"/>
      <w:sz w:val="20"/>
      <w:u w:val="single"/>
    </w:rPr>
  </w:style>
  <w:style w:type="paragraph" w:customStyle="1" w:styleId="21">
    <w:name w:val="Основной текст с отступом 21"/>
    <w:basedOn w:val="Normal"/>
    <w:uiPriority w:val="99"/>
    <w:rsid w:val="00750F1F"/>
    <w:pPr>
      <w:widowControl w:val="0"/>
      <w:overflowPunct w:val="0"/>
      <w:autoSpaceDE w:val="0"/>
      <w:autoSpaceDN w:val="0"/>
      <w:adjustRightInd w:val="0"/>
      <w:spacing w:after="0" w:line="240" w:lineRule="auto"/>
      <w:ind w:firstLine="822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Normal"/>
    <w:uiPriority w:val="99"/>
    <w:rsid w:val="00750F1F"/>
    <w:pPr>
      <w:widowControl w:val="0"/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0">
    <w:name w:val="Основной текст 21"/>
    <w:basedOn w:val="Normal"/>
    <w:uiPriority w:val="99"/>
    <w:rsid w:val="00750F1F"/>
    <w:pPr>
      <w:widowControl w:val="0"/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 CYR" w:eastAsia="Times New Roman" w:hAnsi="Times New Roman CYR"/>
      <w:sz w:val="26"/>
      <w:szCs w:val="20"/>
      <w:lang w:eastAsia="ru-RU"/>
    </w:rPr>
  </w:style>
  <w:style w:type="character" w:customStyle="1" w:styleId="Iaanooieeaneeo">
    <w:name w:val="Ia anooiee a neeo"/>
    <w:basedOn w:val="DefaultParagraphFont"/>
    <w:uiPriority w:val="99"/>
    <w:rsid w:val="00750F1F"/>
    <w:rPr>
      <w:rFonts w:cs="Times New Roman"/>
      <w:color w:val="008080"/>
      <w:sz w:val="20"/>
    </w:rPr>
  </w:style>
  <w:style w:type="paragraph" w:customStyle="1" w:styleId="a">
    <w:name w:val="Абз"/>
    <w:basedOn w:val="Normal"/>
    <w:uiPriority w:val="99"/>
    <w:rsid w:val="00750F1F"/>
    <w:pPr>
      <w:widowControl w:val="0"/>
      <w:autoSpaceDE w:val="0"/>
      <w:autoSpaceDN w:val="0"/>
      <w:adjustRightInd w:val="0"/>
      <w:spacing w:after="0" w:line="460" w:lineRule="exact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750F1F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750F1F"/>
    <w:rPr>
      <w:rFonts w:cs="Times New Roman"/>
      <w:i/>
      <w:iCs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50F1F"/>
    <w:rPr>
      <w:rFonts w:ascii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750F1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Pr>
      <w:rFonts w:cs="Times New Roman"/>
      <w:sz w:val="20"/>
      <w:szCs w:val="20"/>
      <w:lang w:eastAsia="en-US"/>
    </w:rPr>
  </w:style>
  <w:style w:type="character" w:customStyle="1" w:styleId="1">
    <w:name w:val="Текст сноски Знак1"/>
    <w:basedOn w:val="DefaultParagraphFont"/>
    <w:uiPriority w:val="99"/>
    <w:semiHidden/>
    <w:rsid w:val="00750F1F"/>
    <w:rPr>
      <w:rFonts w:cs="Times New Roman"/>
      <w:sz w:val="20"/>
      <w:szCs w:val="20"/>
    </w:rPr>
  </w:style>
  <w:style w:type="paragraph" w:customStyle="1" w:styleId="a0">
    <w:name w:val="Знак Знак Знак Знак"/>
    <w:basedOn w:val="Normal"/>
    <w:uiPriority w:val="99"/>
    <w:rsid w:val="00750F1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rsid w:val="00750F1F"/>
    <w:rPr>
      <w:rFonts w:cs="Times New Roman"/>
      <w:vertAlign w:val="superscript"/>
    </w:rPr>
  </w:style>
  <w:style w:type="character" w:styleId="FollowedHyperlink">
    <w:name w:val="FollowedHyperlink"/>
    <w:basedOn w:val="DefaultParagraphFont"/>
    <w:uiPriority w:val="99"/>
    <w:semiHidden/>
    <w:rsid w:val="00750F1F"/>
    <w:rPr>
      <w:rFonts w:cs="Times New Roman"/>
      <w:color w:val="800080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7215C0"/>
    <w:rPr>
      <w:rFonts w:cs="Times New Roman"/>
    </w:rPr>
  </w:style>
  <w:style w:type="paragraph" w:styleId="NoSpacing">
    <w:name w:val="No Spacing"/>
    <w:uiPriority w:val="99"/>
    <w:qFormat/>
    <w:rsid w:val="0064653C"/>
    <w:rPr>
      <w:lang w:eastAsia="en-US"/>
    </w:rPr>
  </w:style>
  <w:style w:type="paragraph" w:customStyle="1" w:styleId="a1">
    <w:name w:val="ОбычныйТекст"/>
    <w:basedOn w:val="Normal"/>
    <w:uiPriority w:val="99"/>
    <w:rsid w:val="00E62CFE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PageNumber">
    <w:name w:val="page number"/>
    <w:basedOn w:val="DefaultParagraphFont"/>
    <w:uiPriority w:val="99"/>
    <w:locked/>
    <w:rsid w:val="007C7AD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48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cyberleninka.ru/article/n/metody-otsenki-ekonomicheskogo-effekta-uchastnikov-kontsessionnyh-soglasheniy-pri-realizatsii-investitsionnyh-proektov-razvitiya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12</Pages>
  <Words>2926</Words>
  <Characters>16684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2013-06-03T06:05:00Z</cp:lastPrinted>
  <dcterms:created xsi:type="dcterms:W3CDTF">2013-06-04T13:13:00Z</dcterms:created>
  <dcterms:modified xsi:type="dcterms:W3CDTF">2013-06-25T08:34:00Z</dcterms:modified>
</cp:coreProperties>
</file>