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C95829" w:rsidRPr="00A410D0" w:rsidTr="00686B4A">
        <w:trPr>
          <w:trHeight w:val="268"/>
        </w:trPr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0D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hyperlink r:id="rId7" w:history="1">
              <w:r w:rsidRPr="00A410D0">
                <w:rPr>
                  <w:rFonts w:ascii="Times New Roman" w:hAnsi="Times New Roman"/>
                  <w:bCs/>
                  <w:color w:val="000000"/>
                  <w:sz w:val="20"/>
                  <w:szCs w:val="20"/>
                  <w:lang w:eastAsia="ru-RU"/>
                </w:rPr>
                <w:t>336.225.6</w:t>
              </w:r>
              <w:hyperlink r:id="rId8" w:history="1">
                <w:r w:rsidRPr="00A410D0">
                  <w:rPr>
                    <w:rFonts w:ascii="Times New Roman" w:hAnsi="Times New Roman"/>
                    <w:bCs/>
                    <w:color w:val="000000"/>
                    <w:sz w:val="20"/>
                    <w:szCs w:val="20"/>
                    <w:lang w:eastAsia="ru-RU"/>
                  </w:rPr>
                  <w:t>2</w:t>
                </w:r>
              </w:hyperlink>
            </w:hyperlink>
          </w:p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410D0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UDC </w:t>
            </w:r>
            <w:hyperlink r:id="rId9" w:history="1">
              <w:r w:rsidRPr="00A410D0">
                <w:rPr>
                  <w:rFonts w:ascii="Times New Roman" w:hAnsi="Times New Roman"/>
                  <w:bCs/>
                  <w:color w:val="000000"/>
                  <w:sz w:val="20"/>
                  <w:szCs w:val="20"/>
                  <w:lang w:val="en-US" w:eastAsia="ru-RU"/>
                </w:rPr>
                <w:t>336.225.6</w:t>
              </w:r>
              <w:hyperlink r:id="rId10" w:history="1">
                <w:r w:rsidRPr="00A410D0">
                  <w:rPr>
                    <w:rFonts w:ascii="Times New Roman" w:hAnsi="Times New Roman"/>
                    <w:bCs/>
                    <w:color w:val="000000"/>
                    <w:sz w:val="20"/>
                    <w:szCs w:val="20"/>
                    <w:lang w:val="en-US" w:eastAsia="ru-RU"/>
                  </w:rPr>
                  <w:t>2</w:t>
                </w:r>
              </w:hyperlink>
            </w:hyperlink>
          </w:p>
        </w:tc>
      </w:tr>
      <w:tr w:rsidR="00C95829" w:rsidRPr="00A410D0" w:rsidTr="00C54F66">
        <w:trPr>
          <w:trHeight w:val="1151"/>
        </w:trPr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10D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РАЗЛИЧНЫЕ ВАРИАНТЫ СООТНОШЕНИЯ МОДЕЛЕЙ И СИСТЕМ БУХГАЛТЕРСКОГО (ФИНАНСОВОГО И УПРАВЛЕНЧЕСКОГО) И НАЛОГОВОГО УЧЕТОВ ДЛЯ ЦЕЛЕЙ ОПТИМИЗАЦИИ НАЛОГООБЛОЖЕНИЯ</w:t>
            </w: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A410D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VARIOUS OPTIONS OF THE RATIO OF MODELS AND SYSTEMS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OF </w:t>
            </w:r>
            <w:r w:rsidRPr="00A410D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ACCOUNTING (FINANCIAL AND ADMINISTRATIVE) AND TAX ACCOUNTS FOR TAXATION OPTIMIZATION</w:t>
            </w:r>
          </w:p>
        </w:tc>
      </w:tr>
      <w:tr w:rsidR="00C95829" w:rsidRPr="00A410D0" w:rsidTr="00686B4A">
        <w:trPr>
          <w:trHeight w:val="115"/>
        </w:trPr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C95829" w:rsidRPr="00C54F66" w:rsidTr="00C35210">
        <w:trPr>
          <w:trHeight w:val="551"/>
        </w:trPr>
        <w:tc>
          <w:tcPr>
            <w:tcW w:w="2500" w:type="pct"/>
            <w:shd w:val="clear" w:color="auto" w:fill="FFFFFF"/>
          </w:tcPr>
          <w:p w:rsidR="00C95829" w:rsidRPr="00C54F66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>Сигидов Юрий Иванович</w:t>
            </w:r>
          </w:p>
          <w:p w:rsidR="00C95829" w:rsidRPr="00D4057D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  <w:r w:rsidRPr="00D4057D">
              <w:rPr>
                <w:rFonts w:ascii="Times New Roman" w:hAnsi="Times New Roman"/>
                <w:sz w:val="20"/>
                <w:szCs w:val="20"/>
              </w:rPr>
              <w:t>,</w:t>
            </w:r>
            <w:r w:rsidRPr="00F138C4">
              <w:rPr>
                <w:rFonts w:ascii="Times New Roman" w:hAnsi="Times New Roman"/>
                <w:sz w:val="20"/>
                <w:szCs w:val="20"/>
              </w:rPr>
              <w:t xml:space="preserve"> заслуж</w:t>
            </w:r>
            <w:r>
              <w:rPr>
                <w:rFonts w:ascii="Times New Roman" w:hAnsi="Times New Roman"/>
                <w:sz w:val="20"/>
                <w:szCs w:val="20"/>
              </w:rPr>
              <w:t>енный работник высшей школы РФ</w:t>
            </w:r>
          </w:p>
        </w:tc>
        <w:tc>
          <w:tcPr>
            <w:tcW w:w="2500" w:type="pct"/>
            <w:shd w:val="clear" w:color="auto" w:fill="FFFFFF"/>
          </w:tcPr>
          <w:p w:rsidR="00C95829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Sigidov Yuri Ivanovich</w:t>
            </w:r>
          </w:p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Dr.Sci.Econ,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Honored Worker of Higher Education of the Russian Federation </w:t>
            </w:r>
          </w:p>
        </w:tc>
      </w:tr>
      <w:tr w:rsidR="00C95829" w:rsidRPr="00C54F66" w:rsidTr="00C35210">
        <w:trPr>
          <w:trHeight w:val="159"/>
        </w:trPr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C95829" w:rsidRPr="00C54F66" w:rsidTr="00C35210">
        <w:trPr>
          <w:trHeight w:val="551"/>
        </w:trPr>
        <w:tc>
          <w:tcPr>
            <w:tcW w:w="2500" w:type="pct"/>
            <w:shd w:val="clear" w:color="auto" w:fill="FFFFFF"/>
          </w:tcPr>
          <w:p w:rsidR="00C95829" w:rsidRPr="00C54F66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>Гапоненко Юрий Алексеевич</w:t>
            </w:r>
          </w:p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 xml:space="preserve">к.э.н., доцент кафедры налогов и налогообложения </w:t>
            </w:r>
          </w:p>
        </w:tc>
        <w:tc>
          <w:tcPr>
            <w:tcW w:w="2500" w:type="pct"/>
            <w:shd w:val="clear" w:color="auto" w:fill="FFFFFF"/>
          </w:tcPr>
          <w:p w:rsidR="00C95829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Gaponenko Yury Alekseevich</w:t>
            </w:r>
          </w:p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Cand.Econ.Sci., associate professor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T</w:t>
            </w: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axes and taxation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</w:t>
            </w:r>
          </w:p>
        </w:tc>
      </w:tr>
      <w:tr w:rsidR="00C95829" w:rsidRPr="00C54F66" w:rsidTr="00C35210">
        <w:trPr>
          <w:trHeight w:val="119"/>
        </w:trPr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C95829" w:rsidRPr="00C54F66" w:rsidTr="00C35210">
        <w:trPr>
          <w:trHeight w:val="513"/>
        </w:trPr>
        <w:tc>
          <w:tcPr>
            <w:tcW w:w="2500" w:type="pct"/>
            <w:shd w:val="clear" w:color="auto" w:fill="FFFFFF"/>
          </w:tcPr>
          <w:p w:rsidR="00C95829" w:rsidRPr="00C54F66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>Баранников Антон Александрович</w:t>
            </w:r>
          </w:p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</w:tc>
        <w:tc>
          <w:tcPr>
            <w:tcW w:w="2500" w:type="pct"/>
            <w:shd w:val="clear" w:color="auto" w:fill="FFFFFF"/>
          </w:tcPr>
          <w:p w:rsidR="00C95829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Barannikov Anton Aleksandrovich</w:t>
            </w:r>
          </w:p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R</w:t>
            </w:r>
            <w:r w:rsidRPr="00F138C4">
              <w:rPr>
                <w:rFonts w:ascii="Times New Roman" w:hAnsi="Times New Roman"/>
                <w:sz w:val="20"/>
                <w:szCs w:val="20"/>
                <w:lang w:val="en-US"/>
              </w:rPr>
              <w:t>egistration and financial faculty</w:t>
            </w:r>
          </w:p>
        </w:tc>
      </w:tr>
      <w:tr w:rsidR="00C95829" w:rsidRPr="00C54F66" w:rsidTr="00C35210">
        <w:trPr>
          <w:trHeight w:val="527"/>
        </w:trPr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38C4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500" w:type="pct"/>
            <w:shd w:val="clear" w:color="auto" w:fill="FFFFFF"/>
          </w:tcPr>
          <w:p w:rsidR="00C95829" w:rsidRPr="00F138C4" w:rsidRDefault="00C95829" w:rsidP="00C352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138C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C95829" w:rsidRPr="00A410D0" w:rsidTr="00686B4A">
        <w:trPr>
          <w:trHeight w:val="261"/>
        </w:trPr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</w:p>
        </w:tc>
      </w:tr>
      <w:tr w:rsidR="00C95829" w:rsidRPr="00A410D0" w:rsidTr="00686B4A">
        <w:trPr>
          <w:trHeight w:val="1166"/>
        </w:trPr>
        <w:tc>
          <w:tcPr>
            <w:tcW w:w="2500" w:type="pct"/>
            <w:shd w:val="clear" w:color="auto" w:fill="FFFFFF"/>
          </w:tcPr>
          <w:p w:rsidR="00C95829" w:rsidRPr="00C54F66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10D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 статье приводятся и описываются способы моделирования системы управленческого учета для целей налогообложения при различных вариантах соотношения бухгалтерского и налогового учетов, подробно разбираются различные системы </w:t>
            </w:r>
            <w:r w:rsidRPr="00A410D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формирования показателей налоговой декларации по данным автономного налогового учета и формирования показателей налоговой отчетности в системе управленческого учета</w:t>
            </w: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 the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ways of modeling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system of management accounting for taxation are brought and described at various options of ratio of accounting and tax accounts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;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various systems of formation of indicators of the tax declaration according to autonomous tax accounting and formation of indicators of the tax reporting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system of management accountin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g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are examined in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detail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</w:p>
        </w:tc>
      </w:tr>
      <w:tr w:rsidR="00C95829" w:rsidRPr="00A410D0" w:rsidTr="00686B4A">
        <w:trPr>
          <w:trHeight w:val="249"/>
        </w:trPr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C95829" w:rsidRPr="00A410D0" w:rsidTr="00686B4A">
        <w:trPr>
          <w:trHeight w:val="389"/>
        </w:trPr>
        <w:tc>
          <w:tcPr>
            <w:tcW w:w="2500" w:type="pct"/>
            <w:shd w:val="clear" w:color="auto" w:fill="FFFFFF"/>
          </w:tcPr>
          <w:p w:rsidR="00C95829" w:rsidRPr="00C54F66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10D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УПРАВЛЕНЧЕСКИЙ УЧЕТ, НАЛОГОВЫЙ УЧЕТ, СИСТЕМА ФОРМИРОВАНИЯ ПОКАЗАТЕ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ЛЕЙ, СООТНОШЕНИЕ, МОДЕЛИРОВАНИЕ</w:t>
            </w:r>
          </w:p>
        </w:tc>
        <w:tc>
          <w:tcPr>
            <w:tcW w:w="2500" w:type="pct"/>
            <w:shd w:val="clear" w:color="auto" w:fill="FFFFFF"/>
          </w:tcPr>
          <w:p w:rsidR="00C95829" w:rsidRPr="00A410D0" w:rsidRDefault="00C95829" w:rsidP="00686B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words: MANAGEMENT ACCOUNTING, TAX ACCOUNTING, SYSTEM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OF</w:t>
            </w:r>
            <w:r w:rsidRPr="00A410D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FORMATION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OF INDICATORS, RATIO, MODELLING</w:t>
            </w:r>
          </w:p>
        </w:tc>
      </w:tr>
    </w:tbl>
    <w:p w:rsidR="00C95829" w:rsidRPr="00A410D0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требованиями </w:t>
      </w:r>
      <w:hyperlink r:id="rId11" w:anchor="l3997" w:history="1">
        <w:r w:rsidRPr="00667C62">
          <w:rPr>
            <w:rFonts w:ascii="Times New Roman" w:hAnsi="Times New Roman"/>
            <w:sz w:val="28"/>
            <w:szCs w:val="28"/>
            <w:lang w:eastAsia="ru-RU"/>
          </w:rPr>
          <w:t>главы 25</w:t>
        </w:r>
      </w:hyperlink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НК РФ, расчет налога на прибыль организация должны производить на основе данных учета для целей налогообложения. Он необходим также для обеспечения информацией внутренних и внешних пользователей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ью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контроля за правильностью исчисления и уплаты в бюджет налога на прибыль.</w:t>
      </w:r>
      <w:bookmarkStart w:id="0" w:name="l2"/>
      <w:bookmarkEnd w:id="0"/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Налоговый учет должен быть организован таким образом, чтобы обеспечить возможность непрерывного отражения в хронологической последовательности фактов хозяйственной деятельности, систематизации указанных фактов (учет доходов и расходов) и формирования показателей налоговой декларации по налогу на прибыль.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Законодательством предусмотрены различные варианты обобщения информации для целей налогового учета. Для систематизации и накопления информации о доходах и расходах, формирующих налоговую базу</w:t>
      </w:r>
      <w:bookmarkStart w:id="1" w:name="l25"/>
      <w:bookmarkEnd w:id="1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 налогу на прибыль организации, могут быть использованы регистры бухгалтерского учета, регистры</w:t>
      </w:r>
      <w:bookmarkStart w:id="2" w:name="l3"/>
      <w:bookmarkEnd w:id="2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бухгалтерского учета, дополненные необходимыми реквизитами (при недостаточности информации для определения налоговой базы), аналитические регистры налогового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Налогоплательщик может выбрать одну из моделей налогового учета налога на прибыль с учетом степени его автономности по отношению к системе бухгалтерского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Первая модель предусматривает использование самостоятельных аналитических регистров налогового учета, при этом налоговый учет ведется параллельно с бухгалтерским (рис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1).</w:t>
      </w:r>
    </w:p>
    <w:p w:rsidR="00C95829" w:rsidRPr="007542A7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Аналитические регистры налогового учета составляются на основе данных первичных документов, сгруппированных в соответствии с порядком, предусмотренным налоговым законодательством, и представляют собой сводные формы систематизации данных налогового учета за отчетный (налоговый) период. Регистры налогового учета формируются по всем операциям, которые учитываются для целей</w:t>
      </w:r>
      <w:bookmarkStart w:id="3" w:name="l26"/>
      <w:bookmarkEnd w:id="3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налогообложения. Налогоплательщик самостоятельно определяет, по каким объектам учета он должен</w:t>
      </w:r>
      <w:bookmarkStart w:id="4" w:name="l5"/>
      <w:bookmarkEnd w:id="4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разработать и утвердить формы регистров налогового учета, в которых должны быть представлены все данные, необходимые для правильного определения показателей налоговой декларации.</w:t>
      </w:r>
    </w:p>
    <w:p w:rsidR="00C95829" w:rsidRPr="007542A7" w:rsidRDefault="00C95829" w:rsidP="006128C2">
      <w:pPr>
        <w:spacing w:after="0" w:line="360" w:lineRule="auto"/>
        <w:ind w:firstLine="11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72F6C"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2.8pt;height:307.8pt;visibility:visible">
            <v:imagedata r:id="rId12" o:title="" croptop="20698f" cropbottom="16887f" cropleft="19367f" cropright="14995f"/>
          </v:shape>
        </w:pict>
      </w:r>
    </w:p>
    <w:p w:rsidR="00C95829" w:rsidRDefault="00C95829" w:rsidP="007542A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5" w:name="l4"/>
      <w:bookmarkEnd w:id="5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Рисунок 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Схема формирования показателей налоговой декларации</w:t>
      </w:r>
    </w:p>
    <w:p w:rsidR="00C95829" w:rsidRPr="00667C62" w:rsidRDefault="00C95829" w:rsidP="007542A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 данным автономного налогового учета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Преимуществом данной модели является то, что она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обеспечивает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реальную возможность получать данные для формирования налоговой базы непосредственно из налоговых регистров. При этом исключаются ошибки в исчислении налоговой базы, поскольку показатели налоговых регистров формируются в соответствии с</w:t>
      </w:r>
      <w:bookmarkStart w:id="6" w:name="l27"/>
      <w:bookmarkEnd w:id="6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требованиями налогового законодательства, а не бухгалтерского учета. Взаимодействие двух систем учета</w:t>
      </w:r>
      <w:bookmarkStart w:id="7" w:name="l6"/>
      <w:bookmarkEnd w:id="7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при использовании этой модели сводится к минимуму. Общими для бухгалтерского и налогового учета являются лишь данные первичных документов.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Однако такое параллельное ведение двух видов учета требует значительных затрат, связанных с необходимостью создания в организации отдела или группы налогового учета, привлечения высококвалифицированных специалистов для разработки налоговых регистров, системы документооборота и программных продуктов, модернизации учетного процесса и вычислительной техники.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8" w:name="l7"/>
      <w:bookmarkEnd w:id="8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 основу второй модели положены данные, формируемые в системе бухгалтерского учета. При этом регистры бухгалтерского учета дополняются реквизитами, необходимыми для определения налоговой базы (рис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2).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C95829" w:rsidRPr="00667C62" w:rsidRDefault="00C95829" w:rsidP="006128C2">
      <w:pPr>
        <w:spacing w:after="0" w:line="360" w:lineRule="auto"/>
        <w:ind w:firstLine="1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72F6C"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i1026" type="#_x0000_t75" style="width:441.6pt;height:285pt;visibility:visible">
            <v:imagedata r:id="rId13" o:title=""/>
          </v:shape>
        </w:pict>
      </w:r>
    </w:p>
    <w:p w:rsidR="00C95829" w:rsidRDefault="00C95829" w:rsidP="00EE4A8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Рисунок 2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Схема формирования показателей налоговой декларации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C95829" w:rsidRDefault="00C95829" w:rsidP="00EE4A8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 данным налогового учета, сформированных в системе учета</w:t>
      </w:r>
    </w:p>
    <w:p w:rsidR="00C95829" w:rsidRPr="00667C62" w:rsidRDefault="00C95829" w:rsidP="00EE4A8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для целей налогообложения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Однако в тех случаях, когда требуется определить стоимость приобретенных материально-производственных запасов или</w:t>
      </w:r>
      <w:bookmarkStart w:id="9" w:name="l28"/>
      <w:bookmarkEnd w:id="9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основных средств, учесть убыток от реализации основных средств или по операциям уступки права требования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согласно </w:t>
      </w:r>
      <w:bookmarkStart w:id="10" w:name="l8"/>
      <w:bookmarkEnd w:id="10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правилам бухгалтерского учета и налогового законодательства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либо когда организация выбирает разные способы начисления амортизации по основным средствам и нематериальным активам для целей бухгалтерского и налогового учета, применять комбинированные регистры практически невозможно.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 третьей модели используются регистры и бухгалтерского, и налогового учета. В том случае, если порядок группировки и учета объектов и хозяйственных операций для целей налогообложения не </w:t>
      </w:r>
      <w:bookmarkStart w:id="11" w:name="l29"/>
      <w:bookmarkEnd w:id="11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отличается от порядка, установленного правилами </w:t>
      </w:r>
      <w:bookmarkStart w:id="12" w:name="l9"/>
      <w:bookmarkEnd w:id="12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бухгалтерского учета, целесообразно применять бухгалтерские регистры.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Для гармонизации учетной и налоговой систем, определения рациональности применяемых схем налоговой оптимизации целесообразно применять элементы управленческого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Управленческий учет играет важную роль в управлении налоговыми обязательствами, так как представляет наиболее полную информацию о деятельности и финансовом состоянии предприятия, поэтому знание бухгалтерского учета</w:t>
      </w:r>
      <w:bookmarkStart w:id="13" w:name="l30"/>
      <w:bookmarkEnd w:id="13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необходимо управленческому персоналу в целях эффективной оценки организации налогового планирования.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4" w:name="l10"/>
      <w:bookmarkEnd w:id="14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Внутренняя производственная учетная информация обеспечивает решение внутренних управленческих задач на основе получения оперативной, своевременной и достоверной информации о затратах и результатах в целом по предприятию и на его отдельных участках. Большое значение при этом име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т контроль и управление затратами по отклонениям от планируемых значений.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Реализация системы управления по отклонениям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обеспечивает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возможн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ость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регистраци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положительных отклонений от </w:t>
      </w:r>
      <w:bookmarkStart w:id="15" w:name="l31"/>
      <w:bookmarkEnd w:id="15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показателя или ликвидаци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отрицательных путем анализа причин и принятия обоснованных и своевременных решений. В</w:t>
      </w:r>
      <w:bookmarkStart w:id="16" w:name="l11"/>
      <w:bookmarkEnd w:id="16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системе управленческого учета это достигается путем эффективного использования оперативной информации через центры финансовой ответственности и центры затрат на основе эффективного управленческого анализа данных производственного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Выделение центров финансовой ответственности позволяет существенно повысить эффективность производственного учета, контроля и управления. По объему полномочий их руководителей и обязанностей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это центры затрат, продаж, дохода,</w:t>
      </w:r>
      <w:bookmarkStart w:id="17" w:name="l32"/>
      <w:bookmarkEnd w:id="17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прибыли, капитальных вложений, контроля и управления.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8" w:name="l12"/>
      <w:bookmarkEnd w:id="18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 задачам и функциям центры финансовой ответственности подразделяют на основные и обслуживающие. Для каждого центра ответственности должны быть определены цели и задачи. Необходимо определить, какая информация, с какой периодичностью, куда и кем должна предоставляться. Выделение центров финансовой ответственности предполагает наличие механизма распределения ответственности. Поэтому информация должна предоставляться по иерархическому принципу.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9" w:name="l33"/>
      <w:bookmarkEnd w:id="19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 системе внутреннего производственного учета формируется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информация об издержках производства, </w:t>
      </w:r>
      <w:bookmarkStart w:id="20" w:name="l13"/>
      <w:bookmarkEnd w:id="20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которые являются одним из основных объектов учета. Издержки группируются и учитываются по видам молочной продукции, местам их возникновения и носителям затрат. В этой связи решающее значение приобретают такие объекты учета затрат, как места возникновения затрат, центры затрат, центры ответственности.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Участвующие в процессе управления должны отвечать за целесообразность возникновения того или иного вида расходов. Поэтому центр ответственности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 структурный элемент предприятия, его </w:t>
      </w:r>
      <w:bookmarkStart w:id="21" w:name="l34"/>
      <w:bookmarkEnd w:id="21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экономический субъект, в пределах которого менеджер несет ответственность за целесообразность</w:t>
      </w:r>
      <w:bookmarkStart w:id="22" w:name="l14"/>
      <w:bookmarkEnd w:id="22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понесенных расходов. Руководство предприятия само решает, в каком разрезе классифицировать затраты, насколько детализировать места их возникновения и как их увязать с центрами ответственности.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Система учета по центрам ответственности может быть эффективным средством управления затратами и прибылью для целей налогообложения, если будут обеспечены: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обоснованный выбор перечня центров ответственности;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обоснованные сметы затрат по центрам, стимулирующие уменьшение затрат;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3" w:name="l35"/>
      <w:bookmarkEnd w:id="23"/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правильный выбор контролируемых расходов;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4" w:name="l15"/>
      <w:bookmarkEnd w:id="24"/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обоснованный выбор ответственных за расходы, доходы и прибыль;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взаимосвязь отчетности центров ответственности различных уровней;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функционирование системы учета по центрам ответственности параллельно с системой финансового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Выбор центров ответственности для учета налогооблагаемых показателей зависит от организационных и других особенностей организации, а также целей, поставленных ее руководством. Следует при этом учитывать, что с увеличением</w:t>
      </w:r>
      <w:bookmarkStart w:id="25" w:name="l36"/>
      <w:bookmarkEnd w:id="25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центров эффективность контроля за показателями деятельности предприятия повышается с одновременным увеличением </w:t>
      </w:r>
      <w:bookmarkStart w:id="26" w:name="l16"/>
      <w:bookmarkEnd w:id="26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расходов на ведение учета. Поэтому целесообразно установить оптимальное сочетание затрат на ведение учета с эффектом осуществления контроля за налогооблагаемыми показателями по каждому центру ответственности.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выбор центров ответственности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ольшое влияние оказывает возможность закрепления ответственности руководителей структурных подразделений и исполнителей за показатели по каждому центру. В связи с этим данные центры создаются в соответствии с детализированной схемой организации</w:t>
      </w:r>
      <w:bookmarkStart w:id="27" w:name="l37"/>
      <w:bookmarkEnd w:id="27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предприятия и перечнем должностных обязанностей каждого</w:t>
      </w:r>
      <w:bookmarkStart w:id="28" w:name="l17"/>
      <w:bookmarkEnd w:id="28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работника организации. При необходимости в должностные инструкции работников вводятся соответствующие изменения.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Центры ответственности подразделяются на хозрасчетные и аналитические. Аналитические центры ответственности экономически не обособлены, то есть они не связаны с системой внутреннего хозяйственного расчета. Они обеспечивают аналитический учет и детализацию ответственности за отдельные затраты. Хозрасчетные центры ответственности обеспечивают контроль, ответственность и</w:t>
      </w:r>
      <w:bookmarkStart w:id="29" w:name="l38"/>
      <w:bookmarkEnd w:id="29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заинтересованность в снижении затрат. По хозрасчетным центрам</w:t>
      </w:r>
      <w:bookmarkStart w:id="30" w:name="l18"/>
      <w:bookmarkEnd w:id="30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ответственности, совпадающим с местами возникновения затрат, обособленный аналитический учет можно не вести, а пользоваться уже имеющейся информацией по местам возникновения затрат.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Производственные центры ответственности состоят из многих центров и мест возникновения затрат различного уровня. Они могут представлять основные и вспомогательные подразделения предприятия. В основных центрах ответственности учет должен организоваться в разрезе объектов и статей калькуляции,</w:t>
      </w:r>
      <w:bookmarkStart w:id="31" w:name="l39"/>
      <w:bookmarkEnd w:id="31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а в обслуживающих центрах ответственности следует</w:t>
      </w:r>
      <w:bookmarkStart w:id="32" w:name="l19"/>
      <w:bookmarkEnd w:id="32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организовывать учет в поэлементном разрезе.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Считаем необходимым при формировании аналитических регистров учета для целей налогообложения использовать оперативную информацию, обрабатываемую по соответствующим центрам ответственности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исходя из состава налогооблагаемых показателей (центр доходов, расходов и т.д.) (рис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3).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к аналитическим регистрам налогового учета установлены в ст.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4" w:anchor="l3052" w:history="1">
        <w:r w:rsidRPr="00667C62">
          <w:rPr>
            <w:rFonts w:ascii="Times New Roman" w:hAnsi="Times New Roman"/>
            <w:sz w:val="28"/>
            <w:szCs w:val="28"/>
            <w:lang w:eastAsia="ru-RU"/>
          </w:rPr>
          <w:t>313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667C62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5" w:anchor="l3058" w:history="1">
        <w:r w:rsidRPr="00667C62">
          <w:rPr>
            <w:rFonts w:ascii="Times New Roman" w:hAnsi="Times New Roman"/>
            <w:sz w:val="28"/>
            <w:szCs w:val="28"/>
            <w:lang w:eastAsia="ru-RU"/>
          </w:rPr>
          <w:t>314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sz w:val="28"/>
          <w:szCs w:val="28"/>
          <w:lang w:eastAsia="ru-RU"/>
        </w:rPr>
        <w:t>НК РФ, требования к регистрам</w:t>
      </w:r>
      <w:bookmarkStart w:id="33" w:name="l20"/>
      <w:bookmarkEnd w:id="33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sz w:val="28"/>
          <w:szCs w:val="28"/>
          <w:lang w:eastAsia="ru-RU"/>
        </w:rPr>
        <w:t xml:space="preserve">бухгалтерского учета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667C62">
        <w:rPr>
          <w:rFonts w:ascii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6" w:anchor="l61" w:history="1">
        <w:r w:rsidRPr="00667C62">
          <w:rPr>
            <w:rFonts w:ascii="Times New Roman" w:hAnsi="Times New Roman"/>
            <w:sz w:val="28"/>
            <w:szCs w:val="28"/>
            <w:lang w:eastAsia="ru-RU"/>
          </w:rPr>
          <w:t>ст. 10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Федерального закона "О бухгалтерском учете". В отличие от регистров бухгалтерского учета систематизация данных первичных учетных документов в регистрах налогового учета производится на основе их группировки без отражения на счетах бухгалтерского учета. Это главная отличительная особенность регистров налогового учета, а значит, оперативная информация системы управленческого учета наиболее полно позволяет формировать аналитику для расчета налога на прибыль организаций.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5829" w:rsidRPr="00667C62" w:rsidRDefault="00C95829" w:rsidP="006128C2">
      <w:pPr>
        <w:spacing w:after="0" w:line="360" w:lineRule="auto"/>
        <w:ind w:firstLine="1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72F6C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_x0000_i1027" type="#_x0000_t75" style="width:433.8pt;height:370.2pt;visibility:visible">
            <v:imagedata r:id="rId17" o:title="" croptop="22033f" cropbottom="9199f" cropleft="18046f" cropright="14172f"/>
          </v:shape>
        </w:pict>
      </w:r>
    </w:p>
    <w:p w:rsidR="00C95829" w:rsidRDefault="00C95829" w:rsidP="00E6431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Рисунок 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Схема формирования показателей налоговой отчетности</w:t>
      </w:r>
    </w:p>
    <w:p w:rsidR="00C95829" w:rsidRPr="00667C62" w:rsidRDefault="00C95829" w:rsidP="00E6431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 системе управленческого учета</w:t>
      </w:r>
    </w:p>
    <w:p w:rsidR="00C95829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 данной модели основанием для составления аналитических регистров учета для целей</w:t>
      </w:r>
      <w:bookmarkStart w:id="34" w:name="l21"/>
      <w:bookmarkEnd w:id="34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налогообложения являются не только регистры бухгалтерского учета и бухгалтерские справки, но и документация центров ответственности. Такой механизм формирования налогооблагаемых показателей позволяет осуществлять текущий контроль за регистрацией фактов хозяйственной деятельности для целей налогообложения.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5" w:name="l40"/>
      <w:bookmarkStart w:id="36" w:name="l41"/>
      <w:bookmarkEnd w:id="35"/>
      <w:bookmarkEnd w:id="36"/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Предложенная модель позволяет в максимальной степени использовать данные бухгалтерского учета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конечном счете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сближает две системы учета. При этом требуется разработка методологических и</w:t>
      </w:r>
      <w:bookmarkStart w:id="37" w:name="l42"/>
      <w:bookmarkEnd w:id="37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организационных основ, обеспечивающих</w:t>
      </w:r>
      <w:bookmarkStart w:id="38" w:name="l22"/>
      <w:bookmarkEnd w:id="38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возможность рационально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, с наименьшими финансовыми затратами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едения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оих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учета.</w:t>
      </w:r>
    </w:p>
    <w:p w:rsidR="00C95829" w:rsidRPr="00667C62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7C62">
        <w:rPr>
          <w:rFonts w:ascii="Times New Roman" w:hAnsi="Times New Roman"/>
          <w:color w:val="000000"/>
          <w:sz w:val="28"/>
          <w:szCs w:val="28"/>
          <w:lang w:eastAsia="ru-RU"/>
        </w:rPr>
        <w:t>Таким образом, для успешного функционирования системы жизнедеятельности предприятия необходима объективная и полная первичная информация для правильной и оперативной оценки каждого из установленных показателей, а значит, на предприятии должен быть организован управленческий учет, аккумулирующий сведения о налоговом потенциале с учетом имеющихся альтернативных вариантов оптимизации налогообложения.</w:t>
      </w:r>
    </w:p>
    <w:p w:rsidR="00C95829" w:rsidRDefault="00C95829" w:rsidP="00667C6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9" w:name="h43"/>
      <w:bookmarkEnd w:id="39"/>
    </w:p>
    <w:p w:rsidR="00C95829" w:rsidRPr="008710A3" w:rsidRDefault="00C95829" w:rsidP="00C8260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0A3">
        <w:rPr>
          <w:rFonts w:ascii="Times New Roman" w:hAnsi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C95829" w:rsidRPr="00C82604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Налоговый кодекс Российской Федерации (в редакции от 30 декабря 2013 г. № 294 – ФЗ).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Акулич М.В. Налоговый учет и отчетность. – М.: Питер, 2009 . – 208 с.</w:t>
      </w:r>
    </w:p>
    <w:p w:rsidR="00C95829" w:rsidRPr="009D0158" w:rsidRDefault="00C95829" w:rsidP="00FB22C0">
      <w:pPr>
        <w:pStyle w:val="ListParagraph"/>
        <w:numPr>
          <w:ilvl w:val="0"/>
          <w:numId w:val="1"/>
        </w:numPr>
        <w:tabs>
          <w:tab w:val="left" w:pos="0"/>
          <w:tab w:val="left" w:pos="990"/>
        </w:tabs>
        <w:spacing w:after="0" w:line="240" w:lineRule="auto"/>
        <w:ind w:left="0" w:firstLine="550"/>
        <w:jc w:val="both"/>
        <w:rPr>
          <w:rFonts w:ascii="Times New Roman" w:hAnsi="Times New Roman"/>
          <w:bCs/>
          <w:sz w:val="24"/>
          <w:szCs w:val="27"/>
        </w:rPr>
      </w:pPr>
      <w:r w:rsidRPr="009D0158">
        <w:rPr>
          <w:rStyle w:val="Emphasis"/>
          <w:rFonts w:ascii="Times New Roman" w:hAnsi="Times New Roman"/>
          <w:i w:val="0"/>
          <w:sz w:val="24"/>
          <w:szCs w:val="27"/>
        </w:rPr>
        <w:t xml:space="preserve">Бархатов А.П.,  Бодрова Т.В. </w:t>
      </w:r>
      <w:r w:rsidRPr="009D0158">
        <w:rPr>
          <w:rStyle w:val="Strong"/>
          <w:rFonts w:ascii="Times New Roman" w:hAnsi="Times New Roman"/>
          <w:b w:val="0"/>
          <w:sz w:val="24"/>
          <w:szCs w:val="27"/>
        </w:rPr>
        <w:t>Концепции развития бухгалтерского учета и отчетности в России на среднесрочную перспективу и некоторых</w:t>
      </w:r>
      <w:r>
        <w:rPr>
          <w:rStyle w:val="Strong"/>
          <w:rFonts w:ascii="Times New Roman" w:hAnsi="Times New Roman"/>
          <w:b w:val="0"/>
          <w:sz w:val="24"/>
          <w:szCs w:val="27"/>
        </w:rPr>
        <w:t xml:space="preserve"> </w:t>
      </w:r>
      <w:r w:rsidRPr="009D0158">
        <w:rPr>
          <w:rStyle w:val="Strong"/>
          <w:rFonts w:ascii="Times New Roman" w:hAnsi="Times New Roman"/>
          <w:b w:val="0"/>
          <w:sz w:val="24"/>
          <w:szCs w:val="27"/>
        </w:rPr>
        <w:t xml:space="preserve"> проблемах ее реализации // </w:t>
      </w:r>
      <w:r w:rsidRPr="009D0158">
        <w:rPr>
          <w:rFonts w:ascii="Times New Roman" w:hAnsi="Times New Roman"/>
          <w:bCs/>
          <w:sz w:val="24"/>
          <w:szCs w:val="27"/>
        </w:rPr>
        <w:t>Управленческий учет</w:t>
      </w:r>
      <w:r>
        <w:rPr>
          <w:rFonts w:ascii="Times New Roman" w:hAnsi="Times New Roman"/>
          <w:bCs/>
          <w:sz w:val="24"/>
          <w:szCs w:val="27"/>
        </w:rPr>
        <w:t xml:space="preserve">. – </w:t>
      </w:r>
      <w:r w:rsidRPr="009D0158">
        <w:rPr>
          <w:rFonts w:ascii="Times New Roman" w:hAnsi="Times New Roman"/>
          <w:bCs/>
          <w:sz w:val="24"/>
          <w:szCs w:val="27"/>
        </w:rPr>
        <w:t>2008</w:t>
      </w:r>
      <w:r>
        <w:rPr>
          <w:rFonts w:ascii="Times New Roman" w:hAnsi="Times New Roman"/>
          <w:bCs/>
          <w:sz w:val="24"/>
          <w:szCs w:val="27"/>
        </w:rPr>
        <w:t>. –</w:t>
      </w:r>
      <w:r w:rsidRPr="009D0158">
        <w:rPr>
          <w:rFonts w:ascii="Times New Roman" w:hAnsi="Times New Roman"/>
          <w:bCs/>
          <w:sz w:val="24"/>
          <w:szCs w:val="27"/>
        </w:rPr>
        <w:t xml:space="preserve"> №</w:t>
      </w:r>
      <w:r>
        <w:rPr>
          <w:rFonts w:ascii="Times New Roman" w:hAnsi="Times New Roman"/>
          <w:bCs/>
          <w:sz w:val="24"/>
          <w:szCs w:val="27"/>
        </w:rPr>
        <w:t xml:space="preserve"> </w:t>
      </w:r>
      <w:r w:rsidRPr="009D0158">
        <w:rPr>
          <w:rFonts w:ascii="Times New Roman" w:hAnsi="Times New Roman"/>
          <w:bCs/>
          <w:sz w:val="24"/>
          <w:szCs w:val="27"/>
        </w:rPr>
        <w:t xml:space="preserve">1 – </w:t>
      </w:r>
      <w:r>
        <w:rPr>
          <w:rFonts w:ascii="Times New Roman" w:hAnsi="Times New Roman"/>
          <w:bCs/>
          <w:sz w:val="24"/>
          <w:szCs w:val="27"/>
        </w:rPr>
        <w:t>С</w:t>
      </w:r>
      <w:r w:rsidRPr="009D0158">
        <w:rPr>
          <w:rFonts w:ascii="Times New Roman" w:hAnsi="Times New Roman"/>
          <w:bCs/>
          <w:sz w:val="24"/>
          <w:szCs w:val="27"/>
        </w:rPr>
        <w:t>. 102</w:t>
      </w:r>
      <w:r>
        <w:rPr>
          <w:rFonts w:ascii="Times New Roman" w:hAnsi="Times New Roman"/>
          <w:bCs/>
          <w:sz w:val="24"/>
          <w:szCs w:val="27"/>
        </w:rPr>
        <w:t>–</w:t>
      </w:r>
      <w:r w:rsidRPr="009D0158">
        <w:rPr>
          <w:rFonts w:ascii="Times New Roman" w:hAnsi="Times New Roman"/>
          <w:bCs/>
          <w:sz w:val="24"/>
          <w:szCs w:val="27"/>
        </w:rPr>
        <w:t>108</w:t>
      </w:r>
      <w:r>
        <w:rPr>
          <w:rFonts w:ascii="Times New Roman" w:hAnsi="Times New Roman"/>
          <w:bCs/>
          <w:sz w:val="24"/>
          <w:szCs w:val="27"/>
        </w:rPr>
        <w:t xml:space="preserve"> </w:t>
      </w:r>
      <w:r w:rsidRPr="009D0158">
        <w:rPr>
          <w:rFonts w:ascii="Times New Roman" w:hAnsi="Times New Roman"/>
          <w:bCs/>
          <w:sz w:val="24"/>
          <w:szCs w:val="27"/>
        </w:rPr>
        <w:t>(0,4 п.л., доля автора – 0,2 п.л.)</w:t>
      </w:r>
      <w:r>
        <w:rPr>
          <w:rFonts w:ascii="Times New Roman" w:hAnsi="Times New Roman"/>
          <w:bCs/>
          <w:sz w:val="24"/>
          <w:szCs w:val="27"/>
        </w:rPr>
        <w:t>.</w:t>
      </w:r>
    </w:p>
    <w:p w:rsidR="00C95829" w:rsidRPr="009D0158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 xml:space="preserve">Бодрова Т.В. </w:t>
      </w:r>
      <w:r w:rsidRPr="009D0158">
        <w:rPr>
          <w:szCs w:val="27"/>
        </w:rPr>
        <w:t xml:space="preserve">Моделирование системы управленческого учета для целей налогообложения при различных вариантах соотношения бухгалтерского и налогового учетов </w:t>
      </w:r>
      <w:r w:rsidRPr="009D0158">
        <w:rPr>
          <w:bCs/>
          <w:szCs w:val="27"/>
        </w:rPr>
        <w:t>/</w:t>
      </w:r>
      <w:r>
        <w:rPr>
          <w:bCs/>
          <w:szCs w:val="27"/>
        </w:rPr>
        <w:t xml:space="preserve">/ </w:t>
      </w:r>
      <w:r w:rsidRPr="009D0158">
        <w:rPr>
          <w:bCs/>
          <w:szCs w:val="27"/>
        </w:rPr>
        <w:t>Управленческий учет</w:t>
      </w:r>
      <w:r>
        <w:rPr>
          <w:bCs/>
          <w:szCs w:val="27"/>
        </w:rPr>
        <w:t>.</w:t>
      </w:r>
      <w:r w:rsidRPr="009D0158">
        <w:rPr>
          <w:bCs/>
          <w:szCs w:val="27"/>
        </w:rPr>
        <w:t xml:space="preserve"> </w:t>
      </w:r>
      <w:r>
        <w:rPr>
          <w:bCs/>
          <w:szCs w:val="27"/>
        </w:rPr>
        <w:t xml:space="preserve">– </w:t>
      </w:r>
      <w:r w:rsidRPr="009D0158">
        <w:rPr>
          <w:bCs/>
          <w:szCs w:val="27"/>
        </w:rPr>
        <w:t>2008</w:t>
      </w:r>
      <w:r>
        <w:rPr>
          <w:bCs/>
          <w:szCs w:val="27"/>
        </w:rPr>
        <w:t xml:space="preserve">. – </w:t>
      </w:r>
      <w:r w:rsidRPr="009D0158">
        <w:rPr>
          <w:bCs/>
          <w:szCs w:val="27"/>
        </w:rPr>
        <w:t>№</w:t>
      </w:r>
      <w:r>
        <w:rPr>
          <w:bCs/>
          <w:szCs w:val="27"/>
        </w:rPr>
        <w:t xml:space="preserve"> </w:t>
      </w:r>
      <w:r w:rsidRPr="009D0158">
        <w:rPr>
          <w:bCs/>
          <w:szCs w:val="27"/>
        </w:rPr>
        <w:t>6</w:t>
      </w:r>
      <w:r>
        <w:rPr>
          <w:bCs/>
          <w:szCs w:val="27"/>
        </w:rPr>
        <w:t xml:space="preserve"> </w:t>
      </w:r>
      <w:r w:rsidRPr="009D0158">
        <w:rPr>
          <w:bCs/>
          <w:szCs w:val="27"/>
        </w:rPr>
        <w:t>(0,4 п.л.)</w:t>
      </w:r>
      <w:r>
        <w:rPr>
          <w:bCs/>
          <w:szCs w:val="27"/>
        </w:rPr>
        <w:t>.</w:t>
      </w:r>
      <w:r w:rsidRPr="009D0158">
        <w:rPr>
          <w:bCs/>
          <w:szCs w:val="27"/>
        </w:rPr>
        <w:t xml:space="preserve"> </w:t>
      </w:r>
    </w:p>
    <w:p w:rsidR="00C95829" w:rsidRPr="009D0158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>Бодрова Т.В. Теория и методология формирования системы управленческого учета  для целей налогообложения</w:t>
      </w:r>
      <w:r>
        <w:rPr>
          <w:bCs/>
          <w:szCs w:val="27"/>
        </w:rPr>
        <w:t>:</w:t>
      </w:r>
      <w:r w:rsidRPr="009D0158">
        <w:rPr>
          <w:bCs/>
          <w:szCs w:val="27"/>
        </w:rPr>
        <w:t xml:space="preserve"> Автореф. … д.э.н. </w:t>
      </w:r>
      <w:r>
        <w:rPr>
          <w:bCs/>
          <w:szCs w:val="27"/>
        </w:rPr>
        <w:t xml:space="preserve">– </w:t>
      </w:r>
      <w:r w:rsidRPr="009D0158">
        <w:rPr>
          <w:bCs/>
          <w:szCs w:val="27"/>
        </w:rPr>
        <w:t>Орел: ОрелГТУ, 2008. – 50 с.</w:t>
      </w:r>
    </w:p>
    <w:p w:rsidR="00C95829" w:rsidRPr="009D0158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>Бодрова Т.В.</w:t>
      </w:r>
      <w:r w:rsidRPr="009D0158">
        <w:rPr>
          <w:szCs w:val="27"/>
        </w:rPr>
        <w:t xml:space="preserve"> Управленческий учет как бизнес-процесс управления налоговой нагрузкой хозяйствующего субъекта </w:t>
      </w:r>
      <w:r>
        <w:rPr>
          <w:szCs w:val="27"/>
        </w:rPr>
        <w:t xml:space="preserve">// </w:t>
      </w:r>
      <w:r w:rsidRPr="009D0158">
        <w:rPr>
          <w:bCs/>
          <w:szCs w:val="27"/>
        </w:rPr>
        <w:t>Управленческий учет</w:t>
      </w:r>
      <w:r>
        <w:rPr>
          <w:bCs/>
          <w:szCs w:val="27"/>
        </w:rPr>
        <w:t>. –</w:t>
      </w:r>
      <w:r w:rsidRPr="009D0158">
        <w:rPr>
          <w:bCs/>
          <w:szCs w:val="27"/>
        </w:rPr>
        <w:t xml:space="preserve"> 2008</w:t>
      </w:r>
      <w:r>
        <w:rPr>
          <w:bCs/>
          <w:szCs w:val="27"/>
        </w:rPr>
        <w:t xml:space="preserve">. – </w:t>
      </w:r>
      <w:r w:rsidRPr="009D0158">
        <w:rPr>
          <w:bCs/>
          <w:szCs w:val="27"/>
        </w:rPr>
        <w:t>№</w:t>
      </w:r>
      <w:r>
        <w:rPr>
          <w:bCs/>
          <w:szCs w:val="27"/>
        </w:rPr>
        <w:t xml:space="preserve"> </w:t>
      </w:r>
      <w:r w:rsidRPr="009D0158">
        <w:rPr>
          <w:bCs/>
          <w:szCs w:val="27"/>
        </w:rPr>
        <w:t xml:space="preserve">5 </w:t>
      </w:r>
      <w:r>
        <w:rPr>
          <w:bCs/>
          <w:szCs w:val="27"/>
        </w:rPr>
        <w:t xml:space="preserve">– </w:t>
      </w:r>
      <w:r w:rsidRPr="009D0158">
        <w:rPr>
          <w:bCs/>
          <w:szCs w:val="27"/>
        </w:rPr>
        <w:t>(0,4 п.л.)</w:t>
      </w:r>
      <w:r>
        <w:rPr>
          <w:bCs/>
          <w:szCs w:val="27"/>
        </w:rPr>
        <w:t>.</w:t>
      </w:r>
      <w:r w:rsidRPr="009D0158">
        <w:rPr>
          <w:bCs/>
          <w:szCs w:val="27"/>
        </w:rPr>
        <w:t xml:space="preserve"> </w:t>
      </w:r>
    </w:p>
    <w:p w:rsidR="00C95829" w:rsidRPr="009D0158" w:rsidRDefault="00C95829" w:rsidP="00FB22C0">
      <w:pPr>
        <w:pStyle w:val="ListParagraph"/>
        <w:numPr>
          <w:ilvl w:val="0"/>
          <w:numId w:val="1"/>
        </w:numPr>
        <w:tabs>
          <w:tab w:val="left" w:pos="0"/>
          <w:tab w:val="left" w:pos="990"/>
        </w:tabs>
        <w:spacing w:after="0" w:line="240" w:lineRule="auto"/>
        <w:ind w:left="0" w:firstLine="550"/>
        <w:jc w:val="both"/>
        <w:rPr>
          <w:rFonts w:ascii="Times New Roman" w:hAnsi="Times New Roman"/>
          <w:sz w:val="24"/>
          <w:szCs w:val="27"/>
        </w:rPr>
      </w:pPr>
      <w:r w:rsidRPr="009D0158">
        <w:rPr>
          <w:rFonts w:ascii="Times New Roman" w:hAnsi="Times New Roman"/>
          <w:sz w:val="24"/>
          <w:szCs w:val="27"/>
        </w:rPr>
        <w:t xml:space="preserve">Бодрова Т.В., Кабыткина А.С., Петрыкина М.М. Организация ведения раздельного учета налога на добавленную стоимость в холдинговых структурах // </w:t>
      </w:r>
      <w:r w:rsidRPr="009D0158">
        <w:rPr>
          <w:rFonts w:ascii="Times New Roman" w:hAnsi="Times New Roman"/>
          <w:bCs/>
          <w:sz w:val="24"/>
          <w:szCs w:val="27"/>
        </w:rPr>
        <w:t>Управленческий учет</w:t>
      </w:r>
      <w:r>
        <w:rPr>
          <w:rFonts w:ascii="Times New Roman" w:hAnsi="Times New Roman"/>
          <w:bCs/>
          <w:sz w:val="24"/>
          <w:szCs w:val="27"/>
        </w:rPr>
        <w:t>. –</w:t>
      </w:r>
      <w:r w:rsidRPr="009D0158">
        <w:rPr>
          <w:rFonts w:ascii="Times New Roman" w:hAnsi="Times New Roman"/>
          <w:bCs/>
          <w:sz w:val="24"/>
          <w:szCs w:val="27"/>
        </w:rPr>
        <w:t xml:space="preserve"> 2007</w:t>
      </w:r>
      <w:r>
        <w:rPr>
          <w:rFonts w:ascii="Times New Roman" w:hAnsi="Times New Roman"/>
          <w:bCs/>
          <w:sz w:val="24"/>
          <w:szCs w:val="27"/>
        </w:rPr>
        <w:t xml:space="preserve"> – </w:t>
      </w:r>
      <w:r w:rsidRPr="009D0158">
        <w:rPr>
          <w:rFonts w:ascii="Times New Roman" w:hAnsi="Times New Roman"/>
          <w:bCs/>
          <w:sz w:val="24"/>
          <w:szCs w:val="27"/>
        </w:rPr>
        <w:t>№</w:t>
      </w:r>
      <w:r>
        <w:rPr>
          <w:rFonts w:ascii="Times New Roman" w:hAnsi="Times New Roman"/>
          <w:bCs/>
          <w:sz w:val="24"/>
          <w:szCs w:val="27"/>
        </w:rPr>
        <w:t xml:space="preserve"> </w:t>
      </w:r>
      <w:r w:rsidRPr="009D0158">
        <w:rPr>
          <w:rFonts w:ascii="Times New Roman" w:hAnsi="Times New Roman"/>
          <w:bCs/>
          <w:sz w:val="24"/>
          <w:szCs w:val="27"/>
        </w:rPr>
        <w:t xml:space="preserve">4 – </w:t>
      </w:r>
      <w:r>
        <w:rPr>
          <w:rFonts w:ascii="Times New Roman" w:hAnsi="Times New Roman"/>
          <w:bCs/>
          <w:sz w:val="24"/>
          <w:szCs w:val="27"/>
        </w:rPr>
        <w:t>С</w:t>
      </w:r>
      <w:r w:rsidRPr="009D0158">
        <w:rPr>
          <w:rFonts w:ascii="Times New Roman" w:hAnsi="Times New Roman"/>
          <w:bCs/>
          <w:sz w:val="24"/>
          <w:szCs w:val="27"/>
        </w:rPr>
        <w:t>. 45</w:t>
      </w:r>
      <w:r>
        <w:rPr>
          <w:rFonts w:ascii="Times New Roman" w:hAnsi="Times New Roman"/>
          <w:bCs/>
          <w:sz w:val="24"/>
          <w:szCs w:val="27"/>
        </w:rPr>
        <w:t>–</w:t>
      </w:r>
      <w:r w:rsidRPr="009D0158">
        <w:rPr>
          <w:rFonts w:ascii="Times New Roman" w:hAnsi="Times New Roman"/>
          <w:bCs/>
          <w:sz w:val="24"/>
          <w:szCs w:val="27"/>
        </w:rPr>
        <w:t>53</w:t>
      </w:r>
      <w:r>
        <w:rPr>
          <w:rFonts w:ascii="Times New Roman" w:hAnsi="Times New Roman"/>
          <w:bCs/>
          <w:sz w:val="24"/>
          <w:szCs w:val="27"/>
        </w:rPr>
        <w:t xml:space="preserve">. </w:t>
      </w:r>
      <w:r w:rsidRPr="009D0158">
        <w:rPr>
          <w:rFonts w:ascii="Times New Roman" w:hAnsi="Times New Roman"/>
          <w:bCs/>
          <w:sz w:val="24"/>
          <w:szCs w:val="27"/>
        </w:rPr>
        <w:t>(0,4 п.л., доля автора – 0,1 п.л.)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Денисов А. Налоговая схема России. – М.: Дело и сервис, 2010. – 72 с.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Лыкова Л.Н. Налоги и налогообложение. – М.: Дело, 2004. – 400 с.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>Лыкова Л.Н. Налоговая система России. Общее и особенности</w:t>
      </w:r>
      <w:r>
        <w:rPr>
          <w:bCs/>
          <w:szCs w:val="27"/>
        </w:rPr>
        <w:t>. –</w:t>
      </w:r>
      <w:r w:rsidRPr="009D0158">
        <w:rPr>
          <w:bCs/>
          <w:szCs w:val="27"/>
        </w:rPr>
        <w:t xml:space="preserve"> М.</w:t>
      </w:r>
      <w:r>
        <w:rPr>
          <w:bCs/>
          <w:szCs w:val="27"/>
        </w:rPr>
        <w:t>:</w:t>
      </w:r>
      <w:r w:rsidRPr="009D0158">
        <w:rPr>
          <w:bCs/>
          <w:szCs w:val="27"/>
        </w:rPr>
        <w:t xml:space="preserve"> Наука, 2006. – 448 с.</w:t>
      </w:r>
    </w:p>
    <w:p w:rsidR="00C95829" w:rsidRPr="009D0158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>Лыкова Л.Н., Букина И.С. Налоговые системы зарубежных стран</w:t>
      </w:r>
      <w:r>
        <w:rPr>
          <w:bCs/>
          <w:szCs w:val="27"/>
        </w:rPr>
        <w:t xml:space="preserve">. – </w:t>
      </w:r>
      <w:r w:rsidRPr="009D0158">
        <w:rPr>
          <w:bCs/>
          <w:szCs w:val="27"/>
        </w:rPr>
        <w:t>М.: Юрайт, 2013. – 432 с.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Нестеров Г.Г. Терзиди А.В. Налоговый учет. – М.: РидГрупп, 2011. – 304 с.</w:t>
      </w:r>
    </w:p>
    <w:p w:rsidR="00C95829" w:rsidRPr="009D0158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 w:rsidRPr="009D0158">
        <w:rPr>
          <w:bCs/>
          <w:szCs w:val="27"/>
        </w:rPr>
        <w:t>Черник Д. Налоги и налогообложение</w:t>
      </w:r>
      <w:r>
        <w:rPr>
          <w:bCs/>
          <w:szCs w:val="27"/>
        </w:rPr>
        <w:t>. –</w:t>
      </w:r>
      <w:r w:rsidRPr="009D0158">
        <w:rPr>
          <w:bCs/>
          <w:szCs w:val="27"/>
        </w:rPr>
        <w:t xml:space="preserve"> М.: Юрайт, 2013. – 394 с.</w:t>
      </w:r>
    </w:p>
    <w:p w:rsidR="00C95829" w:rsidRDefault="00C95829" w:rsidP="00FB22C0">
      <w:pPr>
        <w:pStyle w:val="NormalWeb"/>
        <w:numPr>
          <w:ilvl w:val="0"/>
          <w:numId w:val="1"/>
        </w:numPr>
        <w:tabs>
          <w:tab w:val="left" w:pos="0"/>
          <w:tab w:val="left" w:pos="990"/>
        </w:tabs>
        <w:spacing w:before="0" w:beforeAutospacing="0" w:after="0" w:afterAutospacing="0"/>
        <w:ind w:left="0" w:firstLine="550"/>
        <w:jc w:val="both"/>
        <w:rPr>
          <w:bCs/>
          <w:szCs w:val="27"/>
        </w:rPr>
      </w:pPr>
      <w:r>
        <w:rPr>
          <w:bCs/>
          <w:szCs w:val="27"/>
        </w:rPr>
        <w:t>Шредер Н.Г. Совмещение бухгалтерского и налогового учетов. – М.: Горячая линия бухгалтера, 2006. – 152 с.</w:t>
      </w:r>
    </w:p>
    <w:p w:rsidR="00C95829" w:rsidRDefault="00C95829" w:rsidP="008710A3">
      <w:pPr>
        <w:pStyle w:val="NormalWeb"/>
        <w:tabs>
          <w:tab w:val="left" w:pos="0"/>
        </w:tabs>
        <w:spacing w:before="0" w:beforeAutospacing="0" w:after="0" w:afterAutospacing="0"/>
        <w:ind w:left="357" w:hanging="357"/>
        <w:jc w:val="both"/>
        <w:rPr>
          <w:bCs/>
          <w:szCs w:val="27"/>
        </w:rPr>
      </w:pPr>
    </w:p>
    <w:p w:rsidR="00C95829" w:rsidRDefault="00C95829" w:rsidP="008710A3">
      <w:pPr>
        <w:pStyle w:val="NormalWeb"/>
        <w:tabs>
          <w:tab w:val="left" w:pos="0"/>
        </w:tabs>
        <w:spacing w:before="0" w:beforeAutospacing="0" w:after="0" w:afterAutospacing="0"/>
        <w:ind w:left="357" w:hanging="357"/>
        <w:jc w:val="center"/>
        <w:rPr>
          <w:b/>
          <w:bCs/>
          <w:szCs w:val="27"/>
          <w:lang w:val="en-US"/>
        </w:rPr>
      </w:pPr>
    </w:p>
    <w:p w:rsidR="00C95829" w:rsidRDefault="00C95829" w:rsidP="008710A3">
      <w:pPr>
        <w:pStyle w:val="NormalWeb"/>
        <w:tabs>
          <w:tab w:val="left" w:pos="0"/>
        </w:tabs>
        <w:spacing w:before="0" w:beforeAutospacing="0" w:after="0" w:afterAutospacing="0"/>
        <w:ind w:left="357" w:hanging="357"/>
        <w:jc w:val="center"/>
        <w:rPr>
          <w:b/>
          <w:bCs/>
          <w:szCs w:val="27"/>
          <w:lang w:val="en-US"/>
        </w:rPr>
      </w:pPr>
    </w:p>
    <w:p w:rsidR="00C95829" w:rsidRPr="00830CA4" w:rsidRDefault="00C95829" w:rsidP="008710A3">
      <w:pPr>
        <w:pStyle w:val="NormalWeb"/>
        <w:tabs>
          <w:tab w:val="left" w:pos="0"/>
        </w:tabs>
        <w:spacing w:before="0" w:beforeAutospacing="0" w:after="0" w:afterAutospacing="0"/>
        <w:ind w:left="357" w:hanging="357"/>
        <w:jc w:val="center"/>
        <w:rPr>
          <w:b/>
          <w:bCs/>
          <w:szCs w:val="27"/>
          <w:lang w:val="en-US"/>
        </w:rPr>
      </w:pPr>
      <w:r>
        <w:rPr>
          <w:b/>
          <w:bCs/>
          <w:szCs w:val="27"/>
          <w:lang w:val="en-US"/>
        </w:rPr>
        <w:t>References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7C1026">
        <w:rPr>
          <w:bCs/>
          <w:szCs w:val="27"/>
          <w:lang w:val="en-US"/>
        </w:rPr>
        <w:t>1.</w:t>
      </w:r>
      <w:r w:rsidRPr="007C1026">
        <w:rPr>
          <w:bCs/>
          <w:szCs w:val="27"/>
          <w:lang w:val="en-US"/>
        </w:rPr>
        <w:tab/>
      </w:r>
      <w:r w:rsidRPr="00C82604">
        <w:rPr>
          <w:bCs/>
          <w:szCs w:val="27"/>
          <w:lang w:val="en-US"/>
        </w:rPr>
        <w:t>Nalogovyy kodeks Rossiyskoy Federatsii (v redaktsii ot 30 dekabrya 2013g. № 294 – FZ)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2.</w:t>
      </w:r>
      <w:r w:rsidRPr="00C82604">
        <w:rPr>
          <w:bCs/>
          <w:szCs w:val="27"/>
          <w:lang w:val="en-US"/>
        </w:rPr>
        <w:tab/>
        <w:t>Akulich M.V. Nalogovyy uchet i otchetnost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Piter, 2009 . </w:t>
      </w:r>
      <w:r w:rsidRPr="007C1026">
        <w:rPr>
          <w:bCs/>
          <w:szCs w:val="27"/>
          <w:lang w:val="en-US"/>
        </w:rPr>
        <w:t>–</w:t>
      </w:r>
      <w:r w:rsidRPr="00C82604">
        <w:rPr>
          <w:bCs/>
          <w:szCs w:val="27"/>
          <w:lang w:val="en-US"/>
        </w:rPr>
        <w:t xml:space="preserve"> 208 s.</w:t>
      </w:r>
    </w:p>
    <w:p w:rsidR="00C95829" w:rsidRPr="007C1026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3.</w:t>
      </w:r>
      <w:r w:rsidRPr="00C82604">
        <w:rPr>
          <w:bCs/>
          <w:szCs w:val="27"/>
          <w:lang w:val="en-US"/>
        </w:rPr>
        <w:tab/>
        <w:t>Barkhatov A.P.,  Bodrova T.V. Kontseptsii razvitiya bukhgalterskogo ucheta i otchetnosti v Rossii na srednesrochnuyu perspektivu i nekotorykh  problemakh yeye realizatsii // Upravlencheskiy uchet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2008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№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1 – s. 102</w:t>
      </w:r>
      <w:r w:rsidRPr="007C1026">
        <w:rPr>
          <w:bCs/>
          <w:szCs w:val="27"/>
          <w:lang w:val="en-US"/>
        </w:rPr>
        <w:t>–</w:t>
      </w:r>
      <w:r w:rsidRPr="00C82604">
        <w:rPr>
          <w:bCs/>
          <w:szCs w:val="27"/>
          <w:lang w:val="en-US"/>
        </w:rPr>
        <w:t>108</w:t>
      </w:r>
      <w:r w:rsidRPr="007C1026">
        <w:rPr>
          <w:bCs/>
          <w:szCs w:val="27"/>
          <w:lang w:val="en-US"/>
        </w:rPr>
        <w:t>.</w:t>
      </w:r>
      <w:r w:rsidRPr="00C82604">
        <w:rPr>
          <w:bCs/>
          <w:szCs w:val="27"/>
          <w:lang w:val="en-US"/>
        </w:rPr>
        <w:t xml:space="preserve"> (0,4 p.l., dolya avtora – 0,2 p.l.)</w:t>
      </w:r>
      <w:r w:rsidRPr="007C1026">
        <w:rPr>
          <w:bCs/>
          <w:szCs w:val="27"/>
          <w:lang w:val="en-US"/>
        </w:rPr>
        <w:t>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4.</w:t>
      </w:r>
      <w:r w:rsidRPr="00C82604">
        <w:rPr>
          <w:bCs/>
          <w:szCs w:val="27"/>
          <w:lang w:val="en-US"/>
        </w:rPr>
        <w:tab/>
        <w:t>Bodrova T.V. Modelirovaniye sistemy upravlencheskogo ucheta dlya tseley nalogooblozheniya pri razlichnykh variantakh sootnosheniya bukhgalterskogo i nalogovogo uchetov /</w:t>
      </w:r>
      <w:r w:rsidRPr="007C1026">
        <w:rPr>
          <w:bCs/>
          <w:szCs w:val="27"/>
          <w:lang w:val="en-US"/>
        </w:rPr>
        <w:t xml:space="preserve">/ </w:t>
      </w:r>
      <w:r w:rsidRPr="00C82604">
        <w:rPr>
          <w:bCs/>
          <w:szCs w:val="27"/>
          <w:lang w:val="en-US"/>
        </w:rPr>
        <w:t>Upravlencheskiy uchet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2008</w:t>
      </w:r>
      <w:r w:rsidRPr="007C1026">
        <w:rPr>
          <w:bCs/>
          <w:szCs w:val="27"/>
          <w:lang w:val="en-US"/>
        </w:rPr>
        <w:t xml:space="preserve">. – </w:t>
      </w:r>
      <w:r w:rsidRPr="00C82604">
        <w:rPr>
          <w:bCs/>
          <w:szCs w:val="27"/>
          <w:lang w:val="en-US"/>
        </w:rPr>
        <w:t>№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6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 xml:space="preserve">(0,4 p.l.) 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5.</w:t>
      </w:r>
      <w:r w:rsidRPr="00C82604">
        <w:rPr>
          <w:bCs/>
          <w:szCs w:val="27"/>
          <w:lang w:val="en-US"/>
        </w:rPr>
        <w:tab/>
        <w:t>Bodrova T.V. Teoriya i metodologiya formirovaniya sistemy upravlencheskogo ucheta dlya tseley nalogooblozheniya Avtoref. … d.e.n. Orel: OrelGTU, 2008. – 50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6.</w:t>
      </w:r>
      <w:r w:rsidRPr="00C82604">
        <w:rPr>
          <w:bCs/>
          <w:szCs w:val="27"/>
          <w:lang w:val="en-US"/>
        </w:rPr>
        <w:tab/>
        <w:t xml:space="preserve">Bodrova T.V. Upravlencheskiy uchet kak biznes-protsess upravleniya nalogovoy nagruzkoy khozyaystvuyushchego subyekta </w:t>
      </w:r>
      <w:r w:rsidRPr="007C1026">
        <w:rPr>
          <w:bCs/>
          <w:szCs w:val="27"/>
          <w:lang w:val="en-US"/>
        </w:rPr>
        <w:t>/</w:t>
      </w:r>
      <w:r w:rsidRPr="00C82604">
        <w:rPr>
          <w:bCs/>
          <w:szCs w:val="27"/>
          <w:lang w:val="en-US"/>
        </w:rPr>
        <w:t>/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Upravlencheskiy uchet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2008</w:t>
      </w:r>
      <w:r w:rsidRPr="007C1026">
        <w:rPr>
          <w:bCs/>
          <w:szCs w:val="27"/>
          <w:lang w:val="en-US"/>
        </w:rPr>
        <w:t xml:space="preserve">. – </w:t>
      </w:r>
      <w:r w:rsidRPr="00C82604">
        <w:rPr>
          <w:bCs/>
          <w:szCs w:val="27"/>
          <w:lang w:val="en-US"/>
        </w:rPr>
        <w:t>№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5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(0,4 p.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l)</w:t>
      </w:r>
      <w:r w:rsidRPr="007C1026">
        <w:rPr>
          <w:bCs/>
          <w:szCs w:val="27"/>
          <w:lang w:val="en-US"/>
        </w:rPr>
        <w:t>.</w:t>
      </w:r>
      <w:r w:rsidRPr="00C82604">
        <w:rPr>
          <w:bCs/>
          <w:szCs w:val="27"/>
          <w:lang w:val="en-US"/>
        </w:rPr>
        <w:t xml:space="preserve"> 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7.</w:t>
      </w:r>
      <w:r w:rsidRPr="00C82604">
        <w:rPr>
          <w:bCs/>
          <w:szCs w:val="27"/>
          <w:lang w:val="en-US"/>
        </w:rPr>
        <w:tab/>
        <w:t>Bodrova T.V., Kabytkina A.S., Petrykina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M.M. Organizatsiya vedeniya razdelnogo ucheta naloga na dobavlennuyu stoimost v kholdingovykh strukturakh // Upravlencheskiy uchet</w:t>
      </w:r>
      <w:r w:rsidRPr="007C1026">
        <w:rPr>
          <w:bCs/>
          <w:szCs w:val="27"/>
          <w:lang w:val="en-US"/>
        </w:rPr>
        <w:t xml:space="preserve">. </w:t>
      </w:r>
      <w:r w:rsidRPr="00C82604">
        <w:rPr>
          <w:bCs/>
          <w:szCs w:val="27"/>
          <w:lang w:val="en-US"/>
        </w:rPr>
        <w:t xml:space="preserve"> 2007</w:t>
      </w:r>
      <w:r w:rsidRPr="007C1026">
        <w:rPr>
          <w:bCs/>
          <w:szCs w:val="27"/>
          <w:lang w:val="en-US"/>
        </w:rPr>
        <w:t xml:space="preserve">. – </w:t>
      </w:r>
      <w:r w:rsidRPr="00C82604">
        <w:rPr>
          <w:bCs/>
          <w:szCs w:val="27"/>
          <w:lang w:val="en-US"/>
        </w:rPr>
        <w:t>№</w:t>
      </w:r>
      <w:r w:rsidRPr="007C1026">
        <w:rPr>
          <w:bCs/>
          <w:szCs w:val="27"/>
          <w:lang w:val="en-US"/>
        </w:rPr>
        <w:t xml:space="preserve"> </w:t>
      </w:r>
      <w:r w:rsidRPr="00C82604">
        <w:rPr>
          <w:bCs/>
          <w:szCs w:val="27"/>
          <w:lang w:val="en-US"/>
        </w:rPr>
        <w:t>4 – s. 45</w:t>
      </w:r>
      <w:r w:rsidRPr="007C1026">
        <w:rPr>
          <w:bCs/>
          <w:szCs w:val="27"/>
          <w:lang w:val="en-US"/>
        </w:rPr>
        <w:t>–</w:t>
      </w:r>
      <w:r w:rsidRPr="00C82604">
        <w:rPr>
          <w:bCs/>
          <w:szCs w:val="27"/>
          <w:lang w:val="en-US"/>
        </w:rPr>
        <w:t>53</w:t>
      </w:r>
      <w:r w:rsidRPr="007C1026">
        <w:rPr>
          <w:bCs/>
          <w:szCs w:val="27"/>
          <w:lang w:val="en-US"/>
        </w:rPr>
        <w:t xml:space="preserve">. </w:t>
      </w:r>
      <w:r w:rsidRPr="00C82604">
        <w:rPr>
          <w:bCs/>
          <w:szCs w:val="27"/>
          <w:lang w:val="en-US"/>
        </w:rPr>
        <w:t>(0,4 p.l., dolya avtora – 0,1 p.l.)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8.</w:t>
      </w:r>
      <w:r w:rsidRPr="00C82604">
        <w:rPr>
          <w:bCs/>
          <w:szCs w:val="27"/>
          <w:lang w:val="en-US"/>
        </w:rPr>
        <w:tab/>
        <w:t>Denisov A. Nalogovaya skhema Rossii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Delo i servis, 2010. – 72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9.</w:t>
      </w:r>
      <w:r w:rsidRPr="00C82604">
        <w:rPr>
          <w:bCs/>
          <w:szCs w:val="27"/>
          <w:lang w:val="en-US"/>
        </w:rPr>
        <w:tab/>
        <w:t>Lykova L.N. Nalogi i nalogooblozheniye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Delo, 2004. – 400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10.</w:t>
      </w:r>
      <w:r w:rsidRPr="00C82604">
        <w:rPr>
          <w:bCs/>
          <w:szCs w:val="27"/>
          <w:lang w:val="en-US"/>
        </w:rPr>
        <w:tab/>
        <w:t>Lykova L.N. Nalogovaya sistema Rossii. Obshcheye i osobennosti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</w:t>
      </w:r>
      <w:r w:rsidRPr="007C1026">
        <w:rPr>
          <w:bCs/>
          <w:szCs w:val="27"/>
          <w:lang w:val="en-US"/>
        </w:rPr>
        <w:t>:</w:t>
      </w:r>
      <w:r w:rsidRPr="00C82604">
        <w:rPr>
          <w:bCs/>
          <w:szCs w:val="27"/>
          <w:lang w:val="en-US"/>
        </w:rPr>
        <w:t xml:space="preserve"> Nauka, 2006. – 448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11.</w:t>
      </w:r>
      <w:r w:rsidRPr="00C82604">
        <w:rPr>
          <w:bCs/>
          <w:szCs w:val="27"/>
          <w:lang w:val="en-US"/>
        </w:rPr>
        <w:tab/>
        <w:t>Lykova L.N., Bukina I.S. Nalogovyye sistemy zarubezhnykh stran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Yurayt, 2013. – 432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12.</w:t>
      </w:r>
      <w:r w:rsidRPr="00C82604">
        <w:rPr>
          <w:bCs/>
          <w:szCs w:val="27"/>
          <w:lang w:val="en-US"/>
        </w:rPr>
        <w:tab/>
        <w:t>Nesterov G.G. Terzidi A.V. Nalogovyy uchet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RidGrupp, 2011. – 304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13.</w:t>
      </w:r>
      <w:r w:rsidRPr="00C82604">
        <w:rPr>
          <w:bCs/>
          <w:szCs w:val="27"/>
          <w:lang w:val="en-US"/>
        </w:rPr>
        <w:tab/>
        <w:t>Chernik D. Nalogi i nalogooblozheniye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Yurayt, 2013. – 394 s.</w:t>
      </w:r>
    </w:p>
    <w:p w:rsidR="00C95829" w:rsidRPr="00C82604" w:rsidRDefault="00C95829" w:rsidP="00FB22C0">
      <w:pPr>
        <w:pStyle w:val="NormalWeb"/>
        <w:tabs>
          <w:tab w:val="left" w:pos="0"/>
          <w:tab w:val="left" w:pos="990"/>
        </w:tabs>
        <w:spacing w:before="0" w:beforeAutospacing="0" w:after="0" w:afterAutospacing="0"/>
        <w:ind w:left="110" w:firstLine="440"/>
        <w:jc w:val="both"/>
        <w:rPr>
          <w:bCs/>
          <w:szCs w:val="27"/>
          <w:lang w:val="en-US"/>
        </w:rPr>
      </w:pPr>
      <w:r w:rsidRPr="00C82604">
        <w:rPr>
          <w:bCs/>
          <w:szCs w:val="27"/>
          <w:lang w:val="en-US"/>
        </w:rPr>
        <w:t>14.</w:t>
      </w:r>
      <w:r w:rsidRPr="00C82604">
        <w:rPr>
          <w:bCs/>
          <w:szCs w:val="27"/>
          <w:lang w:val="en-US"/>
        </w:rPr>
        <w:tab/>
        <w:t>Shreder N.G. Sovmeshcheniye bukhgalterskogo i nalogovogo uchetov</w:t>
      </w:r>
      <w:r w:rsidRPr="007C1026">
        <w:rPr>
          <w:bCs/>
          <w:szCs w:val="27"/>
          <w:lang w:val="en-US"/>
        </w:rPr>
        <w:t>. –</w:t>
      </w:r>
      <w:r w:rsidRPr="00C82604">
        <w:rPr>
          <w:bCs/>
          <w:szCs w:val="27"/>
          <w:lang w:val="en-US"/>
        </w:rPr>
        <w:t xml:space="preserve"> M.: Goryachaya liniya bukhgaltera, 2006. – 152 s.</w:t>
      </w:r>
    </w:p>
    <w:sectPr w:rsidR="00C95829" w:rsidRPr="00C82604" w:rsidSect="00A410D0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829" w:rsidRDefault="00C95829" w:rsidP="0088468A">
      <w:pPr>
        <w:spacing w:after="0" w:line="240" w:lineRule="auto"/>
      </w:pPr>
      <w:r>
        <w:separator/>
      </w:r>
    </w:p>
  </w:endnote>
  <w:endnote w:type="continuationSeparator" w:id="1">
    <w:p w:rsidR="00C95829" w:rsidRDefault="00C95829" w:rsidP="00884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9" w:rsidRDefault="00C95829">
    <w:pPr>
      <w:pStyle w:val="Footer"/>
    </w:pPr>
    <w:r w:rsidRPr="00D87116">
      <w:rPr>
        <w:rFonts w:ascii="Times New Roman" w:hAnsi="Times New Roman"/>
        <w:sz w:val="24"/>
        <w:szCs w:val="24"/>
      </w:rPr>
      <w:t>http://ej.kubagro.ru/201</w:t>
    </w:r>
    <w:r w:rsidRPr="00D87116">
      <w:rPr>
        <w:rFonts w:ascii="Times New Roman" w:hAnsi="Times New Roman"/>
        <w:sz w:val="24"/>
        <w:szCs w:val="24"/>
        <w:lang w:val="en-US"/>
      </w:rPr>
      <w:t>3</w:t>
    </w:r>
    <w:r w:rsidRPr="00D87116">
      <w:rPr>
        <w:rFonts w:ascii="Times New Roman" w:hAnsi="Times New Roman"/>
        <w:sz w:val="24"/>
        <w:szCs w:val="24"/>
      </w:rPr>
      <w:t>/</w:t>
    </w:r>
    <w:r w:rsidRPr="00D87116">
      <w:rPr>
        <w:rFonts w:ascii="Times New Roman" w:hAnsi="Times New Roman"/>
        <w:sz w:val="24"/>
        <w:szCs w:val="24"/>
        <w:lang w:val="en-US"/>
      </w:rPr>
      <w:t>05</w:t>
    </w:r>
    <w:r w:rsidRPr="00D87116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70</w:t>
    </w:r>
    <w:r w:rsidRPr="00D87116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829" w:rsidRDefault="00C95829" w:rsidP="0088468A">
      <w:pPr>
        <w:spacing w:after="0" w:line="240" w:lineRule="auto"/>
      </w:pPr>
      <w:r>
        <w:separator/>
      </w:r>
    </w:p>
  </w:footnote>
  <w:footnote w:type="continuationSeparator" w:id="1">
    <w:p w:rsidR="00C95829" w:rsidRDefault="00C95829" w:rsidP="00884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9" w:rsidRDefault="00C95829" w:rsidP="003304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5829" w:rsidRDefault="00C95829" w:rsidP="00A410D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9" w:rsidRPr="00A410D0" w:rsidRDefault="00C95829" w:rsidP="0033043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410D0">
      <w:rPr>
        <w:rStyle w:val="PageNumber"/>
        <w:rFonts w:ascii="Times New Roman" w:hAnsi="Times New Roman"/>
        <w:sz w:val="28"/>
        <w:szCs w:val="28"/>
      </w:rPr>
      <w:fldChar w:fldCharType="begin"/>
    </w:r>
    <w:r w:rsidRPr="00A410D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410D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A410D0">
      <w:rPr>
        <w:rStyle w:val="PageNumber"/>
        <w:rFonts w:ascii="Times New Roman" w:hAnsi="Times New Roman"/>
        <w:sz w:val="28"/>
        <w:szCs w:val="28"/>
      </w:rPr>
      <w:fldChar w:fldCharType="end"/>
    </w:r>
  </w:p>
  <w:p w:rsidR="00C95829" w:rsidRPr="00A410D0" w:rsidRDefault="00C95829" w:rsidP="00A410D0">
    <w:pPr>
      <w:pStyle w:val="Header"/>
      <w:ind w:right="360"/>
      <w:rPr>
        <w:rFonts w:ascii="Times New Roman" w:hAnsi="Times New Roman"/>
        <w:sz w:val="24"/>
        <w:szCs w:val="24"/>
      </w:rPr>
    </w:pPr>
    <w:r w:rsidRPr="00A410D0">
      <w:rPr>
        <w:rFonts w:ascii="Times New Roman" w:hAnsi="Times New Roman"/>
        <w:sz w:val="24"/>
        <w:szCs w:val="24"/>
      </w:rPr>
      <w:t>Научный журнал КубГАУ, №</w:t>
    </w:r>
    <w:r w:rsidRPr="00A410D0">
      <w:rPr>
        <w:rFonts w:ascii="Times New Roman" w:hAnsi="Times New Roman"/>
        <w:sz w:val="24"/>
        <w:szCs w:val="24"/>
        <w:lang w:val="en-US"/>
      </w:rPr>
      <w:t>89</w:t>
    </w:r>
    <w:r w:rsidRPr="00A410D0">
      <w:rPr>
        <w:rFonts w:ascii="Times New Roman" w:hAnsi="Times New Roman"/>
        <w:sz w:val="24"/>
        <w:szCs w:val="24"/>
      </w:rPr>
      <w:t>(</w:t>
    </w:r>
    <w:r w:rsidRPr="00A410D0">
      <w:rPr>
        <w:rFonts w:ascii="Times New Roman" w:hAnsi="Times New Roman"/>
        <w:sz w:val="24"/>
        <w:szCs w:val="24"/>
        <w:lang w:val="en-US"/>
      </w:rPr>
      <w:t>05</w:t>
    </w:r>
    <w:r w:rsidRPr="00A410D0">
      <w:rPr>
        <w:rFonts w:ascii="Times New Roman" w:hAnsi="Times New Roman"/>
        <w:sz w:val="24"/>
        <w:szCs w:val="24"/>
      </w:rPr>
      <w:t>), 201</w:t>
    </w:r>
    <w:r w:rsidRPr="00A410D0">
      <w:rPr>
        <w:rFonts w:ascii="Times New Roman" w:hAnsi="Times New Roman"/>
        <w:sz w:val="24"/>
        <w:szCs w:val="24"/>
        <w:lang w:val="en-US"/>
      </w:rPr>
      <w:t>3</w:t>
    </w:r>
    <w:r w:rsidRPr="00A410D0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9" w:rsidRDefault="00C95829" w:rsidP="0033043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95829" w:rsidRDefault="00C95829" w:rsidP="00A410D0">
    <w:pPr>
      <w:pStyle w:val="Header"/>
      <w:ind w:right="360"/>
    </w:pPr>
    <w:r w:rsidRPr="00E554F3">
      <w:t>Научный журнал КубГАУ, №</w:t>
    </w:r>
    <w:r w:rsidRPr="00E554F3">
      <w:rPr>
        <w:lang w:val="en-US"/>
      </w:rPr>
      <w:t>89</w:t>
    </w:r>
    <w:r w:rsidRPr="00E554F3">
      <w:t>(</w:t>
    </w:r>
    <w:r w:rsidRPr="00E554F3">
      <w:rPr>
        <w:lang w:val="en-US"/>
      </w:rPr>
      <w:t>05</w:t>
    </w:r>
    <w:r w:rsidRPr="00E554F3">
      <w:t>), 201</w:t>
    </w:r>
    <w:r w:rsidRPr="00E554F3">
      <w:rPr>
        <w:lang w:val="en-US"/>
      </w:rPr>
      <w:t>3</w:t>
    </w:r>
    <w:r w:rsidRPr="00E554F3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6D2D"/>
    <w:multiLevelType w:val="hybridMultilevel"/>
    <w:tmpl w:val="54B8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C64"/>
    <w:rsid w:val="00031CC0"/>
    <w:rsid w:val="000627E6"/>
    <w:rsid w:val="00067384"/>
    <w:rsid w:val="0008550B"/>
    <w:rsid w:val="000E7566"/>
    <w:rsid w:val="00117666"/>
    <w:rsid w:val="00171777"/>
    <w:rsid w:val="00200425"/>
    <w:rsid w:val="00270CE4"/>
    <w:rsid w:val="00271D23"/>
    <w:rsid w:val="00307C64"/>
    <w:rsid w:val="0033043A"/>
    <w:rsid w:val="0033439E"/>
    <w:rsid w:val="0036634D"/>
    <w:rsid w:val="003C175E"/>
    <w:rsid w:val="00432512"/>
    <w:rsid w:val="00450A4C"/>
    <w:rsid w:val="004E59AB"/>
    <w:rsid w:val="006128C2"/>
    <w:rsid w:val="0065052A"/>
    <w:rsid w:val="00651AA7"/>
    <w:rsid w:val="00665700"/>
    <w:rsid w:val="00667C62"/>
    <w:rsid w:val="0067141B"/>
    <w:rsid w:val="00686B4A"/>
    <w:rsid w:val="007542A7"/>
    <w:rsid w:val="007C1026"/>
    <w:rsid w:val="007F6BEF"/>
    <w:rsid w:val="00814CAC"/>
    <w:rsid w:val="00830CA4"/>
    <w:rsid w:val="008519EE"/>
    <w:rsid w:val="0086166A"/>
    <w:rsid w:val="008710A3"/>
    <w:rsid w:val="0088468A"/>
    <w:rsid w:val="00900EA1"/>
    <w:rsid w:val="009B4A42"/>
    <w:rsid w:val="009D0158"/>
    <w:rsid w:val="00A410D0"/>
    <w:rsid w:val="00A72F6C"/>
    <w:rsid w:val="00AB1BD3"/>
    <w:rsid w:val="00B30A8E"/>
    <w:rsid w:val="00B3515A"/>
    <w:rsid w:val="00B57EBE"/>
    <w:rsid w:val="00BC5EE8"/>
    <w:rsid w:val="00C12640"/>
    <w:rsid w:val="00C35210"/>
    <w:rsid w:val="00C54F66"/>
    <w:rsid w:val="00C82604"/>
    <w:rsid w:val="00C95829"/>
    <w:rsid w:val="00D1368A"/>
    <w:rsid w:val="00D4057D"/>
    <w:rsid w:val="00D611AD"/>
    <w:rsid w:val="00D87116"/>
    <w:rsid w:val="00DE64BD"/>
    <w:rsid w:val="00DF084C"/>
    <w:rsid w:val="00E16223"/>
    <w:rsid w:val="00E554F3"/>
    <w:rsid w:val="00E64314"/>
    <w:rsid w:val="00EC4F3C"/>
    <w:rsid w:val="00ED0467"/>
    <w:rsid w:val="00EE4A88"/>
    <w:rsid w:val="00F138C4"/>
    <w:rsid w:val="00F36C45"/>
    <w:rsid w:val="00F5644C"/>
    <w:rsid w:val="00FB22C0"/>
    <w:rsid w:val="00FC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9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Web)"/>
    <w:basedOn w:val="Normal"/>
    <w:uiPriority w:val="99"/>
    <w:rsid w:val="00307C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07C64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307C6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07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C6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36C45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36C45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9D01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84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46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84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468A"/>
    <w:rPr>
      <w:rFonts w:cs="Times New Roman"/>
    </w:rPr>
  </w:style>
  <w:style w:type="character" w:styleId="PageNumber">
    <w:name w:val="page number"/>
    <w:basedOn w:val="DefaultParagraphFont"/>
    <w:uiPriority w:val="99"/>
    <w:rsid w:val="00A410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29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cy.uspu.ru/udc/tree/show.html?code=336.225.62" TargetMode="Externa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legacy.uspu.ru/udc/tree/show.html?code=336.225.62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referent.mubint.ru/1/13741?l61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ferent.mubint.ru/1/124132?l39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eferent.mubint.ru/1/124132?l305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egacy.uspu.ru/udc/tree/show.html?code=336.225.62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legacy.uspu.ru/udc/tree/show.html?code=336.225.62" TargetMode="External"/><Relationship Id="rId14" Type="http://schemas.openxmlformats.org/officeDocument/2006/relationships/hyperlink" Target="http://referent.mubint.ru/1/124132?l305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11</Pages>
  <Words>2669</Words>
  <Characters>15218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27</cp:revision>
  <cp:lastPrinted>2013-04-14T09:48:00Z</cp:lastPrinted>
  <dcterms:created xsi:type="dcterms:W3CDTF">2013-03-21T17:06:00Z</dcterms:created>
  <dcterms:modified xsi:type="dcterms:W3CDTF">2013-05-30T15:41:00Z</dcterms:modified>
</cp:coreProperties>
</file>